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EEB0" w14:textId="77777777" w:rsidR="004F578A" w:rsidRDefault="004F578A" w:rsidP="004F578A"/>
    <w:p w14:paraId="1ED3753B" w14:textId="77777777" w:rsidR="001C21F3" w:rsidRPr="004F578A" w:rsidRDefault="001C21F3" w:rsidP="004F578A"/>
    <w:p w14:paraId="53028FDB" w14:textId="77777777" w:rsidR="004F578A" w:rsidRPr="00A23CB2" w:rsidRDefault="004F578A" w:rsidP="004F578A">
      <w:pPr>
        <w:jc w:val="center"/>
        <w:rPr>
          <w:b/>
        </w:rPr>
      </w:pPr>
      <w:r w:rsidRPr="00A23CB2">
        <w:rPr>
          <w:b/>
        </w:rPr>
        <w:t>MENTAL HEALTH TRIBUNAL</w:t>
      </w:r>
    </w:p>
    <w:p w14:paraId="2455AE0F" w14:textId="77777777" w:rsidR="004F578A" w:rsidRPr="00A23CB2" w:rsidRDefault="004F578A" w:rsidP="004F578A">
      <w:pPr>
        <w:jc w:val="center"/>
        <w:rPr>
          <w:b/>
        </w:rPr>
      </w:pPr>
    </w:p>
    <w:p w14:paraId="060345B4" w14:textId="77777777" w:rsidR="004F578A" w:rsidRPr="00A23CB2" w:rsidRDefault="004F578A" w:rsidP="004F578A">
      <w:pPr>
        <w:jc w:val="center"/>
        <w:rPr>
          <w:b/>
        </w:rPr>
      </w:pPr>
      <w:r w:rsidRPr="00A23CB2">
        <w:rPr>
          <w:b/>
        </w:rPr>
        <w:t xml:space="preserve">PRACTICE NOTE </w:t>
      </w:r>
      <w:r w:rsidR="00EB5640" w:rsidRPr="00A23CB2">
        <w:rPr>
          <w:b/>
        </w:rPr>
        <w:t xml:space="preserve">1 </w:t>
      </w:r>
    </w:p>
    <w:p w14:paraId="4695AC1C" w14:textId="77777777" w:rsidR="004F578A" w:rsidRPr="00A23CB2" w:rsidRDefault="004F578A" w:rsidP="004F578A">
      <w:pPr>
        <w:jc w:val="center"/>
        <w:rPr>
          <w:b/>
        </w:rPr>
      </w:pPr>
    </w:p>
    <w:p w14:paraId="76F87DF8" w14:textId="77777777" w:rsidR="004F578A" w:rsidRPr="00A23CB2" w:rsidRDefault="00EB5640" w:rsidP="004F578A">
      <w:pPr>
        <w:jc w:val="center"/>
        <w:rPr>
          <w:b/>
        </w:rPr>
      </w:pPr>
      <w:r w:rsidRPr="00A23CB2">
        <w:rPr>
          <w:b/>
        </w:rPr>
        <w:t>TRIBUNAL DOCUMENTS (</w:t>
      </w:r>
      <w:r w:rsidR="004F578A" w:rsidRPr="00A23CB2">
        <w:rPr>
          <w:b/>
          <w:caps/>
        </w:rPr>
        <w:t>A</w:t>
      </w:r>
      <w:r w:rsidR="00D56B67" w:rsidRPr="00A23CB2">
        <w:rPr>
          <w:b/>
          <w:caps/>
        </w:rPr>
        <w:t>pplication Forms, Urgent Applications</w:t>
      </w:r>
      <w:r w:rsidR="004F578A" w:rsidRPr="00A23CB2">
        <w:rPr>
          <w:b/>
          <w:caps/>
        </w:rPr>
        <w:t xml:space="preserve"> </w:t>
      </w:r>
      <w:r w:rsidR="00D56B67" w:rsidRPr="00A23CB2">
        <w:rPr>
          <w:b/>
          <w:caps/>
        </w:rPr>
        <w:t>and</w:t>
      </w:r>
      <w:r w:rsidR="00423566" w:rsidRPr="00A23CB2">
        <w:rPr>
          <w:b/>
          <w:caps/>
        </w:rPr>
        <w:t xml:space="preserve"> </w:t>
      </w:r>
      <w:r w:rsidR="00D56B67" w:rsidRPr="00A23CB2">
        <w:rPr>
          <w:b/>
          <w:caps/>
        </w:rPr>
        <w:t>Clinical Report Templates</w:t>
      </w:r>
      <w:r w:rsidRPr="00A23CB2">
        <w:rPr>
          <w:b/>
        </w:rPr>
        <w:t>)</w:t>
      </w:r>
      <w:r w:rsidR="00FE4299" w:rsidRPr="00A23CB2">
        <w:rPr>
          <w:b/>
        </w:rPr>
        <w:t xml:space="preserve"> AND ATTENDANCE REQUIREMENTS</w:t>
      </w:r>
    </w:p>
    <w:p w14:paraId="36057E18" w14:textId="77777777" w:rsidR="004F578A" w:rsidRPr="00A23CB2" w:rsidRDefault="004F578A" w:rsidP="004F578A">
      <w:pPr>
        <w:rPr>
          <w:b/>
        </w:rPr>
      </w:pPr>
    </w:p>
    <w:p w14:paraId="0BC320E2" w14:textId="77777777" w:rsidR="004F578A" w:rsidRPr="00A23CB2" w:rsidRDefault="00BA039C" w:rsidP="004F578A">
      <w:pPr>
        <w:rPr>
          <w:b/>
        </w:rPr>
      </w:pPr>
      <w:r w:rsidRPr="00A23CB2">
        <w:rPr>
          <w:b/>
        </w:rPr>
        <w:t>I</w:t>
      </w:r>
      <w:r w:rsidR="004F578A" w:rsidRPr="00A23CB2">
        <w:rPr>
          <w:b/>
        </w:rPr>
        <w:t xml:space="preserve">. </w:t>
      </w:r>
      <w:r w:rsidR="004F578A" w:rsidRPr="00A23CB2">
        <w:rPr>
          <w:b/>
        </w:rPr>
        <w:tab/>
      </w:r>
      <w:r w:rsidR="00777C2F" w:rsidRPr="00A23CB2">
        <w:rPr>
          <w:b/>
        </w:rPr>
        <w:t>PRELIMINARY</w:t>
      </w:r>
    </w:p>
    <w:p w14:paraId="57D1407D" w14:textId="77777777" w:rsidR="004F578A" w:rsidRPr="00A23CB2" w:rsidRDefault="004F578A" w:rsidP="004F578A">
      <w:pPr>
        <w:rPr>
          <w:b/>
        </w:rPr>
      </w:pPr>
    </w:p>
    <w:p w14:paraId="11A3D2B4" w14:textId="77777777" w:rsidR="004F578A" w:rsidRPr="00A23CB2" w:rsidRDefault="004F578A" w:rsidP="004F578A">
      <w:pPr>
        <w:pStyle w:val="Heading1"/>
      </w:pPr>
      <w:r w:rsidRPr="00A23CB2">
        <w:t xml:space="preserve">This Practice Note has been issued by the Rules Committee of the Mental Health Tribunal in accordance with section 209(1) of the </w:t>
      </w:r>
      <w:r w:rsidRPr="00A23CB2">
        <w:rPr>
          <w:i/>
        </w:rPr>
        <w:t>Mental Health Act 2014</w:t>
      </w:r>
      <w:r w:rsidRPr="00A23CB2">
        <w:t>.</w:t>
      </w:r>
    </w:p>
    <w:p w14:paraId="54D70E51" w14:textId="77777777" w:rsidR="00777C2F" w:rsidRPr="00A23CB2" w:rsidRDefault="00423566" w:rsidP="00777C2F">
      <w:pPr>
        <w:pStyle w:val="Heading1"/>
        <w:numPr>
          <w:ilvl w:val="0"/>
          <w:numId w:val="0"/>
        </w:numPr>
        <w:rPr>
          <w:b/>
        </w:rPr>
      </w:pPr>
      <w:r w:rsidRPr="00A23CB2">
        <w:rPr>
          <w:b/>
        </w:rPr>
        <w:t>Introduction and purpose</w:t>
      </w:r>
    </w:p>
    <w:p w14:paraId="594D2BD7" w14:textId="77777777" w:rsidR="00B918A5" w:rsidRPr="00A23CB2" w:rsidRDefault="00777C2F" w:rsidP="00777C2F">
      <w:pPr>
        <w:pStyle w:val="Heading1"/>
      </w:pPr>
      <w:r w:rsidRPr="00A23CB2">
        <w:t>The Ment</w:t>
      </w:r>
      <w:r w:rsidR="00400145" w:rsidRPr="00A23CB2">
        <w:t xml:space="preserve">al Health Tribunal has decision </w:t>
      </w:r>
      <w:r w:rsidRPr="00A23CB2">
        <w:t>making functions with respect to a range</w:t>
      </w:r>
      <w:r w:rsidR="00B918A5" w:rsidRPr="00A23CB2">
        <w:t xml:space="preserve"> of </w:t>
      </w:r>
      <w:r w:rsidR="000539B7" w:rsidRPr="00A23CB2">
        <w:t xml:space="preserve">hearing types </w:t>
      </w:r>
      <w:r w:rsidR="00B918A5" w:rsidRPr="00A23CB2">
        <w:t xml:space="preserve">under the Act.  The Act provides who may make an application and the time within which an application may be made.  </w:t>
      </w:r>
    </w:p>
    <w:p w14:paraId="0097BEF6" w14:textId="77777777" w:rsidR="00B918A5" w:rsidRPr="00A23CB2" w:rsidRDefault="00B918A5" w:rsidP="00777C2F">
      <w:pPr>
        <w:pStyle w:val="Heading1"/>
      </w:pPr>
      <w:r w:rsidRPr="00A23CB2">
        <w:t>If a person is entitled to make an application to the Tribunal, the person must make an application in writing.  The Mental Health Tribunal Rules 2014 prescribe what information must be contained in</w:t>
      </w:r>
      <w:r w:rsidR="00400145" w:rsidRPr="00A23CB2">
        <w:t xml:space="preserve"> an application to the Tribunal</w:t>
      </w:r>
      <w:r w:rsidRPr="00A23CB2">
        <w:t xml:space="preserve"> and how the application must be lodged.</w:t>
      </w:r>
      <w:r w:rsidR="00423566" w:rsidRPr="00A23CB2">
        <w:t xml:space="preserve">  </w:t>
      </w:r>
    </w:p>
    <w:p w14:paraId="58858D67" w14:textId="77777777" w:rsidR="00423566" w:rsidRPr="00A23CB2" w:rsidRDefault="00423566" w:rsidP="00777C2F">
      <w:pPr>
        <w:pStyle w:val="Heading1"/>
      </w:pPr>
      <w:r w:rsidRPr="00A23CB2">
        <w:t>The Rules also prescribe that for certain applications, the authorised psychiatrist or psychiatrist must submit a clinical report that contains information of the type specified in the Rules.</w:t>
      </w:r>
    </w:p>
    <w:p w14:paraId="168E7E71" w14:textId="77777777" w:rsidR="00423566" w:rsidRPr="00A23CB2" w:rsidRDefault="00423566" w:rsidP="00777C2F">
      <w:pPr>
        <w:pStyle w:val="Heading1"/>
      </w:pPr>
      <w:r w:rsidRPr="00A23CB2">
        <w:t>The purpose of this Practice Note is to identify template application forms which can be used to facilitate an application to the Tribunal under the Act and to provide template clinical reports to assist authorised psychiatrists or psychiatrists to provide the information required by the Rules.</w:t>
      </w:r>
    </w:p>
    <w:p w14:paraId="739561B5" w14:textId="77777777" w:rsidR="002D169A" w:rsidRPr="00A23CB2" w:rsidRDefault="002D169A" w:rsidP="00777C2F">
      <w:pPr>
        <w:pStyle w:val="Heading1"/>
      </w:pPr>
      <w:r w:rsidRPr="00A23CB2">
        <w:t>This Practice Note also provides guidance on the procedure to be followed when lodging urgent applications.</w:t>
      </w:r>
    </w:p>
    <w:p w14:paraId="44D2407C" w14:textId="77777777" w:rsidR="002D169A" w:rsidRPr="00A23CB2" w:rsidRDefault="002D169A" w:rsidP="00777C2F">
      <w:pPr>
        <w:pStyle w:val="Heading1"/>
      </w:pPr>
      <w:r w:rsidRPr="00A23CB2">
        <w:t xml:space="preserve">Finally, this Practice Note identifies the attendance requirements for all hearing types and provides guidance on preparation for hearing. </w:t>
      </w:r>
    </w:p>
    <w:p w14:paraId="5100A5E5" w14:textId="77777777" w:rsidR="00034392" w:rsidRPr="00A23CB2" w:rsidRDefault="00034392" w:rsidP="00034392">
      <w:pPr>
        <w:keepNext/>
        <w:keepLines/>
        <w:rPr>
          <w:b/>
        </w:rPr>
      </w:pPr>
      <w:r w:rsidRPr="00A23CB2">
        <w:rPr>
          <w:b/>
        </w:rPr>
        <w:t>Commencement date</w:t>
      </w:r>
    </w:p>
    <w:p w14:paraId="20E91BA8" w14:textId="77777777" w:rsidR="00034392" w:rsidRPr="00A23CB2" w:rsidRDefault="00034392" w:rsidP="00034392">
      <w:pPr>
        <w:keepNext/>
        <w:keepLines/>
        <w:rPr>
          <w:b/>
        </w:rPr>
      </w:pPr>
    </w:p>
    <w:p w14:paraId="29D6D13A" w14:textId="77777777" w:rsidR="00034392" w:rsidRPr="00A23CB2" w:rsidRDefault="00034392" w:rsidP="00034392">
      <w:pPr>
        <w:pStyle w:val="Heading1"/>
        <w:keepNext/>
        <w:keepLines/>
      </w:pPr>
      <w:r w:rsidRPr="00A23CB2">
        <w:t>This Practice Note takes effect on 1 July 2014.</w:t>
      </w:r>
    </w:p>
    <w:p w14:paraId="312565B4" w14:textId="77777777" w:rsidR="00034392" w:rsidRPr="00A23CB2" w:rsidRDefault="00034392" w:rsidP="00034392">
      <w:pPr>
        <w:rPr>
          <w:b/>
        </w:rPr>
      </w:pPr>
      <w:r w:rsidRPr="00A23CB2">
        <w:rPr>
          <w:b/>
        </w:rPr>
        <w:t>Definitions</w:t>
      </w:r>
    </w:p>
    <w:p w14:paraId="02BB76BF" w14:textId="77777777" w:rsidR="00034392" w:rsidRPr="00A23CB2" w:rsidRDefault="00034392" w:rsidP="00034392"/>
    <w:p w14:paraId="6CC73462" w14:textId="77777777" w:rsidR="00034392" w:rsidRPr="00A23CB2" w:rsidRDefault="00034392" w:rsidP="00034392">
      <w:pPr>
        <w:pStyle w:val="Heading1"/>
      </w:pPr>
      <w:r w:rsidRPr="00A23CB2">
        <w:t xml:space="preserve">Unless otherwise specified, all references to sections in this Practice Note are to sections of the </w:t>
      </w:r>
      <w:r w:rsidRPr="00A23CB2">
        <w:rPr>
          <w:i/>
        </w:rPr>
        <w:t>Mental Health Act 2014</w:t>
      </w:r>
      <w:r w:rsidRPr="00A23CB2">
        <w:t>.</w:t>
      </w:r>
    </w:p>
    <w:p w14:paraId="313179E2" w14:textId="77777777" w:rsidR="00034392" w:rsidRPr="00A23CB2" w:rsidRDefault="00034392" w:rsidP="00034392">
      <w:pPr>
        <w:pStyle w:val="Heading1"/>
      </w:pPr>
      <w:r w:rsidRPr="00A23CB2">
        <w:t>Unless otherwise specified, terms in this Practice Note have the same meaning as in the Act.</w:t>
      </w:r>
    </w:p>
    <w:p w14:paraId="521D9B42" w14:textId="77777777" w:rsidR="00034392" w:rsidRPr="00A23CB2" w:rsidRDefault="00034392" w:rsidP="00034392">
      <w:pPr>
        <w:pStyle w:val="Heading1"/>
      </w:pPr>
      <w:r w:rsidRPr="00A23CB2">
        <w:lastRenderedPageBreak/>
        <w:t>This Practice Note may be referred to a</w:t>
      </w:r>
      <w:r w:rsidR="006B1E3B">
        <w:t>s ‘</w:t>
      </w:r>
      <w:r w:rsidRPr="00A23CB2">
        <w:rPr>
          <w:i/>
        </w:rPr>
        <w:t>PN</w:t>
      </w:r>
      <w:r w:rsidR="004B4A8A">
        <w:rPr>
          <w:i/>
        </w:rPr>
        <w:t xml:space="preserve"> 1</w:t>
      </w:r>
      <w:r w:rsidRPr="00A23CB2">
        <w:rPr>
          <w:i/>
        </w:rPr>
        <w:t xml:space="preserve"> - </w:t>
      </w:r>
      <w:r w:rsidR="00EB5640" w:rsidRPr="00A23CB2">
        <w:rPr>
          <w:i/>
        </w:rPr>
        <w:t>Tribunal Documents (Application Forms</w:t>
      </w:r>
      <w:r w:rsidR="00D56B67" w:rsidRPr="00A23CB2">
        <w:rPr>
          <w:i/>
        </w:rPr>
        <w:t>, Urgent Applications and Clinical Report Templates</w:t>
      </w:r>
      <w:r w:rsidR="00EB5640" w:rsidRPr="00A23CB2">
        <w:rPr>
          <w:i/>
        </w:rPr>
        <w:t>)</w:t>
      </w:r>
      <w:r w:rsidR="00FE4299" w:rsidRPr="00A23CB2">
        <w:rPr>
          <w:i/>
        </w:rPr>
        <w:t xml:space="preserve"> and Attendance Requirements</w:t>
      </w:r>
      <w:r w:rsidRPr="00A23CB2">
        <w:t>.</w:t>
      </w:r>
      <w:r w:rsidR="006B1E3B">
        <w:t>’</w:t>
      </w:r>
    </w:p>
    <w:p w14:paraId="54DA09BE" w14:textId="77777777" w:rsidR="00423566" w:rsidRPr="00A23CB2" w:rsidRDefault="00423566" w:rsidP="00423566">
      <w:pPr>
        <w:pStyle w:val="Heading1"/>
        <w:numPr>
          <w:ilvl w:val="0"/>
          <w:numId w:val="0"/>
        </w:numPr>
        <w:rPr>
          <w:b/>
        </w:rPr>
      </w:pPr>
      <w:r w:rsidRPr="00A23CB2">
        <w:rPr>
          <w:b/>
        </w:rPr>
        <w:t>II.</w:t>
      </w:r>
      <w:r w:rsidRPr="00A23CB2">
        <w:rPr>
          <w:b/>
        </w:rPr>
        <w:tab/>
        <w:t>APPLICATION FORMS</w:t>
      </w:r>
    </w:p>
    <w:p w14:paraId="4BB4A4E6" w14:textId="77777777" w:rsidR="00423566" w:rsidRPr="00A23CB2" w:rsidRDefault="00423566" w:rsidP="00423566">
      <w:pPr>
        <w:pStyle w:val="Heading1"/>
      </w:pPr>
      <w:r w:rsidRPr="00A23CB2">
        <w:t xml:space="preserve">The </w:t>
      </w:r>
      <w:r w:rsidR="000539B7" w:rsidRPr="00A23CB2">
        <w:t>Department of Health</w:t>
      </w:r>
      <w:r w:rsidRPr="00A23CB2">
        <w:t xml:space="preserve"> has developed a range of application forms to assist potential applicants in making an application so that applicants can understand what information is required and can more easily comply with the relevant legislative requirements.  </w:t>
      </w:r>
    </w:p>
    <w:p w14:paraId="6C26F474" w14:textId="77777777" w:rsidR="00423566" w:rsidRPr="00A23CB2" w:rsidRDefault="00423566" w:rsidP="00777C2F">
      <w:pPr>
        <w:pStyle w:val="Heading1"/>
        <w:rPr>
          <w:rStyle w:val="Hyperlink"/>
          <w:color w:val="auto"/>
          <w:u w:val="none"/>
        </w:rPr>
      </w:pPr>
      <w:r w:rsidRPr="00A23CB2">
        <w:t>If you intend on making an application to the Tribunal, you can download the application forms from the Department of Health's website at</w:t>
      </w:r>
      <w:r w:rsidR="007325F9" w:rsidRPr="00A23CB2">
        <w:t>:</w:t>
      </w:r>
      <w:r w:rsidRPr="00A23CB2">
        <w:t xml:space="preserve"> </w:t>
      </w:r>
      <w:hyperlink r:id="rId11" w:history="1">
        <w:r w:rsidRPr="00A23CB2">
          <w:rPr>
            <w:rStyle w:val="Hyperlink"/>
          </w:rPr>
          <w:t>www.health.vic.gov.au</w:t>
        </w:r>
      </w:hyperlink>
    </w:p>
    <w:p w14:paraId="2D7CEB5F" w14:textId="77777777" w:rsidR="007325F9" w:rsidRPr="00A23CB2" w:rsidRDefault="00FE3DA4" w:rsidP="007325F9">
      <w:pPr>
        <w:pStyle w:val="Heading1"/>
        <w:rPr>
          <w:rStyle w:val="Hyperlink"/>
          <w:color w:val="auto"/>
          <w:u w:val="none"/>
        </w:rPr>
      </w:pPr>
      <w:r w:rsidRPr="00A23CB2">
        <w:rPr>
          <w:rStyle w:val="Hyperlink"/>
          <w:color w:val="auto"/>
          <w:u w:val="none"/>
        </w:rPr>
        <w:t>Certain forms are also available on the Mental Health Tribunal’s website at</w:t>
      </w:r>
      <w:r w:rsidR="007325F9" w:rsidRPr="00A23CB2">
        <w:rPr>
          <w:rStyle w:val="Hyperlink"/>
          <w:color w:val="auto"/>
          <w:u w:val="none"/>
        </w:rPr>
        <w:t>:</w:t>
      </w:r>
      <w:r w:rsidRPr="00A23CB2">
        <w:rPr>
          <w:rStyle w:val="Hyperlink"/>
          <w:color w:val="auto"/>
          <w:u w:val="none"/>
        </w:rPr>
        <w:t xml:space="preserve"> </w:t>
      </w:r>
      <w:hyperlink r:id="rId12" w:history="1">
        <w:r w:rsidR="007325F9" w:rsidRPr="00A23CB2">
          <w:rPr>
            <w:rStyle w:val="Hyperlink"/>
          </w:rPr>
          <w:t>www.mht.vic.gov.au</w:t>
        </w:r>
      </w:hyperlink>
    </w:p>
    <w:p w14:paraId="2C5E5E46" w14:textId="77777777" w:rsidR="007325F9" w:rsidRPr="00A23CB2" w:rsidRDefault="007325F9" w:rsidP="007325F9">
      <w:pPr>
        <w:pStyle w:val="Heading1"/>
      </w:pPr>
      <w:r w:rsidRPr="00A23CB2">
        <w:rPr>
          <w:b/>
        </w:rPr>
        <w:t>Applications to the Tribunal to perform electroconvulsive therapy</w:t>
      </w:r>
      <w:r w:rsidRPr="00A23CB2">
        <w:t xml:space="preserve"> can only be submitted by email or fax to the following address/number:</w:t>
      </w:r>
    </w:p>
    <w:p w14:paraId="3B537733" w14:textId="77777777" w:rsidR="007325F9" w:rsidRPr="00A23CB2" w:rsidRDefault="007325F9" w:rsidP="007325F9">
      <w:pPr>
        <w:pStyle w:val="Heading2"/>
        <w:numPr>
          <w:ilvl w:val="0"/>
          <w:numId w:val="0"/>
        </w:numPr>
        <w:ind w:left="1702"/>
      </w:pPr>
      <w:r w:rsidRPr="00A23CB2">
        <w:t>Mental Health Tribunal</w:t>
      </w:r>
    </w:p>
    <w:p w14:paraId="0C10BC38" w14:textId="77777777" w:rsidR="007325F9" w:rsidRPr="00A23CB2" w:rsidRDefault="007325F9" w:rsidP="007325F9">
      <w:pPr>
        <w:pStyle w:val="Heading2"/>
        <w:numPr>
          <w:ilvl w:val="0"/>
          <w:numId w:val="0"/>
        </w:numPr>
        <w:ind w:left="1702"/>
      </w:pPr>
      <w:r w:rsidRPr="00A23CB2">
        <w:t>Facsimile: 9032 3223</w:t>
      </w:r>
    </w:p>
    <w:p w14:paraId="791157E7" w14:textId="77777777" w:rsidR="007325F9" w:rsidRPr="00A23CB2" w:rsidRDefault="007325F9" w:rsidP="007325F9">
      <w:pPr>
        <w:pStyle w:val="Heading2"/>
        <w:numPr>
          <w:ilvl w:val="0"/>
          <w:numId w:val="0"/>
        </w:numPr>
        <w:ind w:left="1702"/>
      </w:pPr>
      <w:r w:rsidRPr="00A23CB2">
        <w:t>Email address: mht@mht.vic.gov.au</w:t>
      </w:r>
    </w:p>
    <w:p w14:paraId="29663587" w14:textId="77777777" w:rsidR="00E44D7A" w:rsidRPr="00A23CB2" w:rsidRDefault="007325F9" w:rsidP="007325F9">
      <w:pPr>
        <w:pStyle w:val="Heading1"/>
      </w:pPr>
      <w:r w:rsidRPr="00A23CB2">
        <w:rPr>
          <w:b/>
        </w:rPr>
        <w:t>All other a</w:t>
      </w:r>
      <w:r w:rsidR="00E44D7A" w:rsidRPr="00A23CB2">
        <w:rPr>
          <w:b/>
        </w:rPr>
        <w:t>pplication forms</w:t>
      </w:r>
      <w:r w:rsidRPr="00A23CB2">
        <w:t xml:space="preserve"> </w:t>
      </w:r>
      <w:r w:rsidR="00E44D7A" w:rsidRPr="00A23CB2">
        <w:t xml:space="preserve">may be submitted to the Tribunal by post, fax or email during business hours at the </w:t>
      </w:r>
      <w:r w:rsidRPr="00A23CB2">
        <w:t>below address:</w:t>
      </w:r>
      <w:r w:rsidR="00DB5A8D" w:rsidRPr="00A23CB2">
        <w:t xml:space="preserve"> </w:t>
      </w:r>
    </w:p>
    <w:p w14:paraId="51203237" w14:textId="77777777" w:rsidR="00DB5A8D" w:rsidRPr="00A23CB2" w:rsidRDefault="00DB5A8D" w:rsidP="007325F9">
      <w:pPr>
        <w:pStyle w:val="Heading2"/>
        <w:numPr>
          <w:ilvl w:val="0"/>
          <w:numId w:val="0"/>
        </w:numPr>
        <w:ind w:left="1702"/>
      </w:pPr>
      <w:r w:rsidRPr="00A23CB2">
        <w:t>Mental Health Tribunal</w:t>
      </w:r>
    </w:p>
    <w:p w14:paraId="5B334E55" w14:textId="77777777" w:rsidR="00DB5A8D" w:rsidRPr="00A23CB2" w:rsidRDefault="00DB5A8D" w:rsidP="007325F9">
      <w:pPr>
        <w:pStyle w:val="Heading2"/>
        <w:numPr>
          <w:ilvl w:val="0"/>
          <w:numId w:val="0"/>
        </w:numPr>
        <w:ind w:left="1702"/>
      </w:pPr>
      <w:r w:rsidRPr="00A23CB2">
        <w:t>Level 30, 570 Bourke Street</w:t>
      </w:r>
    </w:p>
    <w:p w14:paraId="5A50F15D" w14:textId="77777777" w:rsidR="00DB5A8D" w:rsidRPr="00A23CB2" w:rsidRDefault="00DB5A8D" w:rsidP="007325F9">
      <w:pPr>
        <w:pStyle w:val="Heading2"/>
        <w:numPr>
          <w:ilvl w:val="0"/>
          <w:numId w:val="0"/>
        </w:numPr>
        <w:ind w:left="1702"/>
      </w:pPr>
      <w:r w:rsidRPr="00A23CB2">
        <w:t>Melbourne 3000, Victoria, Australia</w:t>
      </w:r>
    </w:p>
    <w:p w14:paraId="6E48587F" w14:textId="77777777" w:rsidR="00DB5A8D" w:rsidRPr="00A23CB2" w:rsidRDefault="00DB5A8D" w:rsidP="007325F9">
      <w:pPr>
        <w:pStyle w:val="Heading2"/>
        <w:numPr>
          <w:ilvl w:val="0"/>
          <w:numId w:val="0"/>
        </w:numPr>
        <w:ind w:left="1702"/>
      </w:pPr>
      <w:r w:rsidRPr="00A23CB2">
        <w:t>Facsimile: 9032 3223</w:t>
      </w:r>
    </w:p>
    <w:p w14:paraId="6877E690" w14:textId="77777777" w:rsidR="00DB5A8D" w:rsidRPr="00A23CB2" w:rsidRDefault="00DB5A8D" w:rsidP="007325F9">
      <w:pPr>
        <w:pStyle w:val="Heading2"/>
        <w:numPr>
          <w:ilvl w:val="0"/>
          <w:numId w:val="0"/>
        </w:numPr>
        <w:ind w:left="1702"/>
      </w:pPr>
      <w:r w:rsidRPr="00A23CB2">
        <w:t>Email address: mht@mht.vic.gov.au</w:t>
      </w:r>
    </w:p>
    <w:p w14:paraId="5AD507D7" w14:textId="77777777" w:rsidR="00E44D7A" w:rsidRPr="00A23CB2" w:rsidRDefault="00443FB4" w:rsidP="00E44D7A">
      <w:pPr>
        <w:pStyle w:val="Heading1"/>
        <w:numPr>
          <w:ilvl w:val="0"/>
          <w:numId w:val="0"/>
        </w:numPr>
        <w:ind w:left="851" w:hanging="851"/>
        <w:rPr>
          <w:b/>
        </w:rPr>
      </w:pPr>
      <w:r w:rsidRPr="00A23CB2">
        <w:rPr>
          <w:b/>
        </w:rPr>
        <w:t>III.</w:t>
      </w:r>
      <w:r w:rsidRPr="00A23CB2">
        <w:rPr>
          <w:b/>
        </w:rPr>
        <w:tab/>
        <w:t>URGENT APPLICATIONS</w:t>
      </w:r>
    </w:p>
    <w:p w14:paraId="399AA1AA" w14:textId="77777777" w:rsidR="00443FB4" w:rsidRPr="00A23CB2" w:rsidRDefault="00443FB4" w:rsidP="00443FB4">
      <w:pPr>
        <w:pStyle w:val="Heading1"/>
      </w:pPr>
      <w:r w:rsidRPr="00A23CB2">
        <w:t xml:space="preserve">Where the </w:t>
      </w:r>
      <w:r w:rsidRPr="00A23CB2">
        <w:rPr>
          <w:i/>
        </w:rPr>
        <w:t>Mental Health Act 2014</w:t>
      </w:r>
      <w:r w:rsidRPr="00A23CB2">
        <w:t xml:space="preserve"> permits an application to be made to the Tribunal for an urgent hearing and a person seeks to apply for an urgent hearing, the application must be lodged after the person first gives the Tribunal notice of the urgent application by --</w:t>
      </w:r>
    </w:p>
    <w:p w14:paraId="7C38D96F" w14:textId="77777777" w:rsidR="00443FB4" w:rsidRPr="00A23CB2" w:rsidRDefault="00443FB4" w:rsidP="00443FB4">
      <w:pPr>
        <w:pStyle w:val="Heading1"/>
        <w:numPr>
          <w:ilvl w:val="0"/>
          <w:numId w:val="0"/>
        </w:numPr>
        <w:ind w:left="1691" w:hanging="840"/>
      </w:pPr>
      <w:r w:rsidRPr="00A23CB2">
        <w:t>(a)</w:t>
      </w:r>
      <w:r w:rsidRPr="00A23CB2">
        <w:tab/>
        <w:t>telephoning the telephone number specified on the Tribunal website or other documents for the purposes of making an urgent application and providing the following particulars --</w:t>
      </w:r>
    </w:p>
    <w:p w14:paraId="2BFA7FFF" w14:textId="77777777" w:rsidR="00443FB4" w:rsidRPr="00A23CB2" w:rsidRDefault="00443FB4" w:rsidP="00443FB4">
      <w:pPr>
        <w:pStyle w:val="Heading1"/>
        <w:numPr>
          <w:ilvl w:val="0"/>
          <w:numId w:val="0"/>
        </w:numPr>
        <w:ind w:left="851" w:firstLine="840"/>
      </w:pPr>
      <w:r w:rsidRPr="00A23CB2">
        <w:t>(i)</w:t>
      </w:r>
      <w:r w:rsidRPr="00A23CB2">
        <w:tab/>
        <w:t>the name of the person making the application;</w:t>
      </w:r>
    </w:p>
    <w:p w14:paraId="440D191A" w14:textId="77777777" w:rsidR="00443FB4" w:rsidRPr="00A23CB2" w:rsidRDefault="00443FB4" w:rsidP="00443FB4">
      <w:pPr>
        <w:pStyle w:val="Heading1"/>
        <w:numPr>
          <w:ilvl w:val="0"/>
          <w:numId w:val="0"/>
        </w:numPr>
        <w:ind w:left="851" w:firstLine="840"/>
      </w:pPr>
      <w:r w:rsidRPr="00A23CB2">
        <w:t>(ii)</w:t>
      </w:r>
      <w:r w:rsidRPr="00A23CB2">
        <w:tab/>
        <w:t>that the person is making an urgent application; and</w:t>
      </w:r>
    </w:p>
    <w:p w14:paraId="4588CE84" w14:textId="77777777" w:rsidR="00443FB4" w:rsidRPr="00A23CB2" w:rsidRDefault="00443FB4" w:rsidP="00443FB4">
      <w:pPr>
        <w:pStyle w:val="Heading1"/>
        <w:numPr>
          <w:ilvl w:val="0"/>
          <w:numId w:val="0"/>
        </w:numPr>
        <w:ind w:left="2546" w:hanging="855"/>
      </w:pPr>
      <w:r w:rsidRPr="00A23CB2">
        <w:lastRenderedPageBreak/>
        <w:t>(iii)</w:t>
      </w:r>
      <w:r w:rsidRPr="00A23CB2">
        <w:tab/>
        <w:t>particulars of the application sufficient to identify the nature of the application and why the person considers the application is urgent.</w:t>
      </w:r>
    </w:p>
    <w:p w14:paraId="2C677027" w14:textId="77777777" w:rsidR="00443FB4" w:rsidRPr="00A23CB2" w:rsidRDefault="00443FB4" w:rsidP="00E44D7A">
      <w:pPr>
        <w:pStyle w:val="Heading1"/>
        <w:numPr>
          <w:ilvl w:val="0"/>
          <w:numId w:val="0"/>
        </w:numPr>
        <w:ind w:left="851" w:hanging="851"/>
        <w:rPr>
          <w:b/>
        </w:rPr>
      </w:pPr>
    </w:p>
    <w:p w14:paraId="1746459D" w14:textId="77777777" w:rsidR="00E44D7A" w:rsidRPr="00A23CB2" w:rsidRDefault="00E44D7A" w:rsidP="00400145">
      <w:pPr>
        <w:pStyle w:val="Heading1"/>
        <w:keepNext/>
        <w:keepLines/>
        <w:numPr>
          <w:ilvl w:val="0"/>
          <w:numId w:val="0"/>
        </w:numPr>
        <w:ind w:left="851" w:hanging="851"/>
        <w:rPr>
          <w:b/>
        </w:rPr>
      </w:pPr>
      <w:r w:rsidRPr="00A23CB2">
        <w:rPr>
          <w:b/>
        </w:rPr>
        <w:t>I</w:t>
      </w:r>
      <w:r w:rsidR="00443FB4" w:rsidRPr="00A23CB2">
        <w:rPr>
          <w:b/>
        </w:rPr>
        <w:t>V</w:t>
      </w:r>
      <w:r w:rsidRPr="00A23CB2">
        <w:rPr>
          <w:b/>
        </w:rPr>
        <w:t xml:space="preserve">. </w:t>
      </w:r>
      <w:r w:rsidRPr="00A23CB2">
        <w:rPr>
          <w:b/>
        </w:rPr>
        <w:tab/>
        <w:t>CLINICAL REPORTS TO BE PROVIDED</w:t>
      </w:r>
    </w:p>
    <w:p w14:paraId="7DE94969" w14:textId="77777777" w:rsidR="00E44D7A" w:rsidRPr="00A23CB2" w:rsidRDefault="00E44D7A" w:rsidP="00D80ED5">
      <w:pPr>
        <w:pStyle w:val="Heading1"/>
        <w:keepNext/>
        <w:keepLines/>
      </w:pPr>
      <w:r w:rsidRPr="00A23CB2">
        <w:t xml:space="preserve">Rule 10 of the Rules requires that a psychiatrist or authorised psychiatrist give to the Tribunal a Report that contains clinical information with respect to </w:t>
      </w:r>
      <w:r w:rsidR="00C14A88" w:rsidRPr="00A23CB2">
        <w:t>all hearing types.</w:t>
      </w:r>
    </w:p>
    <w:p w14:paraId="79B235E1" w14:textId="77777777" w:rsidR="0080102E" w:rsidRPr="00A23CB2" w:rsidRDefault="000852BD" w:rsidP="00777C2F">
      <w:pPr>
        <w:pStyle w:val="Heading1"/>
      </w:pPr>
      <w:r w:rsidRPr="00A23CB2">
        <w:t xml:space="preserve">This </w:t>
      </w:r>
      <w:r w:rsidR="00E44D7A" w:rsidRPr="00A23CB2">
        <w:t xml:space="preserve">Practice Note incorporates </w:t>
      </w:r>
      <w:r w:rsidRPr="00A23CB2">
        <w:t xml:space="preserve">template </w:t>
      </w:r>
      <w:r w:rsidR="00E44D7A" w:rsidRPr="00A23CB2">
        <w:t>Report</w:t>
      </w:r>
      <w:r w:rsidRPr="00A23CB2">
        <w:t>s</w:t>
      </w:r>
      <w:r w:rsidR="00E44D7A" w:rsidRPr="00A23CB2">
        <w:t xml:space="preserve"> </w:t>
      </w:r>
      <w:r w:rsidRPr="00A23CB2">
        <w:t xml:space="preserve">that </w:t>
      </w:r>
      <w:r w:rsidR="00E44D7A" w:rsidRPr="00A23CB2">
        <w:t xml:space="preserve">can be used to provide the Tribunal with the information required by the Rules for each </w:t>
      </w:r>
      <w:r w:rsidRPr="00A23CB2">
        <w:t>application type</w:t>
      </w:r>
      <w:r w:rsidR="00E44D7A" w:rsidRPr="00A23CB2">
        <w:t>.</w:t>
      </w:r>
    </w:p>
    <w:p w14:paraId="44C9F8F1" w14:textId="77777777" w:rsidR="0080102E" w:rsidRDefault="0080102E" w:rsidP="00777C2F">
      <w:pPr>
        <w:pStyle w:val="Heading1"/>
      </w:pPr>
      <w:r w:rsidRPr="00A23CB2">
        <w:t>These template Reports identify the required information that must be included in the Report before it is provided to the Tribunal.</w:t>
      </w:r>
    </w:p>
    <w:p w14:paraId="1085111D" w14:textId="19A3F5C8" w:rsidR="005C749C" w:rsidRPr="00A23CB2" w:rsidRDefault="003D0E4E" w:rsidP="005C749C">
      <w:pPr>
        <w:pStyle w:val="Heading1"/>
      </w:pPr>
      <w:r>
        <w:t>Reports must be provided to the Tribunal as soon as is reasonably practicable or otherwise as directed by the Tribunal.</w:t>
      </w:r>
    </w:p>
    <w:p w14:paraId="6604CEF7" w14:textId="30E54946" w:rsidR="008D0741" w:rsidRPr="00A23CB2" w:rsidRDefault="0080102E" w:rsidP="0080102E">
      <w:pPr>
        <w:pStyle w:val="VGSOHdg1"/>
      </w:pPr>
      <w:r w:rsidRPr="00A23CB2">
        <w:t>Available templates</w:t>
      </w:r>
      <w:r w:rsidR="00E44D7A" w:rsidRPr="00A23CB2">
        <w:t xml:space="preserve">  </w:t>
      </w:r>
    </w:p>
    <w:p w14:paraId="6184CA32" w14:textId="77777777" w:rsidR="000852BD" w:rsidRPr="00A23CB2" w:rsidRDefault="008D0741" w:rsidP="00777C2F">
      <w:pPr>
        <w:pStyle w:val="Heading1"/>
      </w:pPr>
      <w:r w:rsidRPr="00A23CB2">
        <w:t>Template Reports are provided as follows:</w:t>
      </w:r>
    </w:p>
    <w:p w14:paraId="3E4DD2A8" w14:textId="1EB8E02D" w:rsidR="008D0741" w:rsidRPr="00A23CB2" w:rsidRDefault="008D0741" w:rsidP="008D0741">
      <w:pPr>
        <w:pStyle w:val="Heading2"/>
      </w:pPr>
      <w:r w:rsidRPr="00A23CB2">
        <w:t xml:space="preserve">Report </w:t>
      </w:r>
      <w:r w:rsidR="00AC5664">
        <w:t>for hearings about a Treatment Order</w:t>
      </w:r>
      <w:r w:rsidR="00D80ED5" w:rsidRPr="00A23CB2">
        <w:t>;</w:t>
      </w:r>
    </w:p>
    <w:p w14:paraId="4A973F7D" w14:textId="77777777" w:rsidR="008D0741" w:rsidRPr="00A23CB2" w:rsidRDefault="008D0741" w:rsidP="008D0741">
      <w:pPr>
        <w:pStyle w:val="Heading2"/>
      </w:pPr>
      <w:r w:rsidRPr="00A23CB2">
        <w:t xml:space="preserve">Report on Court Secure Patient </w:t>
      </w:r>
      <w:r w:rsidR="004B4A8A">
        <w:t>Order</w:t>
      </w:r>
      <w:r w:rsidRPr="00A23CB2">
        <w:t>;</w:t>
      </w:r>
    </w:p>
    <w:p w14:paraId="276B6AB0" w14:textId="77777777" w:rsidR="008D0741" w:rsidRPr="00A23CB2" w:rsidRDefault="008D0741" w:rsidP="008D0741">
      <w:pPr>
        <w:pStyle w:val="Heading2"/>
      </w:pPr>
      <w:r w:rsidRPr="00A23CB2">
        <w:t xml:space="preserve">Report on Secure Patient </w:t>
      </w:r>
      <w:r w:rsidR="004B4A8A">
        <w:t>Order</w:t>
      </w:r>
      <w:r w:rsidRPr="00A23CB2">
        <w:t>;</w:t>
      </w:r>
    </w:p>
    <w:p w14:paraId="5EE8B854" w14:textId="77777777" w:rsidR="008D0741" w:rsidRPr="00A23CB2" w:rsidRDefault="008D0741" w:rsidP="008D0741">
      <w:pPr>
        <w:pStyle w:val="Heading2"/>
      </w:pPr>
      <w:r w:rsidRPr="00A23CB2">
        <w:t>Electroconvulsive Treatment</w:t>
      </w:r>
      <w:r w:rsidR="004B4A8A">
        <w:t xml:space="preserve"> Report</w:t>
      </w:r>
      <w:r w:rsidRPr="00A23CB2">
        <w:t xml:space="preserve"> - Adult </w:t>
      </w:r>
      <w:r w:rsidR="00E15AAB" w:rsidRPr="00A23CB2">
        <w:t>P</w:t>
      </w:r>
      <w:r w:rsidRPr="00A23CB2">
        <w:t>atients;</w:t>
      </w:r>
    </w:p>
    <w:p w14:paraId="20F458EB" w14:textId="77777777" w:rsidR="008D0741" w:rsidRPr="00A23CB2" w:rsidRDefault="008D0741" w:rsidP="008D0741">
      <w:pPr>
        <w:pStyle w:val="Heading2"/>
      </w:pPr>
      <w:r w:rsidRPr="00A23CB2">
        <w:t xml:space="preserve">Electroconvulsive Treatment </w:t>
      </w:r>
      <w:r w:rsidR="004B4A8A">
        <w:t xml:space="preserve">Report </w:t>
      </w:r>
      <w:r w:rsidRPr="00A23CB2">
        <w:t xml:space="preserve">- Young </w:t>
      </w:r>
      <w:r w:rsidR="00E15AAB" w:rsidRPr="00A23CB2">
        <w:t>P</w:t>
      </w:r>
      <w:r w:rsidRPr="00A23CB2">
        <w:t>erson</w:t>
      </w:r>
      <w:r w:rsidR="004B4A8A">
        <w:t>s</w:t>
      </w:r>
      <w:r w:rsidRPr="00A23CB2">
        <w:t xml:space="preserve"> </w:t>
      </w:r>
      <w:r w:rsidR="004B4A8A">
        <w:t>(p</w:t>
      </w:r>
      <w:r w:rsidRPr="00A23CB2">
        <w:t>atients</w:t>
      </w:r>
      <w:r w:rsidR="004B4A8A">
        <w:t>)</w:t>
      </w:r>
      <w:r w:rsidRPr="00A23CB2">
        <w:t>;</w:t>
      </w:r>
    </w:p>
    <w:p w14:paraId="5903E026" w14:textId="77777777" w:rsidR="008D0741" w:rsidRPr="00A23CB2" w:rsidRDefault="008D0741" w:rsidP="008D0741">
      <w:pPr>
        <w:pStyle w:val="Heading2"/>
      </w:pPr>
      <w:r w:rsidRPr="00A23CB2">
        <w:t>Electroconvulsive Treatment</w:t>
      </w:r>
      <w:r w:rsidR="004B4A8A">
        <w:t xml:space="preserve"> Report</w:t>
      </w:r>
      <w:r w:rsidRPr="00A23CB2">
        <w:t xml:space="preserve"> - Young </w:t>
      </w:r>
      <w:r w:rsidR="00E15AAB" w:rsidRPr="00A23CB2">
        <w:t>P</w:t>
      </w:r>
      <w:r w:rsidRPr="00A23CB2">
        <w:t>erson</w:t>
      </w:r>
      <w:r w:rsidR="004B4A8A">
        <w:t>s</w:t>
      </w:r>
      <w:r w:rsidRPr="00A23CB2">
        <w:t xml:space="preserve"> (</w:t>
      </w:r>
      <w:r w:rsidR="004B4A8A">
        <w:t>voluntary)</w:t>
      </w:r>
      <w:r w:rsidRPr="00A23CB2">
        <w:t>;</w:t>
      </w:r>
    </w:p>
    <w:p w14:paraId="04BAF52A" w14:textId="77777777" w:rsidR="00B11AFE" w:rsidRPr="00A23CB2" w:rsidRDefault="00B11AFE" w:rsidP="008D0741">
      <w:pPr>
        <w:pStyle w:val="Heading2"/>
      </w:pPr>
      <w:r w:rsidRPr="00A23CB2">
        <w:t>Application to perform neurosurgery for mental illness.</w:t>
      </w:r>
    </w:p>
    <w:p w14:paraId="135BFA31" w14:textId="77777777" w:rsidR="0080102E" w:rsidRPr="00A23CB2" w:rsidRDefault="0080102E" w:rsidP="0080102E">
      <w:pPr>
        <w:pStyle w:val="Heading2"/>
        <w:numPr>
          <w:ilvl w:val="0"/>
          <w:numId w:val="0"/>
        </w:numPr>
        <w:rPr>
          <w:b/>
        </w:rPr>
      </w:pPr>
      <w:r w:rsidRPr="00A23CB2">
        <w:rPr>
          <w:b/>
        </w:rPr>
        <w:t xml:space="preserve">Templates to be used for each </w:t>
      </w:r>
      <w:r w:rsidR="00C14A88" w:rsidRPr="00A23CB2">
        <w:rPr>
          <w:b/>
        </w:rPr>
        <w:t>hearing</w:t>
      </w:r>
      <w:r w:rsidRPr="00A23CB2">
        <w:rPr>
          <w:b/>
        </w:rPr>
        <w:t xml:space="preserve"> type</w:t>
      </w:r>
    </w:p>
    <w:p w14:paraId="4A99EA8A" w14:textId="14B4CD59" w:rsidR="00E15AAB" w:rsidRPr="00A23CB2" w:rsidRDefault="00E15AAB" w:rsidP="00E15AAB">
      <w:pPr>
        <w:pStyle w:val="Heading1"/>
      </w:pPr>
      <w:r w:rsidRPr="00A23CB2">
        <w:t xml:space="preserve">The </w:t>
      </w:r>
      <w:r w:rsidR="001D31EF" w:rsidRPr="00A23CB2">
        <w:rPr>
          <w:b/>
        </w:rPr>
        <w:t>Report</w:t>
      </w:r>
      <w:r w:rsidR="00AC5664">
        <w:rPr>
          <w:b/>
        </w:rPr>
        <w:t xml:space="preserve"> for hearings about a Treatment Order</w:t>
      </w:r>
      <w:r w:rsidR="001D31EF" w:rsidRPr="00A23CB2">
        <w:rPr>
          <w:b/>
        </w:rPr>
        <w:t xml:space="preserve"> </w:t>
      </w:r>
      <w:r w:rsidRPr="00A23CB2">
        <w:t xml:space="preserve">template may be used for </w:t>
      </w:r>
      <w:r w:rsidR="00C14A88" w:rsidRPr="00A23CB2">
        <w:t>hearings</w:t>
      </w:r>
      <w:r w:rsidRPr="00A23CB2">
        <w:t xml:space="preserve"> under Part 4 of the Act, including</w:t>
      </w:r>
      <w:r w:rsidR="00D80ED5" w:rsidRPr="00A23CB2">
        <w:t xml:space="preserve"> hearings to determine</w:t>
      </w:r>
      <w:r w:rsidRPr="00A23CB2">
        <w:t>:</w:t>
      </w:r>
    </w:p>
    <w:p w14:paraId="0DC78794" w14:textId="77777777" w:rsidR="00D80ED5" w:rsidRPr="00A23CB2" w:rsidRDefault="00D80ED5" w:rsidP="00D80ED5">
      <w:pPr>
        <w:pStyle w:val="Heading2"/>
      </w:pPr>
      <w:r w:rsidRPr="00A23CB2">
        <w:t>whether to make a Treatment Order under section 53 in relation to a person who is subject to a Temporary Treatment Order; or</w:t>
      </w:r>
    </w:p>
    <w:p w14:paraId="3AA8EB45" w14:textId="77777777" w:rsidR="00D80ED5" w:rsidRPr="00A23CB2" w:rsidRDefault="00D80ED5" w:rsidP="00D80ED5">
      <w:pPr>
        <w:pStyle w:val="Heading2"/>
      </w:pPr>
      <w:r w:rsidRPr="00A23CB2">
        <w:t>an application by an authorised psychiatrist for a Treatment Order under section 54 in relation to a person who is currently subject to a Treatment Order; or</w:t>
      </w:r>
    </w:p>
    <w:p w14:paraId="7D5679E0" w14:textId="77777777" w:rsidR="00D80ED5" w:rsidRPr="00A23CB2" w:rsidRDefault="00D80ED5" w:rsidP="00D80ED5">
      <w:pPr>
        <w:pStyle w:val="Heading2"/>
      </w:pPr>
      <w:r w:rsidRPr="00A23CB2">
        <w:t>whether to make a Treatment Order or revoke an Inpatient Treatment Order under section 58(5) in relation to a person who is made subject to an Inpatient Treatment Order</w:t>
      </w:r>
      <w:r w:rsidR="001D31EF" w:rsidRPr="00A23CB2">
        <w:t>,</w:t>
      </w:r>
      <w:r w:rsidRPr="00A23CB2">
        <w:t xml:space="preserve"> that was varied to the Inpatient Treatment Order from a Community Treatment Order by an authorised psychiatrist; or</w:t>
      </w:r>
    </w:p>
    <w:p w14:paraId="5F4A8727" w14:textId="3AEBB8CF" w:rsidR="00F35F3F" w:rsidRPr="00A23CB2" w:rsidRDefault="00D80ED5" w:rsidP="00107F03">
      <w:pPr>
        <w:pStyle w:val="Heading2"/>
      </w:pPr>
      <w:r w:rsidRPr="00A23CB2">
        <w:lastRenderedPageBreak/>
        <w:t>an application to revoke a Temporary Treatment Order or Trea</w:t>
      </w:r>
      <w:r w:rsidR="001A0E47">
        <w:t>tment Order under section 60.</w:t>
      </w:r>
    </w:p>
    <w:p w14:paraId="1BDF2F98" w14:textId="77777777" w:rsidR="00C414CD" w:rsidRPr="00A23CB2" w:rsidRDefault="00E15AAB" w:rsidP="00E15AAB">
      <w:pPr>
        <w:pStyle w:val="Heading1"/>
      </w:pPr>
      <w:r w:rsidRPr="00A23CB2">
        <w:t xml:space="preserve">The </w:t>
      </w:r>
      <w:r w:rsidRPr="00A23CB2">
        <w:rPr>
          <w:b/>
        </w:rPr>
        <w:t xml:space="preserve">Report on Court Secure </w:t>
      </w:r>
      <w:r w:rsidR="001B046E" w:rsidRPr="00A23CB2">
        <w:rPr>
          <w:b/>
        </w:rPr>
        <w:t>Treatment Order</w:t>
      </w:r>
      <w:r w:rsidRPr="00A23CB2">
        <w:t xml:space="preserve"> template may be used for</w:t>
      </w:r>
      <w:r w:rsidR="00C414CD" w:rsidRPr="00A23CB2">
        <w:t>:</w:t>
      </w:r>
    </w:p>
    <w:p w14:paraId="5C31AC7D" w14:textId="77777777" w:rsidR="00C414CD" w:rsidRPr="00A23CB2" w:rsidRDefault="00D80ED5" w:rsidP="00D80ED5">
      <w:pPr>
        <w:pStyle w:val="Heading2"/>
      </w:pPr>
      <w:r w:rsidRPr="00A23CB2">
        <w:t>h</w:t>
      </w:r>
      <w:r w:rsidR="00C414CD" w:rsidRPr="00A23CB2">
        <w:t>earings conducted under s</w:t>
      </w:r>
      <w:r w:rsidRPr="00A23CB2">
        <w:t xml:space="preserve">ection </w:t>
      </w:r>
      <w:r w:rsidR="00C414CD" w:rsidRPr="00A23CB2">
        <w:t>273(1)(a)</w:t>
      </w:r>
      <w:r w:rsidRPr="00A23CB2">
        <w:t xml:space="preserve"> </w:t>
      </w:r>
      <w:r w:rsidR="00C414CD" w:rsidRPr="00A23CB2">
        <w:t>within 28 days of the security patient being received at the designated mental health service</w:t>
      </w:r>
      <w:r w:rsidRPr="00A23CB2">
        <w:t>;</w:t>
      </w:r>
    </w:p>
    <w:p w14:paraId="78B3222E" w14:textId="77777777" w:rsidR="00C414CD" w:rsidRPr="00A23CB2" w:rsidRDefault="00443FB4" w:rsidP="00D80ED5">
      <w:pPr>
        <w:pStyle w:val="Heading2"/>
      </w:pPr>
      <w:r w:rsidRPr="00A23CB2">
        <w:t>h</w:t>
      </w:r>
      <w:r w:rsidR="00C414CD" w:rsidRPr="00A23CB2">
        <w:t>earings conducted under s</w:t>
      </w:r>
      <w:r w:rsidRPr="00A23CB2">
        <w:t xml:space="preserve">ection </w:t>
      </w:r>
      <w:r w:rsidR="00C414CD" w:rsidRPr="00A23CB2">
        <w:t>273(1)(b) at least every 6 months during the treatment of the security patient</w:t>
      </w:r>
      <w:r w:rsidRPr="00A23CB2">
        <w:t xml:space="preserve"> following the initial review of the </w:t>
      </w:r>
      <w:r w:rsidR="00345CF6" w:rsidRPr="00A23CB2">
        <w:t>O</w:t>
      </w:r>
      <w:r w:rsidRPr="00A23CB2">
        <w:t>rder;</w:t>
      </w:r>
    </w:p>
    <w:p w14:paraId="0B3338B3" w14:textId="77777777" w:rsidR="00C414CD" w:rsidRPr="00A23CB2" w:rsidRDefault="00345CF6" w:rsidP="00D80ED5">
      <w:pPr>
        <w:pStyle w:val="Heading2"/>
      </w:pPr>
      <w:r w:rsidRPr="00A23CB2">
        <w:t xml:space="preserve">an </w:t>
      </w:r>
      <w:r w:rsidR="00443FB4" w:rsidRPr="00A23CB2">
        <w:t>a</w:t>
      </w:r>
      <w:r w:rsidRPr="00A23CB2">
        <w:t>pplication</w:t>
      </w:r>
      <w:r w:rsidR="00C414CD" w:rsidRPr="00A23CB2">
        <w:t xml:space="preserve"> under s</w:t>
      </w:r>
      <w:r w:rsidR="00443FB4" w:rsidRPr="00A23CB2">
        <w:t xml:space="preserve">ection </w:t>
      </w:r>
      <w:r w:rsidR="00C414CD" w:rsidRPr="00A23CB2">
        <w:t>272 by or on behalf of the security patient to determine whether the criteria in s</w:t>
      </w:r>
      <w:r w:rsidR="001D31EF" w:rsidRPr="00A23CB2">
        <w:t>ection</w:t>
      </w:r>
      <w:r w:rsidR="00C414CD" w:rsidRPr="00A23CB2">
        <w:t xml:space="preserve"> 94B(1)(c) of the </w:t>
      </w:r>
      <w:r w:rsidR="00C414CD" w:rsidRPr="00A23CB2">
        <w:rPr>
          <w:i/>
        </w:rPr>
        <w:t>Sentencing Act</w:t>
      </w:r>
      <w:r w:rsidR="00443FB4" w:rsidRPr="00A23CB2">
        <w:t xml:space="preserve"> </w:t>
      </w:r>
      <w:r w:rsidR="00443FB4" w:rsidRPr="00A23CB2">
        <w:rPr>
          <w:i/>
        </w:rPr>
        <w:t>1991</w:t>
      </w:r>
      <w:r w:rsidR="00C414CD" w:rsidRPr="00A23CB2">
        <w:t xml:space="preserve"> apply to the</w:t>
      </w:r>
      <w:r w:rsidR="00443FB4" w:rsidRPr="00A23CB2">
        <w:t xml:space="preserve"> </w:t>
      </w:r>
      <w:r w:rsidR="00C414CD" w:rsidRPr="00A23CB2">
        <w:t>patient</w:t>
      </w:r>
      <w:r w:rsidR="00443FB4" w:rsidRPr="00A23CB2">
        <w:t>.</w:t>
      </w:r>
    </w:p>
    <w:p w14:paraId="4712D36A" w14:textId="77777777" w:rsidR="00E15AAB" w:rsidRPr="00A23CB2" w:rsidRDefault="00E15AAB" w:rsidP="00E15AAB">
      <w:pPr>
        <w:pStyle w:val="Heading1"/>
      </w:pPr>
      <w:r w:rsidRPr="00A23CB2">
        <w:t xml:space="preserve">The </w:t>
      </w:r>
      <w:r w:rsidRPr="00A23CB2">
        <w:rPr>
          <w:b/>
        </w:rPr>
        <w:t xml:space="preserve">Report on Secure </w:t>
      </w:r>
      <w:r w:rsidR="001B046E" w:rsidRPr="00A23CB2">
        <w:rPr>
          <w:b/>
        </w:rPr>
        <w:t>Treatment Order</w:t>
      </w:r>
      <w:r w:rsidRPr="00A23CB2">
        <w:t xml:space="preserve"> template may be used for</w:t>
      </w:r>
      <w:r w:rsidR="00C414CD" w:rsidRPr="00A23CB2">
        <w:t>:</w:t>
      </w:r>
    </w:p>
    <w:p w14:paraId="38455FAD" w14:textId="77777777" w:rsidR="00C414CD" w:rsidRPr="00A23CB2" w:rsidRDefault="00345CF6" w:rsidP="00662290">
      <w:pPr>
        <w:pStyle w:val="Heading2"/>
      </w:pPr>
      <w:r w:rsidRPr="00A23CB2">
        <w:t>h</w:t>
      </w:r>
      <w:r w:rsidR="00C414CD" w:rsidRPr="00A23CB2">
        <w:t>earings conducted under s</w:t>
      </w:r>
      <w:r w:rsidR="00662290" w:rsidRPr="00A23CB2">
        <w:t xml:space="preserve">ection </w:t>
      </w:r>
      <w:r w:rsidR="00C414CD" w:rsidRPr="00A23CB2">
        <w:t>279(1)(a) within 28 days of the security patient being received at the designated mental health service</w:t>
      </w:r>
      <w:r w:rsidRPr="00A23CB2">
        <w:t>;</w:t>
      </w:r>
    </w:p>
    <w:p w14:paraId="58744557" w14:textId="77777777" w:rsidR="00C414CD" w:rsidRPr="00A23CB2" w:rsidRDefault="00345CF6" w:rsidP="00662290">
      <w:pPr>
        <w:pStyle w:val="Heading2"/>
      </w:pPr>
      <w:r w:rsidRPr="00A23CB2">
        <w:t>h</w:t>
      </w:r>
      <w:r w:rsidR="00C414CD" w:rsidRPr="00A23CB2">
        <w:t xml:space="preserve">earings conducted under </w:t>
      </w:r>
      <w:r w:rsidR="00662290" w:rsidRPr="00A23CB2">
        <w:t xml:space="preserve">section </w:t>
      </w:r>
      <w:r w:rsidR="00C414CD" w:rsidRPr="00A23CB2">
        <w:t>279(1)(b) at least every 6 months during the treatment of the security patient</w:t>
      </w:r>
      <w:r w:rsidRPr="00A23CB2">
        <w:t xml:space="preserve"> following the initial review of the Order;</w:t>
      </w:r>
    </w:p>
    <w:p w14:paraId="7F94FE1B" w14:textId="77777777" w:rsidR="00C414CD" w:rsidRPr="00A23CB2" w:rsidRDefault="00345CF6" w:rsidP="00345CF6">
      <w:pPr>
        <w:pStyle w:val="Heading2"/>
      </w:pPr>
      <w:r w:rsidRPr="00A23CB2">
        <w:t>an application</w:t>
      </w:r>
      <w:r w:rsidR="00C414CD" w:rsidRPr="00A23CB2">
        <w:t xml:space="preserve"> under s</w:t>
      </w:r>
      <w:r w:rsidR="00662290" w:rsidRPr="00A23CB2">
        <w:t xml:space="preserve">ection </w:t>
      </w:r>
      <w:r w:rsidR="00C414CD" w:rsidRPr="00A23CB2">
        <w:t>278 by or on behalf of the security patient to revoke the Secure Treatment Order</w:t>
      </w:r>
      <w:r w:rsidRPr="00A23CB2">
        <w:t>.</w:t>
      </w:r>
    </w:p>
    <w:p w14:paraId="11E55A68" w14:textId="77777777" w:rsidR="00E15AAB" w:rsidRPr="00A23CB2" w:rsidRDefault="00E15AAB" w:rsidP="00E15AAB">
      <w:pPr>
        <w:pStyle w:val="Heading1"/>
      </w:pPr>
      <w:r w:rsidRPr="00A23CB2">
        <w:t xml:space="preserve">The </w:t>
      </w:r>
      <w:r w:rsidRPr="00A23CB2">
        <w:rPr>
          <w:b/>
        </w:rPr>
        <w:t>Electroconvulsive Treatment</w:t>
      </w:r>
      <w:r w:rsidR="004B4A8A">
        <w:rPr>
          <w:b/>
        </w:rPr>
        <w:t xml:space="preserve"> Report</w:t>
      </w:r>
      <w:r w:rsidRPr="00A23CB2">
        <w:rPr>
          <w:b/>
        </w:rPr>
        <w:t xml:space="preserve"> - Adult Patients</w:t>
      </w:r>
      <w:r w:rsidRPr="00A23CB2">
        <w:t xml:space="preserve"> template may be used for applications to perform a course of electroconvulsive treatment on a patient who is not a young person, under section 93.</w:t>
      </w:r>
    </w:p>
    <w:p w14:paraId="26CA005B" w14:textId="77777777" w:rsidR="00E15AAB" w:rsidRPr="00A23CB2" w:rsidRDefault="00E15AAB" w:rsidP="00E15AAB">
      <w:pPr>
        <w:pStyle w:val="Heading1"/>
      </w:pPr>
      <w:r w:rsidRPr="00A23CB2">
        <w:t xml:space="preserve">The </w:t>
      </w:r>
      <w:r w:rsidRPr="00A23CB2">
        <w:rPr>
          <w:b/>
        </w:rPr>
        <w:t xml:space="preserve">Electroconvulsive Treatment </w:t>
      </w:r>
      <w:r w:rsidR="0099059A">
        <w:rPr>
          <w:b/>
        </w:rPr>
        <w:t>Report</w:t>
      </w:r>
      <w:r w:rsidRPr="00A23CB2">
        <w:rPr>
          <w:b/>
        </w:rPr>
        <w:t>- Young Person</w:t>
      </w:r>
      <w:r w:rsidR="00D94F63">
        <w:rPr>
          <w:b/>
        </w:rPr>
        <w:t>s</w:t>
      </w:r>
      <w:r w:rsidRPr="00A23CB2">
        <w:rPr>
          <w:b/>
        </w:rPr>
        <w:t xml:space="preserve"> </w:t>
      </w:r>
      <w:r w:rsidR="004B4A8A">
        <w:rPr>
          <w:b/>
        </w:rPr>
        <w:t>(</w:t>
      </w:r>
      <w:r w:rsidR="006B1453">
        <w:rPr>
          <w:b/>
        </w:rPr>
        <w:t>p</w:t>
      </w:r>
      <w:r w:rsidRPr="00A23CB2">
        <w:rPr>
          <w:b/>
        </w:rPr>
        <w:t>atients</w:t>
      </w:r>
      <w:r w:rsidR="004B4A8A">
        <w:rPr>
          <w:b/>
        </w:rPr>
        <w:t>)</w:t>
      </w:r>
      <w:r w:rsidRPr="00A23CB2">
        <w:t xml:space="preserve"> template may be used for applications to perform a course of electroconvulsive treatment on a patient who is a young person, under section 94</w:t>
      </w:r>
      <w:r w:rsidR="0080102E" w:rsidRPr="00A23CB2">
        <w:t>(1)</w:t>
      </w:r>
      <w:r w:rsidRPr="00A23CB2">
        <w:t>.</w:t>
      </w:r>
    </w:p>
    <w:p w14:paraId="2E7C5BDB" w14:textId="77777777" w:rsidR="0080102E" w:rsidRPr="00A23CB2" w:rsidRDefault="0080102E" w:rsidP="0080102E">
      <w:pPr>
        <w:pStyle w:val="Heading1"/>
      </w:pPr>
      <w:r w:rsidRPr="00A23CB2">
        <w:t xml:space="preserve">The </w:t>
      </w:r>
      <w:r w:rsidRPr="00A23CB2">
        <w:rPr>
          <w:b/>
        </w:rPr>
        <w:t>Report on Electroconvulsive Treatment</w:t>
      </w:r>
      <w:r w:rsidR="0099059A">
        <w:rPr>
          <w:b/>
        </w:rPr>
        <w:t xml:space="preserve"> Report</w:t>
      </w:r>
      <w:r w:rsidRPr="00A23CB2">
        <w:rPr>
          <w:b/>
        </w:rPr>
        <w:t xml:space="preserve"> - Young Person</w:t>
      </w:r>
      <w:r w:rsidR="004B4A8A">
        <w:rPr>
          <w:b/>
        </w:rPr>
        <w:t>s</w:t>
      </w:r>
      <w:r w:rsidRPr="00A23CB2">
        <w:rPr>
          <w:b/>
        </w:rPr>
        <w:t xml:space="preserve"> </w:t>
      </w:r>
      <w:r w:rsidR="000539B7" w:rsidRPr="00A23CB2">
        <w:rPr>
          <w:b/>
        </w:rPr>
        <w:t>(</w:t>
      </w:r>
      <w:r w:rsidR="004B4A8A">
        <w:rPr>
          <w:b/>
        </w:rPr>
        <w:t>voluntary</w:t>
      </w:r>
      <w:r w:rsidR="000539B7" w:rsidRPr="00A23CB2">
        <w:rPr>
          <w:b/>
        </w:rPr>
        <w:t>)</w:t>
      </w:r>
      <w:r w:rsidRPr="00A23CB2">
        <w:t xml:space="preserve"> template may be used for applications to perform a course of electroconvulsive treatment on a young person who is not a patient, under section 94(2).</w:t>
      </w:r>
    </w:p>
    <w:p w14:paraId="73DCAE42" w14:textId="77777777" w:rsidR="00B4687E" w:rsidRPr="00A23CB2" w:rsidRDefault="00B4687E" w:rsidP="0080102E">
      <w:pPr>
        <w:pStyle w:val="Heading1"/>
      </w:pPr>
      <w:r w:rsidRPr="00A23CB2">
        <w:t>The Application to perform neurosurgery for mental illness template may be used for applications to perform neurosurgery for mental illness, under section 100</w:t>
      </w:r>
      <w:r w:rsidR="009D1EA6" w:rsidRPr="00A23CB2">
        <w:t>.</w:t>
      </w:r>
    </w:p>
    <w:p w14:paraId="741601AD" w14:textId="77777777" w:rsidR="00345CF6" w:rsidRPr="00A23CB2" w:rsidRDefault="00345CF6" w:rsidP="00345CF6">
      <w:pPr>
        <w:pStyle w:val="Heading1"/>
        <w:keepNext/>
        <w:keepLines/>
        <w:numPr>
          <w:ilvl w:val="0"/>
          <w:numId w:val="0"/>
        </w:numPr>
        <w:ind w:left="851" w:hanging="851"/>
        <w:rPr>
          <w:b/>
        </w:rPr>
      </w:pPr>
      <w:r w:rsidRPr="00A23CB2">
        <w:rPr>
          <w:b/>
        </w:rPr>
        <w:t xml:space="preserve">V. </w:t>
      </w:r>
      <w:r w:rsidRPr="00A23CB2">
        <w:rPr>
          <w:b/>
        </w:rPr>
        <w:tab/>
        <w:t>ATTENDANCE REQUIREMENTS</w:t>
      </w:r>
    </w:p>
    <w:p w14:paraId="0B4B32AD" w14:textId="77777777" w:rsidR="000539B7" w:rsidRPr="00A23CB2" w:rsidRDefault="00345CF6" w:rsidP="00345CF6">
      <w:pPr>
        <w:pStyle w:val="Heading1"/>
      </w:pPr>
      <w:r w:rsidRPr="00A23CB2">
        <w:t xml:space="preserve">The following </w:t>
      </w:r>
      <w:r w:rsidR="00FE4299" w:rsidRPr="00A23CB2">
        <w:t>attendance requirements are</w:t>
      </w:r>
      <w:r w:rsidRPr="00A23CB2">
        <w:t xml:space="preserve"> relevant </w:t>
      </w:r>
      <w:r w:rsidR="00FE4299" w:rsidRPr="00A23CB2">
        <w:t>for</w:t>
      </w:r>
      <w:r w:rsidRPr="00A23CB2">
        <w:t xml:space="preserve"> all hearing types.</w:t>
      </w:r>
    </w:p>
    <w:p w14:paraId="5EE3CED1" w14:textId="77777777" w:rsidR="00345CF6" w:rsidRPr="00A23CB2" w:rsidRDefault="000539B7" w:rsidP="00345CF6">
      <w:pPr>
        <w:pStyle w:val="Heading1"/>
      </w:pPr>
      <w:r w:rsidRPr="00A23CB2">
        <w:t xml:space="preserve">At a minimum, services must ensure a medical officer with relevant experience as well as direct and sufficient knowledge of the patient is available to provide information to the Tribunal. </w:t>
      </w:r>
    </w:p>
    <w:p w14:paraId="64821C10" w14:textId="77777777" w:rsidR="00345CF6" w:rsidRPr="00A23CB2" w:rsidRDefault="000539B7" w:rsidP="00345CF6">
      <w:pPr>
        <w:pStyle w:val="Heading1"/>
      </w:pPr>
      <w:r w:rsidRPr="00A23CB2">
        <w:t xml:space="preserve">A consultant psychiatrist should also be available to provide information where necessary. </w:t>
      </w:r>
      <w:r w:rsidR="00A23CB2">
        <w:t xml:space="preserve"> </w:t>
      </w:r>
      <w:r w:rsidR="0001015E">
        <w:t>If unable to attend the hearing in person, i</w:t>
      </w:r>
      <w:r w:rsidR="00A23CB2">
        <w:t>t will be sufficient for the consultant psychiatrist to attend by telephone.</w:t>
      </w:r>
    </w:p>
    <w:p w14:paraId="6E7B807B" w14:textId="77777777" w:rsidR="000539B7" w:rsidRPr="00A23CB2" w:rsidRDefault="000539B7" w:rsidP="00345CF6">
      <w:pPr>
        <w:pStyle w:val="Heading1"/>
      </w:pPr>
      <w:r w:rsidRPr="00A23CB2">
        <w:lastRenderedPageBreak/>
        <w:t xml:space="preserve">If clinical staff at the hearing </w:t>
      </w:r>
      <w:r w:rsidR="001D31EF" w:rsidRPr="00A23CB2">
        <w:t xml:space="preserve">are unfamiliar </w:t>
      </w:r>
      <w:r w:rsidRPr="00A23CB2">
        <w:t>w</w:t>
      </w:r>
      <w:r w:rsidR="001D31EF" w:rsidRPr="00A23CB2">
        <w:t>ith</w:t>
      </w:r>
      <w:r w:rsidRPr="00A23CB2">
        <w:t xml:space="preserve"> the patient and the consultant is unavailable, it is unlikely that the Tribunal will be a</w:t>
      </w:r>
      <w:r w:rsidR="00EE72A6" w:rsidRPr="00A23CB2">
        <w:t xml:space="preserve">ble to make a Treatment Order. </w:t>
      </w:r>
      <w:r w:rsidRPr="00A23CB2">
        <w:t xml:space="preserve">The Tribunal </w:t>
      </w:r>
      <w:r w:rsidR="00EE72A6" w:rsidRPr="00A23CB2">
        <w:t xml:space="preserve">recognises </w:t>
      </w:r>
      <w:r w:rsidRPr="00A23CB2">
        <w:t xml:space="preserve">that if </w:t>
      </w:r>
      <w:r w:rsidR="00EE72A6" w:rsidRPr="00A23CB2">
        <w:t>the hearing concerns</w:t>
      </w:r>
      <w:r w:rsidRPr="00A23CB2">
        <w:t xml:space="preserve"> a person’s first compulsory admission</w:t>
      </w:r>
      <w:r w:rsidR="00EE72A6" w:rsidRPr="00A23CB2">
        <w:t>, it is possible</w:t>
      </w:r>
      <w:r w:rsidRPr="00A23CB2">
        <w:t xml:space="preserve"> the treating team will </w:t>
      </w:r>
      <w:r w:rsidR="00EE72A6" w:rsidRPr="00A23CB2">
        <w:t xml:space="preserve">still </w:t>
      </w:r>
      <w:r w:rsidRPr="00A23CB2">
        <w:t xml:space="preserve">be in the process of developing </w:t>
      </w:r>
      <w:r w:rsidR="00EE72A6" w:rsidRPr="00A23CB2">
        <w:t>this knowledge</w:t>
      </w:r>
      <w:r w:rsidRPr="00A23CB2">
        <w:t>.</w:t>
      </w:r>
      <w:r w:rsidR="00EE72A6" w:rsidRPr="00A23CB2">
        <w:t xml:space="preserve"> </w:t>
      </w:r>
      <w:r w:rsidRPr="00A23CB2">
        <w:t xml:space="preserve"> The Tribunal strongly encourages the attendance of case managers as their perspective and input is invaluable.</w:t>
      </w:r>
    </w:p>
    <w:p w14:paraId="12FCD364" w14:textId="77777777" w:rsidR="00FE4299" w:rsidRPr="00A23CB2" w:rsidRDefault="001D31EF" w:rsidP="00345CF6">
      <w:pPr>
        <w:pStyle w:val="Heading1"/>
      </w:pPr>
      <w:r w:rsidRPr="00A23CB2">
        <w:t xml:space="preserve">In </w:t>
      </w:r>
      <w:r w:rsidR="00A23CB2">
        <w:t>preparing</w:t>
      </w:r>
      <w:r w:rsidR="000539B7" w:rsidRPr="00A23CB2">
        <w:t xml:space="preserve"> for </w:t>
      </w:r>
      <w:r w:rsidRPr="00A23CB2">
        <w:t xml:space="preserve">a </w:t>
      </w:r>
      <w:r w:rsidR="000539B7" w:rsidRPr="00A23CB2">
        <w:t xml:space="preserve">Tribunal </w:t>
      </w:r>
      <w:r w:rsidRPr="00A23CB2">
        <w:t xml:space="preserve">hearing, a treating team </w:t>
      </w:r>
      <w:r w:rsidR="00A23CB2">
        <w:t>should have regard to</w:t>
      </w:r>
      <w:r w:rsidR="000539B7" w:rsidRPr="00A23CB2">
        <w:t xml:space="preserve"> the complexity of a particular matter</w:t>
      </w:r>
      <w:r w:rsidR="00EE72A6" w:rsidRPr="00A23CB2">
        <w:t>.  I</w:t>
      </w:r>
      <w:r w:rsidR="000539B7" w:rsidRPr="00A23CB2">
        <w:t xml:space="preserve">f the circumstances of a particular case are complex, the treating </w:t>
      </w:r>
      <w:r w:rsidR="007F798E" w:rsidRPr="00A23CB2">
        <w:t xml:space="preserve">psychiatrist should attend. </w:t>
      </w:r>
      <w:r w:rsidR="00345CF6" w:rsidRPr="00A23CB2">
        <w:t xml:space="preserve"> The Tribunal </w:t>
      </w:r>
      <w:r w:rsidR="00EE72A6" w:rsidRPr="00A23CB2">
        <w:t>recognises</w:t>
      </w:r>
      <w:r w:rsidR="00345CF6" w:rsidRPr="00A23CB2">
        <w:t xml:space="preserve"> that</w:t>
      </w:r>
      <w:r w:rsidR="007F798E" w:rsidRPr="00A23CB2">
        <w:t xml:space="preserve"> complexity cannot </w:t>
      </w:r>
      <w:r w:rsidR="00EE72A6" w:rsidRPr="00A23CB2">
        <w:t>always</w:t>
      </w:r>
      <w:r w:rsidR="007F798E" w:rsidRPr="00A23CB2">
        <w:t xml:space="preserve"> be predicted and questions </w:t>
      </w:r>
      <w:r w:rsidR="00EE72A6" w:rsidRPr="00A23CB2">
        <w:t>may</w:t>
      </w:r>
      <w:r w:rsidR="007F798E" w:rsidRPr="00A23CB2">
        <w:t xml:space="preserve"> arise on the day</w:t>
      </w:r>
      <w:r w:rsidR="00FE4299" w:rsidRPr="00A23CB2">
        <w:t xml:space="preserve"> of the hearing</w:t>
      </w:r>
      <w:r w:rsidR="007F798E" w:rsidRPr="00A23CB2">
        <w:t xml:space="preserve">, </w:t>
      </w:r>
      <w:r w:rsidR="00FE4299" w:rsidRPr="00A23CB2">
        <w:t xml:space="preserve">and </w:t>
      </w:r>
      <w:r w:rsidR="007F798E" w:rsidRPr="00A23CB2">
        <w:t xml:space="preserve">as such the treating psychiatrist needs to be available to contribute to a hearing (including by telephone) in the event </w:t>
      </w:r>
      <w:r w:rsidR="00EE72A6" w:rsidRPr="00A23CB2">
        <w:t xml:space="preserve">that </w:t>
      </w:r>
      <w:r w:rsidR="007F798E" w:rsidRPr="00A23CB2">
        <w:t>issues arise requiring their input.</w:t>
      </w:r>
      <w:r w:rsidR="00FE4299" w:rsidRPr="00A23CB2">
        <w:t xml:space="preserve"> </w:t>
      </w:r>
      <w:r w:rsidR="007F798E" w:rsidRPr="00A23CB2">
        <w:t xml:space="preserve"> </w:t>
      </w:r>
    </w:p>
    <w:p w14:paraId="08465B9A" w14:textId="77777777" w:rsidR="000539B7" w:rsidRPr="00A23CB2" w:rsidRDefault="007F798E" w:rsidP="00FE4299">
      <w:pPr>
        <w:pStyle w:val="Heading1"/>
      </w:pPr>
      <w:r w:rsidRPr="00A23CB2">
        <w:t>If it is not possible for the treating psychiatrist to be available</w:t>
      </w:r>
      <w:r w:rsidR="00EE72A6" w:rsidRPr="00A23CB2">
        <w:t>, the Tribunal requires</w:t>
      </w:r>
      <w:r w:rsidRPr="00A23CB2">
        <w:t xml:space="preserve"> another senior clinician with sufficient knowledge of the individual patient’s current circumstances and treatment plan </w:t>
      </w:r>
      <w:r w:rsidR="00FE4299" w:rsidRPr="00A23CB2">
        <w:t xml:space="preserve">to </w:t>
      </w:r>
      <w:r w:rsidR="00EE72A6" w:rsidRPr="00A23CB2">
        <w:t>attend in their place</w:t>
      </w:r>
      <w:r w:rsidR="00FE4299" w:rsidRPr="00A23CB2">
        <w:t>.</w:t>
      </w:r>
    </w:p>
    <w:p w14:paraId="0E34E63C" w14:textId="77777777" w:rsidR="000539B7" w:rsidRPr="00A23CB2" w:rsidRDefault="000539B7" w:rsidP="0080102E">
      <w:pPr>
        <w:pStyle w:val="Heading1"/>
        <w:numPr>
          <w:ilvl w:val="0"/>
          <w:numId w:val="0"/>
        </w:numPr>
        <w:ind w:left="851"/>
        <w:rPr>
          <w:b/>
        </w:rPr>
      </w:pPr>
    </w:p>
    <w:p w14:paraId="1E71439F" w14:textId="77777777" w:rsidR="00E15AAB" w:rsidRPr="0080102E" w:rsidRDefault="0080102E" w:rsidP="0080102E">
      <w:pPr>
        <w:pStyle w:val="Heading1"/>
        <w:numPr>
          <w:ilvl w:val="0"/>
          <w:numId w:val="0"/>
        </w:numPr>
        <w:ind w:left="851"/>
        <w:jc w:val="center"/>
        <w:rPr>
          <w:b/>
        </w:rPr>
      </w:pPr>
      <w:r w:rsidRPr="00A23CB2">
        <w:rPr>
          <w:b/>
        </w:rPr>
        <w:t>END OF PRACTICE NOTE</w:t>
      </w:r>
    </w:p>
    <w:sectPr w:rsidR="00E15AAB" w:rsidRPr="0080102E" w:rsidSect="00FB3341">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851" w:left="1418"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D34A" w14:textId="77777777" w:rsidR="001C2AFE" w:rsidRDefault="001C2AFE" w:rsidP="002A5921">
      <w:r>
        <w:separator/>
      </w:r>
    </w:p>
    <w:p w14:paraId="7ADC8908" w14:textId="77777777" w:rsidR="001C2AFE" w:rsidRDefault="001C2AFE"/>
  </w:endnote>
  <w:endnote w:type="continuationSeparator" w:id="0">
    <w:p w14:paraId="0B292FB6" w14:textId="77777777" w:rsidR="001C2AFE" w:rsidRDefault="001C2AFE" w:rsidP="002A5921">
      <w:r>
        <w:continuationSeparator/>
      </w:r>
    </w:p>
    <w:p w14:paraId="4618124A" w14:textId="77777777" w:rsidR="001C2AFE" w:rsidRDefault="001C2A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79BE" w14:textId="77777777" w:rsidR="00B11AFE" w:rsidRPr="00B918A5" w:rsidRDefault="00B11AFE" w:rsidP="00B918A5">
    <w:pPr>
      <w:pStyle w:val="Footer"/>
      <w:spacing w:before="0"/>
    </w:pPr>
  </w:p>
  <w:p w14:paraId="3FD4313C" w14:textId="77777777" w:rsidR="00D53A0E" w:rsidRPr="00EB5640" w:rsidRDefault="00D53A0E" w:rsidP="00EB5640">
    <w:pPr>
      <w:pStyle w:val="Footer"/>
      <w:spacing w:before="0"/>
    </w:pPr>
  </w:p>
  <w:p w14:paraId="4A71A204" w14:textId="77777777" w:rsidR="00EB5640" w:rsidRPr="00EB5640" w:rsidRDefault="00EB5640" w:rsidP="00EB5640">
    <w:pPr>
      <w:pStyle w:val="Footer"/>
      <w:spacing w:before="0"/>
    </w:pPr>
    <w:r w:rsidRPr="00EB5640">
      <w:t>1565120_3\C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25FB" w14:textId="77777777" w:rsidR="00B11AFE" w:rsidRPr="00B918A5" w:rsidRDefault="00B11AFE" w:rsidP="00B918A5">
    <w:pPr>
      <w:pStyle w:val="Footer"/>
      <w:spacing w:before="0"/>
    </w:pPr>
  </w:p>
  <w:p w14:paraId="345FD01F" w14:textId="77777777" w:rsidR="00D53A0E" w:rsidRPr="00EB5640" w:rsidRDefault="00D53A0E" w:rsidP="00EB5640">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A3477" w14:textId="77777777" w:rsidR="00B11AFE" w:rsidRPr="00B918A5" w:rsidRDefault="00B11AFE" w:rsidP="00B918A5">
    <w:pPr>
      <w:pStyle w:val="Footer"/>
      <w:spacing w:before="0"/>
    </w:pPr>
  </w:p>
  <w:p w14:paraId="322B8309" w14:textId="77777777" w:rsidR="00D53A0E" w:rsidRPr="00EB5640" w:rsidRDefault="00D53A0E" w:rsidP="00EB5640">
    <w:pPr>
      <w:pStyle w:val="Footer"/>
      <w:spacing w:before="0"/>
    </w:pPr>
  </w:p>
  <w:p w14:paraId="4A4EC6E3" w14:textId="77777777" w:rsidR="00EB5640" w:rsidRPr="00EB5640" w:rsidRDefault="00EB5640" w:rsidP="00EB5640">
    <w:pPr>
      <w:pStyle w:val="Footer"/>
      <w:spacing w:before="0"/>
    </w:pPr>
    <w:r w:rsidRPr="00EB5640">
      <w:t>1565120_3\C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1C1A" w14:textId="77777777" w:rsidR="001C2AFE" w:rsidRDefault="001C2AFE" w:rsidP="002A5921">
      <w:r>
        <w:separator/>
      </w:r>
    </w:p>
    <w:p w14:paraId="01E70D02" w14:textId="77777777" w:rsidR="001C2AFE" w:rsidRDefault="001C2AFE"/>
  </w:footnote>
  <w:footnote w:type="continuationSeparator" w:id="0">
    <w:p w14:paraId="201830DD" w14:textId="77777777" w:rsidR="001C2AFE" w:rsidRDefault="001C2AFE" w:rsidP="002A5921">
      <w:r>
        <w:continuationSeparator/>
      </w:r>
    </w:p>
    <w:p w14:paraId="5B17582A" w14:textId="77777777" w:rsidR="001C2AFE" w:rsidRDefault="001C2A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CC11" w14:textId="77777777" w:rsidR="00B11AFE" w:rsidRDefault="00B11AFE">
    <w:pPr>
      <w:pStyle w:val="Header"/>
    </w:pPr>
  </w:p>
  <w:p w14:paraId="24078131" w14:textId="77777777" w:rsidR="00B15FF4" w:rsidRDefault="00B15F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0939" w14:textId="77777777" w:rsidR="00B11AFE" w:rsidRDefault="00B11AFE">
    <w:pPr>
      <w:pStyle w:val="Header"/>
    </w:pPr>
    <w:r>
      <w:tab/>
      <w:t xml:space="preserve">- </w:t>
    </w:r>
    <w:r>
      <w:fldChar w:fldCharType="begin"/>
    </w:r>
    <w:r>
      <w:instrText xml:space="preserve"> page </w:instrText>
    </w:r>
    <w:r>
      <w:fldChar w:fldCharType="separate"/>
    </w:r>
    <w:r w:rsidR="00971EE2">
      <w:rPr>
        <w:noProof/>
      </w:rPr>
      <w:t>4</w:t>
    </w:r>
    <w:r>
      <w:fldChar w:fldCharType="end"/>
    </w:r>
    <w:r>
      <w:t xml:space="preserve"> -</w:t>
    </w:r>
  </w:p>
  <w:p w14:paraId="1CEA7373" w14:textId="77777777" w:rsidR="00B15FF4" w:rsidRDefault="00B15F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FBFB" w14:textId="77777777" w:rsidR="00590734" w:rsidRDefault="005907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30EE9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94525"/>
    <w:multiLevelType w:val="hybridMultilevel"/>
    <w:tmpl w:val="FED0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F090B"/>
    <w:multiLevelType w:val="multilevel"/>
    <w:tmpl w:val="0266659C"/>
    <w:styleLink w:val="VGSOStandardBullets"/>
    <w:lvl w:ilvl="0">
      <w:start w:val="1"/>
      <w:numFmt w:val="bullet"/>
      <w:pStyle w:val="Bullet1"/>
      <w:lvlText w:val=""/>
      <w:lvlJc w:val="left"/>
      <w:pPr>
        <w:ind w:left="851" w:hanging="851"/>
      </w:pPr>
      <w:rPr>
        <w:rFonts w:ascii="Symbol" w:hAnsi="Symbol" w:hint="default"/>
        <w:color w:val="auto"/>
      </w:rPr>
    </w:lvl>
    <w:lvl w:ilvl="1">
      <w:start w:val="1"/>
      <w:numFmt w:val="bullet"/>
      <w:pStyle w:val="Bullet2"/>
      <w:lvlText w:val=""/>
      <w:lvlJc w:val="left"/>
      <w:pPr>
        <w:ind w:left="1702" w:hanging="851"/>
      </w:pPr>
      <w:rPr>
        <w:rFonts w:ascii="Symbol" w:hAnsi="Symbol" w:hint="default"/>
        <w:color w:val="auto"/>
      </w:rPr>
    </w:lvl>
    <w:lvl w:ilvl="2">
      <w:start w:val="1"/>
      <w:numFmt w:val="bullet"/>
      <w:pStyle w:val="Bullet3"/>
      <w:lvlText w:val=""/>
      <w:lvlJc w:val="left"/>
      <w:pPr>
        <w:ind w:left="2553" w:hanging="851"/>
      </w:pPr>
      <w:rPr>
        <w:rFonts w:ascii="Symbol" w:hAnsi="Symbol" w:hint="default"/>
        <w:color w:val="auto"/>
      </w:rPr>
    </w:lvl>
    <w:lvl w:ilvl="3">
      <w:start w:val="1"/>
      <w:numFmt w:val="decimal"/>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 w15:restartNumberingAfterBreak="0">
    <w:nsid w:val="17317358"/>
    <w:multiLevelType w:val="multilevel"/>
    <w:tmpl w:val="267264DA"/>
    <w:numStyleLink w:val="ListBullets"/>
  </w:abstractNum>
  <w:abstractNum w:abstractNumId="4" w15:restartNumberingAfterBreak="0">
    <w:nsid w:val="1CFF240E"/>
    <w:multiLevelType w:val="multilevel"/>
    <w:tmpl w:val="267264DA"/>
    <w:styleLink w:val="ListBullets"/>
    <w:lvl w:ilvl="0">
      <w:start w:val="1"/>
      <w:numFmt w:val="bullet"/>
      <w:pStyle w:val="VGSOListBul"/>
      <w:lvlText w:val=""/>
      <w:lvlJc w:val="left"/>
      <w:pPr>
        <w:ind w:left="851" w:hanging="851"/>
      </w:pPr>
      <w:rPr>
        <w:rFonts w:ascii="Symbol" w:hAnsi="Symbol" w:hint="default"/>
        <w:color w:val="auto"/>
      </w:rPr>
    </w:lvl>
    <w:lvl w:ilvl="1">
      <w:start w:val="1"/>
      <w:numFmt w:val="bullet"/>
      <w:lvlText w:val=""/>
      <w:lvlJc w:val="left"/>
      <w:pPr>
        <w:ind w:left="1702" w:hanging="851"/>
      </w:pPr>
      <w:rPr>
        <w:rFonts w:ascii="Symbol" w:hAnsi="Symbol" w:hint="default"/>
        <w:color w:val="auto"/>
      </w:rPr>
    </w:lvl>
    <w:lvl w:ilvl="2">
      <w:start w:val="1"/>
      <w:numFmt w:val="bullet"/>
      <w:lvlText w:val=""/>
      <w:lvlJc w:val="left"/>
      <w:pPr>
        <w:ind w:left="2553" w:hanging="851"/>
      </w:pPr>
      <w:rPr>
        <w:rFonts w:ascii="Symbol" w:hAnsi="Symbol" w:hint="default"/>
        <w:color w:val="auto"/>
      </w:rPr>
    </w:lvl>
    <w:lvl w:ilvl="3">
      <w:start w:val="1"/>
      <w:numFmt w:val="bullet"/>
      <w:lvlText w:val=""/>
      <w:lvlJc w:val="left"/>
      <w:pPr>
        <w:ind w:left="3404" w:hanging="851"/>
      </w:pPr>
      <w:rPr>
        <w:rFonts w:ascii="Symbol" w:hAnsi="Symbol" w:hint="default"/>
        <w:color w:val="auto"/>
      </w:rPr>
    </w:lvl>
    <w:lvl w:ilvl="4">
      <w:start w:val="1"/>
      <w:numFmt w:val="bullet"/>
      <w:lvlText w:val=""/>
      <w:lvlJc w:val="left"/>
      <w:pPr>
        <w:ind w:left="4255" w:hanging="851"/>
      </w:pPr>
      <w:rPr>
        <w:rFonts w:ascii="Symbol" w:hAnsi="Symbol" w:hint="default"/>
        <w:color w:val="auto"/>
      </w:rPr>
    </w:lvl>
    <w:lvl w:ilvl="5">
      <w:start w:val="1"/>
      <w:numFmt w:val="bullet"/>
      <w:lvlText w:val=""/>
      <w:lvlJc w:val="left"/>
      <w:pPr>
        <w:ind w:left="5106" w:hanging="851"/>
      </w:pPr>
      <w:rPr>
        <w:rFonts w:ascii="Symbol" w:hAnsi="Symbol" w:hint="default"/>
        <w:color w:val="auto"/>
      </w:rPr>
    </w:lvl>
    <w:lvl w:ilvl="6">
      <w:start w:val="1"/>
      <w:numFmt w:val="bullet"/>
      <w:lvlText w:val=""/>
      <w:lvlJc w:val="left"/>
      <w:pPr>
        <w:ind w:left="5957" w:hanging="851"/>
      </w:pPr>
      <w:rPr>
        <w:rFonts w:ascii="Symbol" w:hAnsi="Symbol" w:hint="default"/>
        <w:color w:val="auto"/>
      </w:rPr>
    </w:lvl>
    <w:lvl w:ilvl="7">
      <w:start w:val="1"/>
      <w:numFmt w:val="bullet"/>
      <w:lvlText w:val=""/>
      <w:lvlJc w:val="left"/>
      <w:pPr>
        <w:ind w:left="6808" w:hanging="851"/>
      </w:pPr>
      <w:rPr>
        <w:rFonts w:ascii="Symbol" w:hAnsi="Symbol" w:hint="default"/>
        <w:color w:val="auto"/>
      </w:rPr>
    </w:lvl>
    <w:lvl w:ilvl="8">
      <w:start w:val="1"/>
      <w:numFmt w:val="bullet"/>
      <w:lvlText w:val=""/>
      <w:lvlJc w:val="left"/>
      <w:pPr>
        <w:ind w:left="7659" w:hanging="851"/>
      </w:pPr>
      <w:rPr>
        <w:rFonts w:ascii="Symbol" w:hAnsi="Symbol" w:hint="default"/>
        <w:color w:val="auto"/>
      </w:rPr>
    </w:lvl>
  </w:abstractNum>
  <w:abstractNum w:abstractNumId="5" w15:restartNumberingAfterBreak="0">
    <w:nsid w:val="1ED2179B"/>
    <w:multiLevelType w:val="multilevel"/>
    <w:tmpl w:val="267264DA"/>
    <w:numStyleLink w:val="ListBullets"/>
  </w:abstractNum>
  <w:abstractNum w:abstractNumId="6" w15:restartNumberingAfterBreak="0">
    <w:nsid w:val="28E80E6D"/>
    <w:multiLevelType w:val="multilevel"/>
    <w:tmpl w:val="9C4C81AE"/>
    <w:numStyleLink w:val="ListNumbering"/>
  </w:abstractNum>
  <w:abstractNum w:abstractNumId="7" w15:restartNumberingAfterBreak="0">
    <w:nsid w:val="3248378D"/>
    <w:multiLevelType w:val="multilevel"/>
    <w:tmpl w:val="9C4C81AE"/>
    <w:numStyleLink w:val="ListNumbering"/>
  </w:abstractNum>
  <w:abstractNum w:abstractNumId="8" w15:restartNumberingAfterBreak="0">
    <w:nsid w:val="336307B1"/>
    <w:multiLevelType w:val="multilevel"/>
    <w:tmpl w:val="9C4C81AE"/>
    <w:numStyleLink w:val="ListNumbering"/>
  </w:abstractNum>
  <w:abstractNum w:abstractNumId="9" w15:restartNumberingAfterBreak="0">
    <w:nsid w:val="344B719A"/>
    <w:multiLevelType w:val="multilevel"/>
    <w:tmpl w:val="EDCEBEC0"/>
    <w:styleLink w:val="EnclosureNumbering"/>
    <w:lvl w:ilvl="0">
      <w:start w:val="1"/>
      <w:numFmt w:val="decimal"/>
      <w:pStyle w:val="Enclosure"/>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upperLetter"/>
      <w:lvlText w:val="%8)"/>
      <w:lvlJc w:val="left"/>
      <w:pPr>
        <w:ind w:left="2880" w:hanging="360"/>
      </w:pPr>
      <w:rPr>
        <w:rFonts w:hint="default"/>
      </w:rPr>
    </w:lvl>
    <w:lvl w:ilvl="8">
      <w:start w:val="1"/>
      <w:numFmt w:val="upperRoman"/>
      <w:lvlText w:val="%9)"/>
      <w:lvlJc w:val="left"/>
      <w:pPr>
        <w:ind w:left="3240" w:hanging="360"/>
      </w:pPr>
      <w:rPr>
        <w:rFonts w:hint="default"/>
      </w:rPr>
    </w:lvl>
  </w:abstractNum>
  <w:abstractNum w:abstractNumId="10" w15:restartNumberingAfterBreak="0">
    <w:nsid w:val="34DB055D"/>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832A3D"/>
    <w:multiLevelType w:val="multilevel"/>
    <w:tmpl w:val="EDCEBEC0"/>
    <w:numStyleLink w:val="EnclosureNumbering"/>
  </w:abstractNum>
  <w:abstractNum w:abstractNumId="12" w15:restartNumberingAfterBreak="0">
    <w:nsid w:val="3E840011"/>
    <w:multiLevelType w:val="multilevel"/>
    <w:tmpl w:val="267264DA"/>
    <w:numStyleLink w:val="ListBullets"/>
  </w:abstractNum>
  <w:abstractNum w:abstractNumId="13" w15:restartNumberingAfterBreak="0">
    <w:nsid w:val="52CD45F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1F4AB9"/>
    <w:multiLevelType w:val="multilevel"/>
    <w:tmpl w:val="9C4C81AE"/>
    <w:styleLink w:val="ListNumbering"/>
    <w:lvl w:ilvl="0">
      <w:start w:val="1"/>
      <w:numFmt w:val="decimal"/>
      <w:pStyle w:val="VGSOListNum"/>
      <w:lvlText w:val="%1."/>
      <w:lvlJc w:val="left"/>
      <w:pPr>
        <w:ind w:left="851" w:hanging="851"/>
      </w:pPr>
      <w:rPr>
        <w:rFonts w:hint="default"/>
      </w:rPr>
    </w:lvl>
    <w:lvl w:ilvl="1">
      <w:start w:val="1"/>
      <w:numFmt w:val="lowerLetter"/>
      <w:lvlText w:val="(%2)"/>
      <w:lvlJc w:val="left"/>
      <w:pPr>
        <w:ind w:left="1702" w:hanging="851"/>
      </w:pPr>
      <w:rPr>
        <w:rFonts w:hint="default"/>
      </w:rPr>
    </w:lvl>
    <w:lvl w:ilvl="2">
      <w:start w:val="1"/>
      <w:numFmt w:val="lowerRoman"/>
      <w:lvlText w:val="(%3)"/>
      <w:lvlJc w:val="left"/>
      <w:pPr>
        <w:ind w:left="2553" w:hanging="851"/>
      </w:pPr>
      <w:rPr>
        <w:rFonts w:hint="default"/>
      </w:rPr>
    </w:lvl>
    <w:lvl w:ilvl="3">
      <w:start w:val="1"/>
      <w:numFmt w:val="upperLetter"/>
      <w:lvlText w:val="(%4)"/>
      <w:lvlJc w:val="left"/>
      <w:pPr>
        <w:ind w:left="3404" w:hanging="851"/>
      </w:pPr>
      <w:rPr>
        <w:rFonts w:hint="default"/>
      </w:rPr>
    </w:lvl>
    <w:lvl w:ilvl="4">
      <w:start w:val="1"/>
      <w:numFmt w:val="upperRoman"/>
      <w:lvlText w:val="(%5)"/>
      <w:lvlJc w:val="left"/>
      <w:pPr>
        <w:ind w:left="4255" w:hanging="851"/>
      </w:pPr>
      <w:rPr>
        <w:rFonts w:hint="default"/>
      </w:rPr>
    </w:lvl>
    <w:lvl w:ilvl="5">
      <w:start w:val="1"/>
      <w:numFmt w:val="lowerLetter"/>
      <w:lvlText w:val="%6)"/>
      <w:lvlJc w:val="left"/>
      <w:pPr>
        <w:ind w:left="5106" w:hanging="851"/>
      </w:pPr>
      <w:rPr>
        <w:rFonts w:hint="default"/>
      </w:rPr>
    </w:lvl>
    <w:lvl w:ilvl="6">
      <w:start w:val="1"/>
      <w:numFmt w:val="lowerRoman"/>
      <w:lvlText w:val="%7)"/>
      <w:lvlJc w:val="left"/>
      <w:pPr>
        <w:ind w:left="5957" w:hanging="851"/>
      </w:pPr>
      <w:rPr>
        <w:rFonts w:hint="default"/>
      </w:rPr>
    </w:lvl>
    <w:lvl w:ilvl="7">
      <w:start w:val="1"/>
      <w:numFmt w:val="upperLetter"/>
      <w:lvlText w:val="%8)"/>
      <w:lvlJc w:val="left"/>
      <w:pPr>
        <w:ind w:left="6808" w:hanging="851"/>
      </w:pPr>
      <w:rPr>
        <w:rFonts w:hint="default"/>
      </w:rPr>
    </w:lvl>
    <w:lvl w:ilvl="8">
      <w:start w:val="1"/>
      <w:numFmt w:val="upperRoman"/>
      <w:lvlText w:val="%9)"/>
      <w:lvlJc w:val="left"/>
      <w:pPr>
        <w:ind w:left="7659" w:hanging="851"/>
      </w:pPr>
      <w:rPr>
        <w:rFonts w:hint="default"/>
      </w:rPr>
    </w:lvl>
  </w:abstractNum>
  <w:abstractNum w:abstractNumId="15" w15:restartNumberingAfterBreak="0">
    <w:nsid w:val="69330F59"/>
    <w:multiLevelType w:val="hybridMultilevel"/>
    <w:tmpl w:val="DD06B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9F1A53"/>
    <w:multiLevelType w:val="multilevel"/>
    <w:tmpl w:val="51FC8EEC"/>
    <w:styleLink w:val="VGSOStandardHeadingNumber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1702" w:hanging="851"/>
      </w:pPr>
      <w:rPr>
        <w:rFonts w:hint="default"/>
      </w:rPr>
    </w:lvl>
    <w:lvl w:ilvl="2">
      <w:start w:val="1"/>
      <w:numFmt w:val="lowerLetter"/>
      <w:pStyle w:val="Heading3"/>
      <w:lvlText w:val="(%3)"/>
      <w:lvlJc w:val="left"/>
      <w:pPr>
        <w:ind w:left="2553" w:hanging="851"/>
      </w:pPr>
      <w:rPr>
        <w:rFonts w:hint="default"/>
      </w:rPr>
    </w:lvl>
    <w:lvl w:ilvl="3">
      <w:start w:val="1"/>
      <w:numFmt w:val="lowerRoman"/>
      <w:pStyle w:val="Heading4"/>
      <w:lvlText w:val="(%4)"/>
      <w:lvlJc w:val="left"/>
      <w:pPr>
        <w:ind w:left="3404" w:hanging="851"/>
      </w:pPr>
      <w:rPr>
        <w:rFonts w:hint="default"/>
      </w:rPr>
    </w:lvl>
    <w:lvl w:ilvl="4">
      <w:start w:val="1"/>
      <w:numFmt w:val="upperLetter"/>
      <w:pStyle w:val="Heading5"/>
      <w:lvlText w:val="(%5)"/>
      <w:lvlJc w:val="left"/>
      <w:pPr>
        <w:ind w:left="4255" w:hanging="851"/>
      </w:pPr>
      <w:rPr>
        <w:rFonts w:hint="default"/>
      </w:rPr>
    </w:lvl>
    <w:lvl w:ilvl="5">
      <w:start w:val="1"/>
      <w:numFmt w:val="upperRoman"/>
      <w:pStyle w:val="Heading6"/>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7" w15:restartNumberingAfterBreak="0">
    <w:nsid w:val="6B31780C"/>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C2E6EB3"/>
    <w:multiLevelType w:val="multilevel"/>
    <w:tmpl w:val="9C4C81AE"/>
    <w:numStyleLink w:val="ListNumbering"/>
  </w:abstractNum>
  <w:abstractNum w:abstractNumId="19" w15:restartNumberingAfterBreak="0">
    <w:nsid w:val="6FD76D54"/>
    <w:multiLevelType w:val="multilevel"/>
    <w:tmpl w:val="9C4C81AE"/>
    <w:numStyleLink w:val="ListNumbering"/>
  </w:abstractNum>
  <w:abstractNum w:abstractNumId="20" w15:restartNumberingAfterBreak="0">
    <w:nsid w:val="721554B8"/>
    <w:multiLevelType w:val="hybridMultilevel"/>
    <w:tmpl w:val="5A4C6FC8"/>
    <w:lvl w:ilvl="0" w:tplc="110C7468">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B0A76A6"/>
    <w:multiLevelType w:val="multilevel"/>
    <w:tmpl w:val="51FC8EEC"/>
    <w:numStyleLink w:val="VGSOStandardHeadingNumbers"/>
  </w:abstractNum>
  <w:abstractNum w:abstractNumId="22" w15:restartNumberingAfterBreak="0">
    <w:nsid w:val="7E4F6966"/>
    <w:multiLevelType w:val="hybridMultilevel"/>
    <w:tmpl w:val="7E34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364606">
    <w:abstractNumId w:val="17"/>
  </w:num>
  <w:num w:numId="2" w16cid:durableId="346716046">
    <w:abstractNumId w:val="16"/>
  </w:num>
  <w:num w:numId="3" w16cid:durableId="23599190">
    <w:abstractNumId w:val="10"/>
  </w:num>
  <w:num w:numId="4" w16cid:durableId="721370227">
    <w:abstractNumId w:val="2"/>
  </w:num>
  <w:num w:numId="5" w16cid:durableId="2144812594">
    <w:abstractNumId w:val="9"/>
  </w:num>
  <w:num w:numId="6" w16cid:durableId="607323169">
    <w:abstractNumId w:val="14"/>
  </w:num>
  <w:num w:numId="7" w16cid:durableId="1255279591">
    <w:abstractNumId w:val="19"/>
  </w:num>
  <w:num w:numId="8" w16cid:durableId="723716248">
    <w:abstractNumId w:val="7"/>
  </w:num>
  <w:num w:numId="9" w16cid:durableId="1773470144">
    <w:abstractNumId w:val="8"/>
  </w:num>
  <w:num w:numId="10" w16cid:durableId="1068380146">
    <w:abstractNumId w:val="21"/>
  </w:num>
  <w:num w:numId="11" w16cid:durableId="1204050921">
    <w:abstractNumId w:val="18"/>
  </w:num>
  <w:num w:numId="12" w16cid:durableId="1300107647">
    <w:abstractNumId w:val="4"/>
  </w:num>
  <w:num w:numId="13" w16cid:durableId="2146073491">
    <w:abstractNumId w:val="5"/>
  </w:num>
  <w:num w:numId="14" w16cid:durableId="2109494843">
    <w:abstractNumId w:val="13"/>
  </w:num>
  <w:num w:numId="15" w16cid:durableId="372656563">
    <w:abstractNumId w:val="0"/>
  </w:num>
  <w:num w:numId="16" w16cid:durableId="189223628">
    <w:abstractNumId w:val="15"/>
  </w:num>
  <w:num w:numId="17" w16cid:durableId="246623325">
    <w:abstractNumId w:val="3"/>
  </w:num>
  <w:num w:numId="18" w16cid:durableId="950016044">
    <w:abstractNumId w:val="12"/>
  </w:num>
  <w:num w:numId="19" w16cid:durableId="1570648235">
    <w:abstractNumId w:val="6"/>
  </w:num>
  <w:num w:numId="20" w16cid:durableId="1002897962">
    <w:abstractNumId w:val="11"/>
  </w:num>
  <w:num w:numId="21" w16cid:durableId="2132624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7932936">
    <w:abstractNumId w:val="21"/>
  </w:num>
  <w:num w:numId="23" w16cid:durableId="1118374640">
    <w:abstractNumId w:val="1"/>
  </w:num>
  <w:num w:numId="24" w16cid:durableId="825437976">
    <w:abstractNumId w:val="22"/>
  </w:num>
  <w:num w:numId="25" w16cid:durableId="5785582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78A"/>
    <w:rsid w:val="0001015E"/>
    <w:rsid w:val="0001306B"/>
    <w:rsid w:val="0001536D"/>
    <w:rsid w:val="00034392"/>
    <w:rsid w:val="00040385"/>
    <w:rsid w:val="00050F57"/>
    <w:rsid w:val="000539B7"/>
    <w:rsid w:val="0008279D"/>
    <w:rsid w:val="000852BD"/>
    <w:rsid w:val="0009512C"/>
    <w:rsid w:val="000D655F"/>
    <w:rsid w:val="0010374D"/>
    <w:rsid w:val="00105C69"/>
    <w:rsid w:val="00107F03"/>
    <w:rsid w:val="0011020C"/>
    <w:rsid w:val="001803D4"/>
    <w:rsid w:val="001943F2"/>
    <w:rsid w:val="001A0E47"/>
    <w:rsid w:val="001B046E"/>
    <w:rsid w:val="001C21F3"/>
    <w:rsid w:val="001C2AFE"/>
    <w:rsid w:val="001D28C1"/>
    <w:rsid w:val="001D31EF"/>
    <w:rsid w:val="001F62DB"/>
    <w:rsid w:val="00203AB0"/>
    <w:rsid w:val="00233B18"/>
    <w:rsid w:val="0029599F"/>
    <w:rsid w:val="002A5921"/>
    <w:rsid w:val="002B7E11"/>
    <w:rsid w:val="002C3CDC"/>
    <w:rsid w:val="002D169A"/>
    <w:rsid w:val="002F489E"/>
    <w:rsid w:val="00322983"/>
    <w:rsid w:val="00345CF6"/>
    <w:rsid w:val="00356AC8"/>
    <w:rsid w:val="00375507"/>
    <w:rsid w:val="003872A1"/>
    <w:rsid w:val="003919D1"/>
    <w:rsid w:val="003A6387"/>
    <w:rsid w:val="003B48AD"/>
    <w:rsid w:val="003D0E4E"/>
    <w:rsid w:val="003E5182"/>
    <w:rsid w:val="00400145"/>
    <w:rsid w:val="00402053"/>
    <w:rsid w:val="00423566"/>
    <w:rsid w:val="00427BD5"/>
    <w:rsid w:val="004362B4"/>
    <w:rsid w:val="00440C39"/>
    <w:rsid w:val="00441F4E"/>
    <w:rsid w:val="00443FB4"/>
    <w:rsid w:val="0049047A"/>
    <w:rsid w:val="004A0969"/>
    <w:rsid w:val="004B4A8A"/>
    <w:rsid w:val="004F578A"/>
    <w:rsid w:val="00521B72"/>
    <w:rsid w:val="00547DA6"/>
    <w:rsid w:val="00553C52"/>
    <w:rsid w:val="0056763A"/>
    <w:rsid w:val="00573E0A"/>
    <w:rsid w:val="00590734"/>
    <w:rsid w:val="00593C61"/>
    <w:rsid w:val="005B68FD"/>
    <w:rsid w:val="005C19B8"/>
    <w:rsid w:val="005C749C"/>
    <w:rsid w:val="006305FA"/>
    <w:rsid w:val="006354D0"/>
    <w:rsid w:val="0064227A"/>
    <w:rsid w:val="0064271E"/>
    <w:rsid w:val="006435D9"/>
    <w:rsid w:val="00662290"/>
    <w:rsid w:val="00665BFA"/>
    <w:rsid w:val="006A6E90"/>
    <w:rsid w:val="006B0521"/>
    <w:rsid w:val="006B1453"/>
    <w:rsid w:val="006B1E3B"/>
    <w:rsid w:val="006E5D36"/>
    <w:rsid w:val="00723425"/>
    <w:rsid w:val="007325F9"/>
    <w:rsid w:val="00761673"/>
    <w:rsid w:val="00766B8D"/>
    <w:rsid w:val="00774152"/>
    <w:rsid w:val="007745F0"/>
    <w:rsid w:val="00777C2F"/>
    <w:rsid w:val="00790E1D"/>
    <w:rsid w:val="007C499E"/>
    <w:rsid w:val="007F469D"/>
    <w:rsid w:val="007F798E"/>
    <w:rsid w:val="0080102E"/>
    <w:rsid w:val="008031E5"/>
    <w:rsid w:val="00845F02"/>
    <w:rsid w:val="0086005E"/>
    <w:rsid w:val="0088069B"/>
    <w:rsid w:val="008A1DE5"/>
    <w:rsid w:val="008D0741"/>
    <w:rsid w:val="008D6C44"/>
    <w:rsid w:val="008F66F4"/>
    <w:rsid w:val="009247B4"/>
    <w:rsid w:val="00926282"/>
    <w:rsid w:val="0095726A"/>
    <w:rsid w:val="009633B8"/>
    <w:rsid w:val="00971EE2"/>
    <w:rsid w:val="00982235"/>
    <w:rsid w:val="0099059A"/>
    <w:rsid w:val="009C73BD"/>
    <w:rsid w:val="009D1EA6"/>
    <w:rsid w:val="009F22C0"/>
    <w:rsid w:val="009F37CB"/>
    <w:rsid w:val="00A23CB2"/>
    <w:rsid w:val="00A25C92"/>
    <w:rsid w:val="00A6026F"/>
    <w:rsid w:val="00A64F97"/>
    <w:rsid w:val="00A84A3B"/>
    <w:rsid w:val="00A86642"/>
    <w:rsid w:val="00AB7D92"/>
    <w:rsid w:val="00AC0576"/>
    <w:rsid w:val="00AC4C2D"/>
    <w:rsid w:val="00AC5664"/>
    <w:rsid w:val="00AF326F"/>
    <w:rsid w:val="00AF5BD2"/>
    <w:rsid w:val="00B11AFE"/>
    <w:rsid w:val="00B15FF4"/>
    <w:rsid w:val="00B4687E"/>
    <w:rsid w:val="00B478E2"/>
    <w:rsid w:val="00B64C16"/>
    <w:rsid w:val="00B758C1"/>
    <w:rsid w:val="00B768C4"/>
    <w:rsid w:val="00B82164"/>
    <w:rsid w:val="00B918A5"/>
    <w:rsid w:val="00BA039C"/>
    <w:rsid w:val="00BA76F3"/>
    <w:rsid w:val="00BC2DEE"/>
    <w:rsid w:val="00C14A88"/>
    <w:rsid w:val="00C414CD"/>
    <w:rsid w:val="00C66CDF"/>
    <w:rsid w:val="00CA604A"/>
    <w:rsid w:val="00D301BA"/>
    <w:rsid w:val="00D5188B"/>
    <w:rsid w:val="00D53A0E"/>
    <w:rsid w:val="00D56B67"/>
    <w:rsid w:val="00D80ED5"/>
    <w:rsid w:val="00D94F63"/>
    <w:rsid w:val="00DA18C0"/>
    <w:rsid w:val="00DA19A8"/>
    <w:rsid w:val="00DB5A8D"/>
    <w:rsid w:val="00DE464E"/>
    <w:rsid w:val="00DE74F8"/>
    <w:rsid w:val="00E15AAB"/>
    <w:rsid w:val="00E44D7A"/>
    <w:rsid w:val="00E47495"/>
    <w:rsid w:val="00E70931"/>
    <w:rsid w:val="00E752AD"/>
    <w:rsid w:val="00E770CA"/>
    <w:rsid w:val="00E87894"/>
    <w:rsid w:val="00E930AB"/>
    <w:rsid w:val="00E94D12"/>
    <w:rsid w:val="00EB3B55"/>
    <w:rsid w:val="00EB5640"/>
    <w:rsid w:val="00EE72A6"/>
    <w:rsid w:val="00EE7848"/>
    <w:rsid w:val="00F0069E"/>
    <w:rsid w:val="00F21310"/>
    <w:rsid w:val="00F267AD"/>
    <w:rsid w:val="00F35F3F"/>
    <w:rsid w:val="00F64002"/>
    <w:rsid w:val="00F67AEE"/>
    <w:rsid w:val="00F739A3"/>
    <w:rsid w:val="00F75EEC"/>
    <w:rsid w:val="00F8182E"/>
    <w:rsid w:val="00F84BE1"/>
    <w:rsid w:val="00FB3341"/>
    <w:rsid w:val="00FC1270"/>
    <w:rsid w:val="00FC217C"/>
    <w:rsid w:val="00FC4457"/>
    <w:rsid w:val="00FE2AD5"/>
    <w:rsid w:val="00FE3DA4"/>
    <w:rsid w:val="00FE42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466B1"/>
  <w15:docId w15:val="{3CD1AFC7-9C51-40E6-B634-F45E850C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C2D"/>
    <w:rPr>
      <w:rFonts w:ascii="Times New Roman" w:hAnsi="Times New Roman"/>
    </w:rPr>
  </w:style>
  <w:style w:type="paragraph" w:styleId="Heading1">
    <w:name w:val="heading 1"/>
    <w:basedOn w:val="Normal"/>
    <w:link w:val="Heading1Char"/>
    <w:uiPriority w:val="9"/>
    <w:qFormat/>
    <w:rsid w:val="00F0069E"/>
    <w:pPr>
      <w:numPr>
        <w:numId w:val="10"/>
      </w:numPr>
      <w:spacing w:after="240"/>
      <w:outlineLvl w:val="0"/>
    </w:pPr>
    <w:rPr>
      <w:rFonts w:eastAsiaTheme="majorEastAsia" w:cstheme="majorBidi"/>
      <w:bCs/>
      <w:kern w:val="24"/>
      <w:szCs w:val="28"/>
    </w:rPr>
  </w:style>
  <w:style w:type="paragraph" w:styleId="Heading2">
    <w:name w:val="heading 2"/>
    <w:basedOn w:val="Heading1"/>
    <w:link w:val="Heading2Char"/>
    <w:uiPriority w:val="9"/>
    <w:qFormat/>
    <w:rsid w:val="006305FA"/>
    <w:pPr>
      <w:numPr>
        <w:ilvl w:val="1"/>
      </w:numPr>
      <w:outlineLvl w:val="1"/>
    </w:pPr>
  </w:style>
  <w:style w:type="paragraph" w:styleId="Heading3">
    <w:name w:val="heading 3"/>
    <w:basedOn w:val="Heading2"/>
    <w:link w:val="Heading3Char"/>
    <w:uiPriority w:val="9"/>
    <w:qFormat/>
    <w:rsid w:val="006305FA"/>
    <w:pPr>
      <w:numPr>
        <w:ilvl w:val="2"/>
      </w:numPr>
      <w:outlineLvl w:val="2"/>
    </w:pPr>
  </w:style>
  <w:style w:type="paragraph" w:styleId="Heading4">
    <w:name w:val="heading 4"/>
    <w:basedOn w:val="Heading3"/>
    <w:link w:val="Heading4Char"/>
    <w:uiPriority w:val="9"/>
    <w:qFormat/>
    <w:rsid w:val="006305FA"/>
    <w:pPr>
      <w:numPr>
        <w:ilvl w:val="3"/>
      </w:numPr>
      <w:outlineLvl w:val="3"/>
    </w:pPr>
  </w:style>
  <w:style w:type="paragraph" w:styleId="Heading5">
    <w:name w:val="heading 5"/>
    <w:basedOn w:val="Heading4"/>
    <w:link w:val="Heading5Char"/>
    <w:uiPriority w:val="9"/>
    <w:qFormat/>
    <w:rsid w:val="006305FA"/>
    <w:pPr>
      <w:numPr>
        <w:ilvl w:val="4"/>
      </w:numPr>
      <w:outlineLvl w:val="4"/>
    </w:pPr>
  </w:style>
  <w:style w:type="paragraph" w:styleId="Heading6">
    <w:name w:val="heading 6"/>
    <w:basedOn w:val="Heading5"/>
    <w:link w:val="Heading6Char"/>
    <w:uiPriority w:val="9"/>
    <w:qFormat/>
    <w:rsid w:val="006305FA"/>
    <w:pPr>
      <w:numPr>
        <w:ilvl w:val="5"/>
      </w:numPr>
      <w:outlineLvl w:val="5"/>
    </w:pPr>
  </w:style>
  <w:style w:type="paragraph" w:styleId="Heading7">
    <w:name w:val="heading 7"/>
    <w:basedOn w:val="Normal"/>
    <w:next w:val="Normal"/>
    <w:link w:val="Heading7Char"/>
    <w:uiPriority w:val="9"/>
    <w:semiHidden/>
    <w:qFormat/>
    <w:rsid w:val="00FB334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FB334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FB334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69E"/>
    <w:rPr>
      <w:rFonts w:ascii="Times New Roman" w:eastAsiaTheme="majorEastAsia" w:hAnsi="Times New Roman" w:cstheme="majorBidi"/>
      <w:bCs/>
      <w:kern w:val="24"/>
      <w:szCs w:val="28"/>
    </w:rPr>
  </w:style>
  <w:style w:type="character" w:customStyle="1" w:styleId="Heading2Char">
    <w:name w:val="Heading 2 Char"/>
    <w:basedOn w:val="DefaultParagraphFont"/>
    <w:link w:val="Heading2"/>
    <w:uiPriority w:val="9"/>
    <w:rsid w:val="006305FA"/>
    <w:rPr>
      <w:rFonts w:ascii="Times New Roman" w:eastAsiaTheme="majorEastAsia" w:hAnsi="Times New Roman" w:cstheme="majorBidi"/>
      <w:bCs/>
      <w:kern w:val="24"/>
      <w:szCs w:val="28"/>
    </w:rPr>
  </w:style>
  <w:style w:type="character" w:customStyle="1" w:styleId="Heading3Char">
    <w:name w:val="Heading 3 Char"/>
    <w:basedOn w:val="DefaultParagraphFont"/>
    <w:link w:val="Heading3"/>
    <w:uiPriority w:val="9"/>
    <w:rsid w:val="006305FA"/>
    <w:rPr>
      <w:rFonts w:ascii="Times New Roman" w:eastAsiaTheme="majorEastAsia" w:hAnsi="Times New Roman" w:cstheme="majorBidi"/>
      <w:bCs/>
      <w:kern w:val="24"/>
      <w:szCs w:val="28"/>
    </w:rPr>
  </w:style>
  <w:style w:type="character" w:customStyle="1" w:styleId="Heading4Char">
    <w:name w:val="Heading 4 Char"/>
    <w:basedOn w:val="DefaultParagraphFont"/>
    <w:link w:val="Heading4"/>
    <w:uiPriority w:val="9"/>
    <w:rsid w:val="006305FA"/>
    <w:rPr>
      <w:rFonts w:ascii="Times New Roman" w:eastAsiaTheme="majorEastAsia" w:hAnsi="Times New Roman" w:cstheme="majorBidi"/>
      <w:bCs/>
      <w:kern w:val="24"/>
      <w:szCs w:val="28"/>
    </w:rPr>
  </w:style>
  <w:style w:type="character" w:customStyle="1" w:styleId="Heading5Char">
    <w:name w:val="Heading 5 Char"/>
    <w:basedOn w:val="DefaultParagraphFont"/>
    <w:link w:val="Heading5"/>
    <w:uiPriority w:val="9"/>
    <w:rsid w:val="006305FA"/>
    <w:rPr>
      <w:rFonts w:ascii="Times New Roman" w:eastAsiaTheme="majorEastAsia" w:hAnsi="Times New Roman" w:cstheme="majorBidi"/>
      <w:bCs/>
      <w:kern w:val="24"/>
      <w:szCs w:val="28"/>
    </w:rPr>
  </w:style>
  <w:style w:type="character" w:customStyle="1" w:styleId="Heading6Char">
    <w:name w:val="Heading 6 Char"/>
    <w:basedOn w:val="DefaultParagraphFont"/>
    <w:link w:val="Heading6"/>
    <w:uiPriority w:val="9"/>
    <w:rsid w:val="006305FA"/>
    <w:rPr>
      <w:rFonts w:ascii="Times New Roman" w:eastAsiaTheme="majorEastAsia" w:hAnsi="Times New Roman" w:cstheme="majorBidi"/>
      <w:bCs/>
      <w:kern w:val="24"/>
      <w:szCs w:val="28"/>
    </w:rPr>
  </w:style>
  <w:style w:type="character" w:customStyle="1" w:styleId="Heading7Char">
    <w:name w:val="Heading 7 Char"/>
    <w:basedOn w:val="DefaultParagraphFont"/>
    <w:link w:val="Heading7"/>
    <w:uiPriority w:val="9"/>
    <w:semiHidden/>
    <w:rsid w:val="00FB334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B334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3341"/>
    <w:rPr>
      <w:rFonts w:asciiTheme="majorHAnsi" w:eastAsiaTheme="majorEastAsia" w:hAnsiTheme="majorHAnsi" w:cstheme="majorBidi"/>
      <w:i/>
      <w:iCs/>
      <w:color w:val="404040" w:themeColor="text1" w:themeTint="BF"/>
      <w:sz w:val="20"/>
      <w:szCs w:val="20"/>
    </w:rPr>
  </w:style>
  <w:style w:type="numbering" w:customStyle="1" w:styleId="VGSOStandardHeadingNumbers">
    <w:name w:val="VGSO Standard Heading Numbers"/>
    <w:uiPriority w:val="99"/>
    <w:rsid w:val="006305FA"/>
    <w:pPr>
      <w:numPr>
        <w:numId w:val="2"/>
      </w:numPr>
    </w:pPr>
  </w:style>
  <w:style w:type="paragraph" w:styleId="Footer">
    <w:name w:val="footer"/>
    <w:basedOn w:val="Normal"/>
    <w:link w:val="FooterChar"/>
    <w:uiPriority w:val="99"/>
    <w:rsid w:val="00F0069E"/>
    <w:pPr>
      <w:tabs>
        <w:tab w:val="right" w:pos="9072"/>
      </w:tabs>
      <w:spacing w:before="240"/>
    </w:pPr>
    <w:rPr>
      <w:sz w:val="16"/>
    </w:rPr>
  </w:style>
  <w:style w:type="character" w:customStyle="1" w:styleId="FooterChar">
    <w:name w:val="Footer Char"/>
    <w:basedOn w:val="DefaultParagraphFont"/>
    <w:link w:val="Footer"/>
    <w:uiPriority w:val="99"/>
    <w:rsid w:val="00F0069E"/>
    <w:rPr>
      <w:rFonts w:ascii="Times New Roman" w:hAnsi="Times New Roman"/>
      <w:sz w:val="16"/>
    </w:rPr>
  </w:style>
  <w:style w:type="paragraph" w:styleId="Header">
    <w:name w:val="header"/>
    <w:basedOn w:val="Normal"/>
    <w:link w:val="HeaderChar"/>
    <w:uiPriority w:val="99"/>
    <w:rsid w:val="00F0069E"/>
    <w:pPr>
      <w:tabs>
        <w:tab w:val="center" w:pos="4536"/>
        <w:tab w:val="right" w:pos="9072"/>
      </w:tabs>
      <w:spacing w:after="360"/>
    </w:pPr>
  </w:style>
  <w:style w:type="character" w:customStyle="1" w:styleId="HeaderChar">
    <w:name w:val="Header Char"/>
    <w:basedOn w:val="DefaultParagraphFont"/>
    <w:link w:val="Header"/>
    <w:uiPriority w:val="99"/>
    <w:rsid w:val="00F0069E"/>
    <w:rPr>
      <w:rFonts w:ascii="Times New Roman" w:hAnsi="Times New Roman"/>
    </w:rPr>
  </w:style>
  <w:style w:type="paragraph" w:customStyle="1" w:styleId="Bullet1">
    <w:name w:val="Bullet 1"/>
    <w:basedOn w:val="Normal"/>
    <w:uiPriority w:val="11"/>
    <w:qFormat/>
    <w:rsid w:val="008A1DE5"/>
    <w:pPr>
      <w:numPr>
        <w:numId w:val="4"/>
      </w:numPr>
      <w:spacing w:after="240"/>
    </w:pPr>
  </w:style>
  <w:style w:type="character" w:styleId="FollowedHyperlink">
    <w:name w:val="FollowedHyperlink"/>
    <w:basedOn w:val="Hyperlink"/>
    <w:uiPriority w:val="99"/>
    <w:semiHidden/>
    <w:unhideWhenUsed/>
    <w:rsid w:val="00F0069E"/>
    <w:rPr>
      <w:rFonts w:ascii="Arial" w:hAnsi="Arial"/>
      <w:b/>
      <w:color w:val="333333"/>
      <w:sz w:val="19"/>
      <w:u w:val="none"/>
    </w:rPr>
  </w:style>
  <w:style w:type="character" w:styleId="Hyperlink">
    <w:name w:val="Hyperlink"/>
    <w:basedOn w:val="DefaultParagraphFont"/>
    <w:uiPriority w:val="99"/>
    <w:unhideWhenUsed/>
    <w:rsid w:val="00F0069E"/>
    <w:rPr>
      <w:color w:val="0000FF"/>
      <w:u w:val="single"/>
    </w:rPr>
  </w:style>
  <w:style w:type="paragraph" w:customStyle="1" w:styleId="Bullet2">
    <w:name w:val="Bullet 2"/>
    <w:basedOn w:val="Bullet1"/>
    <w:uiPriority w:val="11"/>
    <w:qFormat/>
    <w:rsid w:val="008A1DE5"/>
    <w:pPr>
      <w:numPr>
        <w:ilvl w:val="1"/>
      </w:numPr>
    </w:pPr>
  </w:style>
  <w:style w:type="paragraph" w:customStyle="1" w:styleId="Bullet3">
    <w:name w:val="Bullet 3"/>
    <w:basedOn w:val="Bullet2"/>
    <w:uiPriority w:val="11"/>
    <w:qFormat/>
    <w:rsid w:val="008A1DE5"/>
    <w:pPr>
      <w:numPr>
        <w:ilvl w:val="2"/>
      </w:numPr>
    </w:pPr>
  </w:style>
  <w:style w:type="numbering" w:customStyle="1" w:styleId="VGSOStandardBullets">
    <w:name w:val="VGSO Standard Bullets"/>
    <w:uiPriority w:val="99"/>
    <w:rsid w:val="008A1DE5"/>
    <w:pPr>
      <w:numPr>
        <w:numId w:val="4"/>
      </w:numPr>
    </w:pPr>
  </w:style>
  <w:style w:type="paragraph" w:customStyle="1" w:styleId="cc">
    <w:name w:val="cc"/>
    <w:basedOn w:val="Normal"/>
    <w:uiPriority w:val="2"/>
    <w:qFormat/>
    <w:rsid w:val="008A1DE5"/>
    <w:rPr>
      <w:i/>
      <w:sz w:val="20"/>
    </w:rPr>
  </w:style>
  <w:style w:type="paragraph" w:customStyle="1" w:styleId="Paragraph">
    <w:name w:val="Paragraph+"/>
    <w:basedOn w:val="Normal"/>
    <w:qFormat/>
    <w:rsid w:val="008A1DE5"/>
    <w:pPr>
      <w:spacing w:after="240"/>
    </w:pPr>
  </w:style>
  <w:style w:type="paragraph" w:customStyle="1" w:styleId="contdpara">
    <w:name w:val="cont'd para"/>
    <w:basedOn w:val="Paragraph"/>
    <w:uiPriority w:val="1"/>
    <w:qFormat/>
    <w:rsid w:val="008A1DE5"/>
    <w:pPr>
      <w:ind w:left="851"/>
    </w:pPr>
  </w:style>
  <w:style w:type="paragraph" w:customStyle="1" w:styleId="contdpara2">
    <w:name w:val="cont'd para 2"/>
    <w:basedOn w:val="contdpara"/>
    <w:uiPriority w:val="1"/>
    <w:qFormat/>
    <w:rsid w:val="008A1DE5"/>
    <w:pPr>
      <w:ind w:left="1701"/>
    </w:pPr>
  </w:style>
  <w:style w:type="paragraph" w:customStyle="1" w:styleId="contdpara3">
    <w:name w:val="cont'd para 3"/>
    <w:basedOn w:val="contdpara2"/>
    <w:uiPriority w:val="1"/>
    <w:qFormat/>
    <w:rsid w:val="008A1DE5"/>
    <w:pPr>
      <w:ind w:left="2552"/>
    </w:pPr>
  </w:style>
  <w:style w:type="paragraph" w:customStyle="1" w:styleId="contdpara4">
    <w:name w:val="cont'd para 4"/>
    <w:basedOn w:val="contdpara3"/>
    <w:uiPriority w:val="1"/>
    <w:qFormat/>
    <w:rsid w:val="008A1DE5"/>
    <w:pPr>
      <w:ind w:left="3402"/>
    </w:pPr>
  </w:style>
  <w:style w:type="paragraph" w:customStyle="1" w:styleId="contdpara5">
    <w:name w:val="cont'd para 5"/>
    <w:basedOn w:val="contdpara4"/>
    <w:uiPriority w:val="1"/>
    <w:qFormat/>
    <w:rsid w:val="008A1DE5"/>
    <w:pPr>
      <w:ind w:left="4253"/>
    </w:pPr>
  </w:style>
  <w:style w:type="paragraph" w:customStyle="1" w:styleId="contdpara6">
    <w:name w:val="cont'd para 6"/>
    <w:basedOn w:val="contdpara5"/>
    <w:uiPriority w:val="1"/>
    <w:qFormat/>
    <w:rsid w:val="008A1DE5"/>
    <w:pPr>
      <w:ind w:left="5103"/>
    </w:pPr>
  </w:style>
  <w:style w:type="paragraph" w:customStyle="1" w:styleId="Enclosure">
    <w:name w:val="Enclosure"/>
    <w:basedOn w:val="Normal"/>
    <w:uiPriority w:val="2"/>
    <w:qFormat/>
    <w:rsid w:val="00B768C4"/>
    <w:pPr>
      <w:numPr>
        <w:numId w:val="20"/>
      </w:numPr>
    </w:pPr>
    <w:rPr>
      <w:rFonts w:ascii="Arial" w:hAnsi="Arial"/>
      <w:i/>
      <w:sz w:val="20"/>
    </w:rPr>
  </w:style>
  <w:style w:type="numbering" w:customStyle="1" w:styleId="EnclosureNumbering">
    <w:name w:val="Enclosure Numbering"/>
    <w:uiPriority w:val="99"/>
    <w:rsid w:val="00B768C4"/>
    <w:pPr>
      <w:numPr>
        <w:numId w:val="5"/>
      </w:numPr>
    </w:pPr>
  </w:style>
  <w:style w:type="paragraph" w:customStyle="1" w:styleId="Quotation1">
    <w:name w:val="Quotation 1"/>
    <w:basedOn w:val="Normal"/>
    <w:uiPriority w:val="14"/>
    <w:qFormat/>
    <w:rsid w:val="000D655F"/>
    <w:pPr>
      <w:spacing w:after="240"/>
      <w:ind w:left="851" w:right="851"/>
    </w:pPr>
    <w:rPr>
      <w:sz w:val="22"/>
    </w:rPr>
  </w:style>
  <w:style w:type="paragraph" w:customStyle="1" w:styleId="Quotation2">
    <w:name w:val="Quotation 2"/>
    <w:basedOn w:val="Quotation1"/>
    <w:uiPriority w:val="14"/>
    <w:qFormat/>
    <w:rsid w:val="000D655F"/>
    <w:pPr>
      <w:ind w:left="1701"/>
    </w:pPr>
  </w:style>
  <w:style w:type="paragraph" w:customStyle="1" w:styleId="Quotation3">
    <w:name w:val="Quotation 3"/>
    <w:basedOn w:val="Quotation2"/>
    <w:uiPriority w:val="14"/>
    <w:qFormat/>
    <w:rsid w:val="000D655F"/>
    <w:pPr>
      <w:ind w:left="2552"/>
    </w:pPr>
  </w:style>
  <w:style w:type="paragraph" w:customStyle="1" w:styleId="VGSOHdg1">
    <w:name w:val="VGSO Hdg 1"/>
    <w:basedOn w:val="Paragraph"/>
    <w:next w:val="Paragraph"/>
    <w:uiPriority w:val="4"/>
    <w:qFormat/>
    <w:rsid w:val="0064227A"/>
    <w:pPr>
      <w:keepNext/>
      <w:keepLines/>
    </w:pPr>
    <w:rPr>
      <w:b/>
      <w:kern w:val="24"/>
    </w:rPr>
  </w:style>
  <w:style w:type="paragraph" w:styleId="PlainText">
    <w:name w:val="Plain Text"/>
    <w:basedOn w:val="Normal"/>
    <w:link w:val="PlainTextChar"/>
    <w:uiPriority w:val="99"/>
    <w:semiHidden/>
    <w:unhideWhenUsed/>
    <w:rsid w:val="000D655F"/>
    <w:rPr>
      <w:rFonts w:ascii="Courier New" w:hAnsi="Courier New" w:cs="Consolas"/>
      <w:sz w:val="20"/>
      <w:szCs w:val="21"/>
    </w:rPr>
  </w:style>
  <w:style w:type="character" w:customStyle="1" w:styleId="PlainTextChar">
    <w:name w:val="Plain Text Char"/>
    <w:basedOn w:val="DefaultParagraphFont"/>
    <w:link w:val="PlainText"/>
    <w:uiPriority w:val="99"/>
    <w:semiHidden/>
    <w:rsid w:val="000D655F"/>
    <w:rPr>
      <w:rFonts w:ascii="Courier New" w:hAnsi="Courier New" w:cs="Consolas"/>
      <w:sz w:val="20"/>
      <w:szCs w:val="21"/>
    </w:rPr>
  </w:style>
  <w:style w:type="paragraph" w:customStyle="1" w:styleId="VGSOHdg2">
    <w:name w:val="VGSO Hdg 2"/>
    <w:basedOn w:val="VGSOHdg1"/>
    <w:next w:val="Paragraph"/>
    <w:uiPriority w:val="4"/>
    <w:qFormat/>
    <w:rsid w:val="0064227A"/>
    <w:rPr>
      <w:i/>
    </w:rPr>
  </w:style>
  <w:style w:type="paragraph" w:customStyle="1" w:styleId="VGSOHdg3">
    <w:name w:val="VGSO Hdg 3"/>
    <w:basedOn w:val="VGSOHdg2"/>
    <w:next w:val="Paragraph"/>
    <w:uiPriority w:val="4"/>
    <w:qFormat/>
    <w:rsid w:val="0064227A"/>
    <w:rPr>
      <w:b w:val="0"/>
    </w:rPr>
  </w:style>
  <w:style w:type="numbering" w:customStyle="1" w:styleId="ListNumbering">
    <w:name w:val="List Numbering"/>
    <w:uiPriority w:val="99"/>
    <w:rsid w:val="00B768C4"/>
    <w:pPr>
      <w:numPr>
        <w:numId w:val="6"/>
      </w:numPr>
    </w:pPr>
  </w:style>
  <w:style w:type="paragraph" w:styleId="ListParagraph">
    <w:name w:val="List Paragraph"/>
    <w:basedOn w:val="Normal"/>
    <w:uiPriority w:val="34"/>
    <w:semiHidden/>
    <w:qFormat/>
    <w:rsid w:val="0064227A"/>
    <w:pPr>
      <w:ind w:left="720"/>
      <w:contextualSpacing/>
    </w:pPr>
  </w:style>
  <w:style w:type="numbering" w:customStyle="1" w:styleId="ListBullets">
    <w:name w:val="List Bullets"/>
    <w:uiPriority w:val="99"/>
    <w:rsid w:val="00B768C4"/>
    <w:pPr>
      <w:numPr>
        <w:numId w:val="12"/>
      </w:numPr>
    </w:pPr>
  </w:style>
  <w:style w:type="paragraph" w:customStyle="1" w:styleId="VGSOListBul">
    <w:name w:val="VGSO_ListBul"/>
    <w:basedOn w:val="Normal"/>
    <w:uiPriority w:val="12"/>
    <w:qFormat/>
    <w:rsid w:val="00B768C4"/>
    <w:pPr>
      <w:numPr>
        <w:numId w:val="18"/>
      </w:numPr>
    </w:pPr>
  </w:style>
  <w:style w:type="paragraph" w:customStyle="1" w:styleId="VGSOListNum">
    <w:name w:val="VGSO_ListNum"/>
    <w:basedOn w:val="Normal"/>
    <w:uiPriority w:val="12"/>
    <w:qFormat/>
    <w:rsid w:val="00B768C4"/>
    <w:pPr>
      <w:numPr>
        <w:numId w:val="19"/>
      </w:numPr>
    </w:pPr>
  </w:style>
  <w:style w:type="paragraph" w:customStyle="1" w:styleId="zdocID">
    <w:name w:val="z_docID"/>
    <w:basedOn w:val="Normal"/>
    <w:next w:val="Normal"/>
    <w:semiHidden/>
    <w:qFormat/>
    <w:rsid w:val="00B768C4"/>
    <w:rPr>
      <w:kern w:val="16"/>
      <w:sz w:val="16"/>
    </w:rPr>
  </w:style>
  <w:style w:type="paragraph" w:styleId="TOC1">
    <w:name w:val="toc 1"/>
    <w:basedOn w:val="Normal"/>
    <w:next w:val="Normal"/>
    <w:uiPriority w:val="99"/>
    <w:semiHidden/>
    <w:unhideWhenUsed/>
    <w:rsid w:val="00AC4C2D"/>
    <w:pPr>
      <w:tabs>
        <w:tab w:val="right" w:leader="dot" w:pos="9062"/>
      </w:tabs>
      <w:spacing w:before="240" w:after="120"/>
    </w:pPr>
    <w:rPr>
      <w:rFonts w:eastAsia="Times New Roman" w:cs="Times New Roman"/>
      <w:b/>
      <w:noProof/>
      <w:spacing w:val="10"/>
      <w:kern w:val="24"/>
      <w:sz w:val="20"/>
    </w:rPr>
  </w:style>
  <w:style w:type="paragraph" w:styleId="TOC2">
    <w:name w:val="toc 2"/>
    <w:basedOn w:val="Normal"/>
    <w:next w:val="Normal"/>
    <w:uiPriority w:val="99"/>
    <w:semiHidden/>
    <w:unhideWhenUsed/>
    <w:rsid w:val="00AC4C2D"/>
    <w:pPr>
      <w:tabs>
        <w:tab w:val="left" w:pos="1540"/>
        <w:tab w:val="right" w:leader="dot" w:pos="9062"/>
      </w:tabs>
      <w:spacing w:before="120" w:after="120"/>
      <w:ind w:left="851"/>
    </w:pPr>
    <w:rPr>
      <w:rFonts w:eastAsia="Times New Roman" w:cs="Times New Roman"/>
      <w:spacing w:val="10"/>
      <w:kern w:val="24"/>
      <w:sz w:val="20"/>
      <w:szCs w:val="22"/>
    </w:rPr>
  </w:style>
  <w:style w:type="paragraph" w:customStyle="1" w:styleId="TOCHeading">
    <w:name w:val="TOC_Heading"/>
    <w:uiPriority w:val="99"/>
    <w:rsid w:val="00AC4C2D"/>
    <w:pPr>
      <w:spacing w:after="240"/>
    </w:pPr>
    <w:rPr>
      <w:rFonts w:ascii="Times New Roman" w:eastAsia="Times New Roman" w:hAnsi="Times New Roman" w:cs="Times New Roman"/>
      <w:b/>
      <w:spacing w:val="14"/>
      <w:kern w:val="22"/>
      <w:sz w:val="28"/>
      <w:szCs w:val="28"/>
    </w:rPr>
  </w:style>
  <w:style w:type="character" w:styleId="PageNumber">
    <w:name w:val="page number"/>
    <w:basedOn w:val="DefaultParagraphFont"/>
    <w:uiPriority w:val="99"/>
    <w:semiHidden/>
    <w:unhideWhenUsed/>
    <w:rsid w:val="006A6E90"/>
  </w:style>
  <w:style w:type="paragraph" w:styleId="FootnoteText">
    <w:name w:val="footnote text"/>
    <w:basedOn w:val="Normal"/>
    <w:link w:val="FootnoteTextChar"/>
    <w:uiPriority w:val="99"/>
    <w:semiHidden/>
    <w:unhideWhenUsed/>
    <w:rsid w:val="006A6E90"/>
    <w:rPr>
      <w:sz w:val="20"/>
      <w:szCs w:val="20"/>
    </w:rPr>
  </w:style>
  <w:style w:type="character" w:customStyle="1" w:styleId="FootnoteTextChar">
    <w:name w:val="Footnote Text Char"/>
    <w:basedOn w:val="DefaultParagraphFont"/>
    <w:link w:val="FootnoteText"/>
    <w:uiPriority w:val="99"/>
    <w:semiHidden/>
    <w:rsid w:val="006A6E90"/>
    <w:rPr>
      <w:rFonts w:ascii="Times New Roman" w:hAnsi="Times New Roman"/>
      <w:sz w:val="20"/>
      <w:szCs w:val="20"/>
    </w:rPr>
  </w:style>
  <w:style w:type="character" w:styleId="FootnoteReference">
    <w:name w:val="footnote reference"/>
    <w:basedOn w:val="DefaultParagraphFont"/>
    <w:uiPriority w:val="99"/>
    <w:semiHidden/>
    <w:unhideWhenUsed/>
    <w:rsid w:val="006A6E90"/>
    <w:rPr>
      <w:vertAlign w:val="superscript"/>
    </w:rPr>
  </w:style>
  <w:style w:type="table" w:styleId="TableGrid">
    <w:name w:val="Table Grid"/>
    <w:basedOn w:val="TableNormal"/>
    <w:uiPriority w:val="59"/>
    <w:rsid w:val="00DA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0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15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15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5A8D"/>
    <w:rPr>
      <w:sz w:val="16"/>
      <w:szCs w:val="16"/>
    </w:rPr>
  </w:style>
  <w:style w:type="paragraph" w:styleId="CommentText">
    <w:name w:val="annotation text"/>
    <w:basedOn w:val="Normal"/>
    <w:link w:val="CommentTextChar"/>
    <w:uiPriority w:val="99"/>
    <w:semiHidden/>
    <w:unhideWhenUsed/>
    <w:rsid w:val="00DB5A8D"/>
    <w:rPr>
      <w:sz w:val="20"/>
      <w:szCs w:val="20"/>
    </w:rPr>
  </w:style>
  <w:style w:type="character" w:customStyle="1" w:styleId="CommentTextChar">
    <w:name w:val="Comment Text Char"/>
    <w:basedOn w:val="DefaultParagraphFont"/>
    <w:link w:val="CommentText"/>
    <w:uiPriority w:val="99"/>
    <w:semiHidden/>
    <w:rsid w:val="00DB5A8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B5A8D"/>
    <w:rPr>
      <w:b/>
      <w:bCs/>
    </w:rPr>
  </w:style>
  <w:style w:type="character" w:customStyle="1" w:styleId="CommentSubjectChar">
    <w:name w:val="Comment Subject Char"/>
    <w:basedOn w:val="CommentTextChar"/>
    <w:link w:val="CommentSubject"/>
    <w:uiPriority w:val="99"/>
    <w:semiHidden/>
    <w:rsid w:val="00DB5A8D"/>
    <w:rPr>
      <w:rFonts w:ascii="Times New Roman" w:hAnsi="Times New Roman"/>
      <w:b/>
      <w:bCs/>
      <w:sz w:val="20"/>
      <w:szCs w:val="20"/>
    </w:rPr>
  </w:style>
  <w:style w:type="paragraph" w:styleId="BalloonText">
    <w:name w:val="Balloon Text"/>
    <w:basedOn w:val="Normal"/>
    <w:link w:val="BalloonTextChar"/>
    <w:uiPriority w:val="99"/>
    <w:semiHidden/>
    <w:unhideWhenUsed/>
    <w:rsid w:val="00DB5A8D"/>
    <w:rPr>
      <w:rFonts w:ascii="Tahoma" w:hAnsi="Tahoma" w:cs="Tahoma"/>
      <w:sz w:val="16"/>
      <w:szCs w:val="16"/>
    </w:rPr>
  </w:style>
  <w:style w:type="character" w:customStyle="1" w:styleId="BalloonTextChar">
    <w:name w:val="Balloon Text Char"/>
    <w:basedOn w:val="DefaultParagraphFont"/>
    <w:link w:val="BalloonText"/>
    <w:uiPriority w:val="99"/>
    <w:semiHidden/>
    <w:rsid w:val="00DB5A8D"/>
    <w:rPr>
      <w:rFonts w:ascii="Tahoma" w:hAnsi="Tahoma" w:cs="Tahoma"/>
      <w:sz w:val="16"/>
      <w:szCs w:val="16"/>
    </w:rPr>
  </w:style>
  <w:style w:type="paragraph" w:styleId="Revision">
    <w:name w:val="Revision"/>
    <w:hidden/>
    <w:uiPriority w:val="99"/>
    <w:semiHidden/>
    <w:rsid w:val="00D53A0E"/>
    <w:rPr>
      <w:rFonts w:ascii="Times New Roman" w:hAnsi="Times New Roman"/>
    </w:rPr>
  </w:style>
  <w:style w:type="paragraph" w:customStyle="1" w:styleId="DraftHeading3">
    <w:name w:val="Draft Heading 3"/>
    <w:basedOn w:val="Normal"/>
    <w:next w:val="Normal"/>
    <w:rsid w:val="00573E0A"/>
    <w:pPr>
      <w:overflowPunct w:val="0"/>
      <w:autoSpaceDE w:val="0"/>
      <w:autoSpaceDN w:val="0"/>
      <w:adjustRightInd w:val="0"/>
      <w:spacing w:before="120"/>
      <w:textAlignment w:val="baseline"/>
    </w:pPr>
    <w:rPr>
      <w:rFonts w:eastAsia="Times New Roman" w:cs="Times New Roman"/>
      <w:szCs w:val="20"/>
    </w:rPr>
  </w:style>
  <w:style w:type="paragraph" w:customStyle="1" w:styleId="DraftHeading4">
    <w:name w:val="Draft Heading 4"/>
    <w:basedOn w:val="Normal"/>
    <w:next w:val="Normal"/>
    <w:rsid w:val="00573E0A"/>
    <w:pPr>
      <w:overflowPunct w:val="0"/>
      <w:autoSpaceDE w:val="0"/>
      <w:autoSpaceDN w:val="0"/>
      <w:adjustRightInd w:val="0"/>
      <w:spacing w:before="120"/>
      <w:textAlignment w:val="baseline"/>
    </w:pPr>
    <w:rPr>
      <w:rFonts w:eastAsia="Times New Roman" w:cs="Times New Roman"/>
      <w:szCs w:val="20"/>
    </w:rPr>
  </w:style>
  <w:style w:type="paragraph" w:customStyle="1" w:styleId="ShoulderReference">
    <w:name w:val="Shoulder Reference"/>
    <w:next w:val="Normal"/>
    <w:rsid w:val="00573E0A"/>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rFonts w:ascii="Times New Roman" w:eastAsia="Times New Roman" w:hAnsi="Times New Roman" w:cs="Times New Roman"/>
      <w:b/>
      <w:noProof/>
      <w:spacing w:val="-6"/>
      <w:sz w:val="20"/>
      <w:szCs w:val="20"/>
    </w:rPr>
  </w:style>
  <w:style w:type="character" w:styleId="UnresolvedMention">
    <w:name w:val="Unresolved Mention"/>
    <w:basedOn w:val="DefaultParagraphFont"/>
    <w:uiPriority w:val="99"/>
    <w:semiHidden/>
    <w:unhideWhenUsed/>
    <w:rsid w:val="009822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ht.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vic.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31b2e4f9-c376-4e2f-bd2e-796d1bcd5746" xsi:nil="true"/>
    <Hasitbeenactioned xmlns="31b2e4f9-c376-4e2f-bd2e-796d1bcd5746" xsi:nil="true"/>
    <_x0074_po9 xmlns="31b2e4f9-c376-4e2f-bd2e-796d1bcd5746" xsi:nil="true"/>
    <Comments xmlns="31b2e4f9-c376-4e2f-bd2e-796d1bcd5746" xsi:nil="true"/>
    <SharedWithUsers xmlns="7ee2ad8a-2b33-419f-875c-ac0e4cfc6b7f">
      <UserInfo>
        <DisplayName>Matthew Carroll (DHHS)</DisplayName>
        <AccountId>19</AccountId>
        <AccountType/>
      </UserInfo>
      <UserInfo>
        <DisplayName>Emma Montgomery (DHHS)</DisplayName>
        <AccountId>53</AccountId>
        <AccountType/>
      </UserInfo>
      <UserInfo>
        <DisplayName>Troy Barty (DHHS)</DisplayName>
        <AccountId>21</AccountId>
        <AccountType/>
      </UserInfo>
      <UserInfo>
        <DisplayName>Legal (MHT)</DisplayName>
        <AccountId>46</AccountId>
        <AccountType/>
      </UserInfo>
      <UserInfo>
        <DisplayName>Tony Lupton (DHHS)</DisplayName>
        <AccountId>52</AccountId>
        <AccountType/>
      </UserInfo>
      <UserInfo>
        <DisplayName>Evan McGregor (DHHS)</DisplayName>
        <AccountId>13</AccountId>
        <AccountType/>
      </UserInfo>
      <UserInfo>
        <DisplayName>Alanna Williams (DHHS)</DisplayName>
        <AccountId>17</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20" ma:contentTypeDescription="Create a new document." ma:contentTypeScope="" ma:versionID="6dd5636437a9382f846df0adffee1c65">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1dcb9a385161b56fa4a123b438b46016"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Location" minOccurs="0"/>
                <xsd:element ref="ns2:Comments" minOccurs="0"/>
                <xsd:element ref="ns2:Hasitbeenactioned" minOccurs="0"/>
                <xsd:element ref="ns2:_x0074_po9"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tatus" ma:format="Dropdown" ma:internalName="Sign_x002d_off_x0020_status">
      <xsd:simpleType>
        <xsd:restriction base="dms:Choice">
          <xsd:enumeration value="Needs a lot of work"/>
          <xsd:enumeration value="Needs Minor changes"/>
          <xsd:enumeration value="Approved"/>
        </xsd:restriction>
      </xsd:simpleType>
    </xsd:element>
    <xsd:element name="MediaServiceLocation" ma:index="20" nillable="true" ma:displayName="Location" ma:internalName="MediaServiceLocation" ma:readOnly="true">
      <xsd:simpleType>
        <xsd:restriction base="dms:Text"/>
      </xsd:simpleType>
    </xsd:element>
    <xsd:element name="Comments" ma:index="21" nillable="true" ma:displayName="Comments" ma:format="Dropdown" ma:internalName="Comments">
      <xsd:simpleType>
        <xsd:restriction base="dms:Note">
          <xsd:maxLength value="255"/>
        </xsd:restriction>
      </xsd:simpleType>
    </xsd:element>
    <xsd:element name="Hasitbeenactioned" ma:index="22" nillable="true" ma:displayName="Has it been actioned " ma:format="Dropdown" ma:internalName="Hasitbeenactioned">
      <xsd:simpleType>
        <xsd:restriction base="dms:Choice">
          <xsd:enumeration value="Yes"/>
          <xsd:enumeration value="No"/>
          <xsd:enumeration value="Yes and no"/>
          <xsd:enumeration value="Pending"/>
        </xsd:restriction>
      </xsd:simpleType>
    </xsd:element>
    <xsd:element name="_x0074_po9" ma:index="23" nillable="true" ma:displayName="George comments" ma:internalName="_x0074_po9">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38209f2-b2d0-4568-8384-1bb3da17ad53}"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58B6B-CA69-4C95-9949-1448AC7B2B12}">
  <ds:schemaRefs>
    <ds:schemaRef ds:uri="http://schemas.microsoft.com/sharepoint/v3/contenttype/forms"/>
  </ds:schemaRefs>
</ds:datastoreItem>
</file>

<file path=customXml/itemProps2.xml><?xml version="1.0" encoding="utf-8"?>
<ds:datastoreItem xmlns:ds="http://schemas.openxmlformats.org/officeDocument/2006/customXml" ds:itemID="{C7C4C8C2-1988-43F6-810F-51C5D13931F4}">
  <ds:schemaRefs>
    <ds:schemaRef ds:uri="http://schemas.openxmlformats.org/officeDocument/2006/bibliography"/>
  </ds:schemaRefs>
</ds:datastoreItem>
</file>

<file path=customXml/itemProps3.xml><?xml version="1.0" encoding="utf-8"?>
<ds:datastoreItem xmlns:ds="http://schemas.openxmlformats.org/officeDocument/2006/customXml" ds:itemID="{0396A98E-81EC-4D03-82C0-D55E69F0B231}">
  <ds:schemaRefs>
    <ds:schemaRef ds:uri="http://schemas.microsoft.com/office/2006/documentManagement/types"/>
    <ds:schemaRef ds:uri="31b2e4f9-c376-4e2f-bd2e-796d1bcd5746"/>
    <ds:schemaRef ds:uri="http://purl.org/dc/terms/"/>
    <ds:schemaRef ds:uri="http://purl.org/dc/dcmitype/"/>
    <ds:schemaRef ds:uri="http://purl.org/dc/elements/1.1/"/>
    <ds:schemaRef ds:uri="5ce0f2b5-5be5-4508-bce9-d7011ece0659"/>
    <ds:schemaRef ds:uri="http://schemas.microsoft.com/office/infopath/2007/PartnerControls"/>
    <ds:schemaRef ds:uri="http://schemas.microsoft.com/office/2006/metadata/properties"/>
    <ds:schemaRef ds:uri="http://schemas.openxmlformats.org/package/2006/metadata/core-properties"/>
    <ds:schemaRef ds:uri="7ee2ad8a-2b33-419f-875c-ac0e4cfc6b7f"/>
    <ds:schemaRef ds:uri="http://www.w3.org/XML/1998/namespace"/>
  </ds:schemaRefs>
</ds:datastoreItem>
</file>

<file path=customXml/itemProps4.xml><?xml version="1.0" encoding="utf-8"?>
<ds:datastoreItem xmlns:ds="http://schemas.openxmlformats.org/officeDocument/2006/customXml" ds:itemID="{F28F8777-EACA-4061-A830-4CE965B2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VGSO standard normal template</vt:lpstr>
    </vt:vector>
  </TitlesOfParts>
  <Company>Victorian Government Solicitor's Office</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VGSO standard normal template</dc:title>
  <dc:subject>Word 2010 template</dc:subject>
  <dc:creator>Victorian Government Solicitor's Office</dc:creator>
  <cp:keywords/>
  <dc:description/>
  <cp:lastModifiedBy>Kristin Giles (MHT)</cp:lastModifiedBy>
  <cp:revision>3</cp:revision>
  <cp:lastPrinted>2020-03-12T01:28:00Z</cp:lastPrinted>
  <dcterms:created xsi:type="dcterms:W3CDTF">2023-02-27T00:49:00Z</dcterms:created>
  <dcterms:modified xsi:type="dcterms:W3CDTF">2023-02-27T00:49:00Z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ediaServiceImageTags">
    <vt:lpwstr/>
  </property>
</Properties>
</file>