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BA318" w14:textId="77777777" w:rsidR="00A37D93" w:rsidRDefault="008B6582" w:rsidP="00C8633D">
      <w:pPr>
        <w:spacing w:after="0" w:line="240" w:lineRule="auto"/>
        <w:jc w:val="center"/>
        <w:rPr>
          <w:rFonts w:ascii="Verdana" w:hAnsi="Verdana"/>
          <w:b/>
          <w:sz w:val="20"/>
          <w:szCs w:val="20"/>
        </w:rPr>
      </w:pPr>
      <w:r w:rsidRPr="00B7700B">
        <w:rPr>
          <w:rFonts w:ascii="Verdana" w:hAnsi="Verdana"/>
          <w:b/>
          <w:sz w:val="20"/>
          <w:szCs w:val="20"/>
        </w:rPr>
        <w:t>MENTAL HEALTH TRIBUNAL</w:t>
      </w:r>
      <w:r w:rsidR="00A37D93">
        <w:rPr>
          <w:rFonts w:ascii="Verdana" w:hAnsi="Verdana"/>
          <w:b/>
          <w:sz w:val="20"/>
          <w:szCs w:val="20"/>
        </w:rPr>
        <w:t xml:space="preserve"> </w:t>
      </w:r>
    </w:p>
    <w:p w14:paraId="781CB625" w14:textId="77777777" w:rsidR="008B6582" w:rsidRPr="00B7700B" w:rsidRDefault="008B6582" w:rsidP="00C8633D">
      <w:pPr>
        <w:spacing w:after="0" w:line="240" w:lineRule="auto"/>
        <w:jc w:val="center"/>
        <w:rPr>
          <w:rFonts w:ascii="Verdana" w:hAnsi="Verdana"/>
          <w:b/>
          <w:sz w:val="20"/>
          <w:szCs w:val="20"/>
        </w:rPr>
      </w:pPr>
    </w:p>
    <w:p w14:paraId="00848EF9" w14:textId="77777777" w:rsidR="008B6582" w:rsidRPr="00B7700B" w:rsidRDefault="008B6582" w:rsidP="00C8633D">
      <w:pPr>
        <w:spacing w:after="0" w:line="240" w:lineRule="auto"/>
        <w:jc w:val="center"/>
        <w:rPr>
          <w:rFonts w:ascii="Verdana" w:hAnsi="Verdana"/>
          <w:b/>
          <w:sz w:val="20"/>
          <w:szCs w:val="20"/>
        </w:rPr>
      </w:pPr>
      <w:r w:rsidRPr="00B7700B">
        <w:rPr>
          <w:rFonts w:ascii="Verdana" w:hAnsi="Verdana"/>
          <w:b/>
          <w:sz w:val="20"/>
          <w:szCs w:val="20"/>
        </w:rPr>
        <w:t>PRACTICE NOTE 7</w:t>
      </w:r>
    </w:p>
    <w:p w14:paraId="786D9EBA" w14:textId="77777777" w:rsidR="008B6582" w:rsidRPr="00B7700B" w:rsidRDefault="008B6582" w:rsidP="00C8633D">
      <w:pPr>
        <w:spacing w:after="0" w:line="240" w:lineRule="auto"/>
        <w:jc w:val="center"/>
        <w:rPr>
          <w:rFonts w:ascii="Verdana" w:hAnsi="Verdana"/>
          <w:b/>
          <w:sz w:val="20"/>
          <w:szCs w:val="20"/>
        </w:rPr>
      </w:pPr>
    </w:p>
    <w:p w14:paraId="206F2F39" w14:textId="77777777" w:rsidR="008B6582" w:rsidRPr="00B7700B" w:rsidRDefault="008B6582" w:rsidP="00C8633D">
      <w:pPr>
        <w:spacing w:after="0" w:line="240" w:lineRule="auto"/>
        <w:jc w:val="center"/>
        <w:rPr>
          <w:rFonts w:ascii="Verdana" w:hAnsi="Verdana"/>
          <w:b/>
          <w:sz w:val="20"/>
          <w:szCs w:val="20"/>
        </w:rPr>
      </w:pPr>
      <w:r w:rsidRPr="00B7700B">
        <w:rPr>
          <w:rFonts w:ascii="Verdana" w:hAnsi="Verdana"/>
          <w:b/>
          <w:sz w:val="20"/>
          <w:szCs w:val="20"/>
        </w:rPr>
        <w:t>OBSERVERS AT MENTAL HEALTH TRIBUNAL HEARINGS</w:t>
      </w:r>
    </w:p>
    <w:p w14:paraId="64736111" w14:textId="77777777" w:rsidR="0051198E" w:rsidRPr="00B7700B" w:rsidRDefault="0051198E" w:rsidP="00C8633D">
      <w:pPr>
        <w:spacing w:after="0" w:line="240" w:lineRule="auto"/>
        <w:rPr>
          <w:rFonts w:ascii="Verdana" w:hAnsi="Verdana"/>
          <w:b/>
          <w:sz w:val="20"/>
          <w:szCs w:val="20"/>
        </w:rPr>
      </w:pPr>
    </w:p>
    <w:p w14:paraId="395FAE54" w14:textId="77777777" w:rsidR="008B6582" w:rsidRPr="00B7700B" w:rsidRDefault="008B6582" w:rsidP="00C8633D">
      <w:pPr>
        <w:pStyle w:val="ListParagraph"/>
        <w:numPr>
          <w:ilvl w:val="0"/>
          <w:numId w:val="1"/>
        </w:numPr>
        <w:spacing w:after="0" w:line="240" w:lineRule="auto"/>
        <w:ind w:left="720"/>
        <w:rPr>
          <w:rFonts w:ascii="Verdana" w:hAnsi="Verdana"/>
          <w:b/>
          <w:sz w:val="20"/>
          <w:szCs w:val="20"/>
        </w:rPr>
      </w:pPr>
      <w:r w:rsidRPr="00B7700B">
        <w:rPr>
          <w:rFonts w:ascii="Verdana" w:hAnsi="Verdana"/>
          <w:b/>
          <w:sz w:val="20"/>
          <w:szCs w:val="20"/>
        </w:rPr>
        <w:t>PRELIMINARY</w:t>
      </w:r>
    </w:p>
    <w:p w14:paraId="26AFAE99" w14:textId="77777777" w:rsidR="00A37D93" w:rsidRDefault="00A37D93" w:rsidP="00C8633D">
      <w:pPr>
        <w:pStyle w:val="ListParagraph"/>
        <w:spacing w:after="0" w:line="240" w:lineRule="auto"/>
        <w:ind w:left="0"/>
        <w:rPr>
          <w:rFonts w:ascii="Verdana" w:hAnsi="Verdana"/>
          <w:sz w:val="20"/>
          <w:szCs w:val="20"/>
        </w:rPr>
      </w:pPr>
    </w:p>
    <w:p w14:paraId="3CC9F481" w14:textId="77777777" w:rsidR="008B6582" w:rsidRPr="00B7700B" w:rsidRDefault="008B6582" w:rsidP="00C8633D">
      <w:pPr>
        <w:pStyle w:val="ListParagraph"/>
        <w:spacing w:after="0" w:line="240" w:lineRule="auto"/>
        <w:ind w:left="0"/>
        <w:rPr>
          <w:rFonts w:ascii="Verdana" w:hAnsi="Verdana"/>
          <w:b/>
          <w:sz w:val="20"/>
          <w:szCs w:val="20"/>
        </w:rPr>
      </w:pPr>
      <w:r w:rsidRPr="00B7700B">
        <w:rPr>
          <w:rFonts w:ascii="Verdana" w:hAnsi="Verdana"/>
          <w:b/>
          <w:sz w:val="20"/>
          <w:szCs w:val="20"/>
        </w:rPr>
        <w:t>Authority</w:t>
      </w:r>
    </w:p>
    <w:p w14:paraId="2AB5D94C" w14:textId="77777777" w:rsidR="008B6582" w:rsidRPr="00B7700B" w:rsidRDefault="008B6582" w:rsidP="00C8633D">
      <w:pPr>
        <w:pStyle w:val="ListParagraph"/>
        <w:spacing w:after="0" w:line="240" w:lineRule="auto"/>
        <w:ind w:left="0"/>
        <w:rPr>
          <w:rFonts w:ascii="Verdana" w:hAnsi="Verdana"/>
          <w:b/>
          <w:sz w:val="20"/>
          <w:szCs w:val="20"/>
        </w:rPr>
      </w:pPr>
    </w:p>
    <w:p w14:paraId="1D5E09AF" w14:textId="77777777" w:rsidR="008B6582" w:rsidRPr="00B7700B" w:rsidRDefault="008B6582" w:rsidP="00C8633D">
      <w:pPr>
        <w:pStyle w:val="ListParagraph"/>
        <w:numPr>
          <w:ilvl w:val="0"/>
          <w:numId w:val="2"/>
        </w:numPr>
        <w:spacing w:after="0" w:line="240" w:lineRule="auto"/>
        <w:ind w:left="709" w:hanging="709"/>
        <w:rPr>
          <w:rFonts w:ascii="Verdana" w:hAnsi="Verdana"/>
          <w:sz w:val="20"/>
          <w:szCs w:val="20"/>
        </w:rPr>
      </w:pPr>
      <w:r w:rsidRPr="00B7700B">
        <w:rPr>
          <w:rFonts w:ascii="Verdana" w:hAnsi="Verdana"/>
          <w:sz w:val="20"/>
          <w:szCs w:val="20"/>
        </w:rPr>
        <w:t>This Practice Note has been issued by the Rules Committee of the Mental Health Tribunal in accordance with section 209(</w:t>
      </w:r>
      <w:r w:rsidR="009F7F15" w:rsidRPr="00B7700B">
        <w:rPr>
          <w:rFonts w:ascii="Verdana" w:hAnsi="Verdana"/>
          <w:sz w:val="20"/>
          <w:szCs w:val="20"/>
        </w:rPr>
        <w:t>2</w:t>
      </w:r>
      <w:r w:rsidRPr="00B7700B">
        <w:rPr>
          <w:rFonts w:ascii="Verdana" w:hAnsi="Verdana"/>
          <w:sz w:val="20"/>
          <w:szCs w:val="20"/>
        </w:rPr>
        <w:t xml:space="preserve">) of the </w:t>
      </w:r>
      <w:r w:rsidRPr="00B7700B">
        <w:rPr>
          <w:rFonts w:ascii="Verdana" w:hAnsi="Verdana"/>
          <w:i/>
          <w:sz w:val="20"/>
          <w:szCs w:val="20"/>
        </w:rPr>
        <w:t>Mental Health Act 2014</w:t>
      </w:r>
      <w:r w:rsidR="005E5ABA" w:rsidRPr="00B7700B">
        <w:rPr>
          <w:rFonts w:ascii="Verdana" w:hAnsi="Verdana"/>
          <w:i/>
          <w:sz w:val="20"/>
          <w:szCs w:val="20"/>
        </w:rPr>
        <w:t xml:space="preserve"> </w:t>
      </w:r>
      <w:r w:rsidR="005E5ABA" w:rsidRPr="00B7700B">
        <w:rPr>
          <w:rFonts w:ascii="Verdana" w:hAnsi="Verdana"/>
          <w:sz w:val="20"/>
          <w:szCs w:val="20"/>
        </w:rPr>
        <w:t>(“the Act”)</w:t>
      </w:r>
      <w:r w:rsidRPr="00B7700B">
        <w:rPr>
          <w:rFonts w:ascii="Verdana" w:hAnsi="Verdana"/>
          <w:sz w:val="20"/>
          <w:szCs w:val="20"/>
        </w:rPr>
        <w:t>.</w:t>
      </w:r>
    </w:p>
    <w:p w14:paraId="3BA64695" w14:textId="77777777" w:rsidR="008B6582" w:rsidRPr="00B7700B" w:rsidRDefault="008B6582" w:rsidP="00C8633D">
      <w:pPr>
        <w:pStyle w:val="ListParagraph"/>
        <w:spacing w:after="0" w:line="240" w:lineRule="auto"/>
        <w:ind w:left="0"/>
        <w:rPr>
          <w:rFonts w:ascii="Verdana" w:hAnsi="Verdana"/>
          <w:b/>
          <w:caps/>
          <w:sz w:val="20"/>
          <w:szCs w:val="20"/>
        </w:rPr>
      </w:pPr>
    </w:p>
    <w:p w14:paraId="74EE8AF5" w14:textId="77777777" w:rsidR="008B6582" w:rsidRPr="00B7700B" w:rsidRDefault="008B6582" w:rsidP="00C8633D">
      <w:pPr>
        <w:pStyle w:val="ListParagraph"/>
        <w:spacing w:after="0" w:line="240" w:lineRule="auto"/>
        <w:ind w:left="0"/>
        <w:rPr>
          <w:rFonts w:ascii="Verdana" w:hAnsi="Verdana"/>
          <w:b/>
          <w:sz w:val="20"/>
          <w:szCs w:val="20"/>
        </w:rPr>
      </w:pPr>
      <w:r w:rsidRPr="00B7700B">
        <w:rPr>
          <w:rFonts w:ascii="Verdana" w:hAnsi="Verdana"/>
          <w:b/>
          <w:sz w:val="20"/>
          <w:szCs w:val="20"/>
        </w:rPr>
        <w:t>Introduction and purpose</w:t>
      </w:r>
    </w:p>
    <w:p w14:paraId="7E55C81E" w14:textId="77777777" w:rsidR="008B6582" w:rsidRPr="00B7700B" w:rsidRDefault="008B6582" w:rsidP="00C8633D">
      <w:pPr>
        <w:pStyle w:val="ListParagraph"/>
        <w:spacing w:after="0" w:line="240" w:lineRule="auto"/>
        <w:ind w:left="0"/>
        <w:rPr>
          <w:rFonts w:ascii="Verdana" w:hAnsi="Verdana"/>
          <w:sz w:val="20"/>
          <w:szCs w:val="20"/>
        </w:rPr>
      </w:pPr>
    </w:p>
    <w:p w14:paraId="3BEB357D" w14:textId="77777777" w:rsidR="008B6582" w:rsidRPr="00B7700B" w:rsidRDefault="008B6582" w:rsidP="00C8633D">
      <w:pPr>
        <w:pStyle w:val="ListParagraph"/>
        <w:numPr>
          <w:ilvl w:val="0"/>
          <w:numId w:val="2"/>
        </w:numPr>
        <w:spacing w:after="0" w:line="240" w:lineRule="auto"/>
        <w:ind w:left="709" w:hanging="709"/>
        <w:rPr>
          <w:rFonts w:ascii="Verdana" w:hAnsi="Verdana"/>
          <w:sz w:val="20"/>
          <w:szCs w:val="20"/>
        </w:rPr>
      </w:pPr>
      <w:r w:rsidRPr="00B7700B">
        <w:rPr>
          <w:rFonts w:ascii="Verdana" w:hAnsi="Verdana"/>
          <w:sz w:val="20"/>
          <w:szCs w:val="20"/>
        </w:rPr>
        <w:t>The Mental Health</w:t>
      </w:r>
      <w:r w:rsidR="009B4E8C" w:rsidRPr="00B7700B">
        <w:rPr>
          <w:rFonts w:ascii="Verdana" w:hAnsi="Verdana"/>
          <w:sz w:val="20"/>
          <w:szCs w:val="20"/>
        </w:rPr>
        <w:t xml:space="preserve"> Tribunal conducts hearings at venues across Victoria. Pursuant to section 193</w:t>
      </w:r>
      <w:r w:rsidR="005E5ABA" w:rsidRPr="00B7700B">
        <w:rPr>
          <w:rFonts w:ascii="Verdana" w:hAnsi="Verdana"/>
          <w:sz w:val="20"/>
          <w:szCs w:val="20"/>
        </w:rPr>
        <w:t xml:space="preserve"> of the Act</w:t>
      </w:r>
      <w:r w:rsidR="009B4E8C" w:rsidRPr="00B7700B">
        <w:rPr>
          <w:rFonts w:ascii="Verdana" w:hAnsi="Verdana"/>
          <w:sz w:val="20"/>
          <w:szCs w:val="20"/>
        </w:rPr>
        <w:t>, hearings are closed to the public.</w:t>
      </w:r>
    </w:p>
    <w:p w14:paraId="496FC95C" w14:textId="77777777" w:rsidR="007F5C12" w:rsidRPr="00D82D75" w:rsidRDefault="007F5C12" w:rsidP="00D82D75">
      <w:pPr>
        <w:spacing w:after="0" w:line="240" w:lineRule="auto"/>
        <w:rPr>
          <w:rFonts w:ascii="Verdana" w:hAnsi="Verdana"/>
          <w:sz w:val="20"/>
          <w:szCs w:val="20"/>
        </w:rPr>
      </w:pPr>
    </w:p>
    <w:p w14:paraId="608CBD2A" w14:textId="77777777" w:rsidR="007F5C12" w:rsidRDefault="007F5C12" w:rsidP="00C8633D">
      <w:pPr>
        <w:pStyle w:val="ListParagraph"/>
        <w:numPr>
          <w:ilvl w:val="0"/>
          <w:numId w:val="2"/>
        </w:numPr>
        <w:spacing w:after="0" w:line="240" w:lineRule="auto"/>
        <w:ind w:left="709" w:hanging="709"/>
        <w:rPr>
          <w:rFonts w:ascii="Verdana" w:hAnsi="Verdana"/>
          <w:sz w:val="20"/>
          <w:szCs w:val="20"/>
        </w:rPr>
      </w:pPr>
      <w:r w:rsidRPr="00B7700B">
        <w:rPr>
          <w:rFonts w:ascii="Verdana" w:hAnsi="Verdana"/>
          <w:sz w:val="20"/>
          <w:szCs w:val="20"/>
        </w:rPr>
        <w:t>This Practice Note relates to the attendance of observers at hearings only and does</w:t>
      </w:r>
      <w:r w:rsidR="00D65EC5" w:rsidRPr="00B7700B">
        <w:rPr>
          <w:rFonts w:ascii="Verdana" w:hAnsi="Verdana"/>
          <w:sz w:val="20"/>
          <w:szCs w:val="20"/>
        </w:rPr>
        <w:t xml:space="preserve"> not</w:t>
      </w:r>
      <w:r w:rsidRPr="00B7700B">
        <w:rPr>
          <w:rFonts w:ascii="Verdana" w:hAnsi="Verdana"/>
          <w:sz w:val="20"/>
          <w:szCs w:val="20"/>
        </w:rPr>
        <w:t xml:space="preserve"> limit the exercise of the Tribunal’s power pursuant to </w:t>
      </w:r>
      <w:r w:rsidR="00D65EC5" w:rsidRPr="00B7700B">
        <w:rPr>
          <w:rFonts w:ascii="Verdana" w:hAnsi="Verdana"/>
          <w:sz w:val="20"/>
          <w:szCs w:val="20"/>
        </w:rPr>
        <w:t>sub</w:t>
      </w:r>
      <w:r w:rsidRPr="00B7700B">
        <w:rPr>
          <w:rFonts w:ascii="Verdana" w:hAnsi="Verdana"/>
          <w:sz w:val="20"/>
          <w:szCs w:val="20"/>
        </w:rPr>
        <w:t>section 193(2) to order that a hearing or any part of a hearing be open to members of the public if the Tribunal is satisfied that it is in the public interest.</w:t>
      </w:r>
    </w:p>
    <w:p w14:paraId="1241DFEF" w14:textId="77777777" w:rsidR="0014566B" w:rsidRDefault="0014566B" w:rsidP="0014566B">
      <w:pPr>
        <w:pStyle w:val="ListParagraph"/>
        <w:rPr>
          <w:rFonts w:ascii="Verdana" w:hAnsi="Verdana"/>
          <w:sz w:val="20"/>
          <w:szCs w:val="20"/>
        </w:rPr>
      </w:pPr>
    </w:p>
    <w:p w14:paraId="043887FA" w14:textId="77777777" w:rsidR="00C13D17" w:rsidRPr="00B7700B" w:rsidRDefault="00C13D17" w:rsidP="00C13D17">
      <w:pPr>
        <w:pStyle w:val="ListParagraph"/>
        <w:spacing w:after="0" w:line="240" w:lineRule="auto"/>
        <w:ind w:left="0"/>
        <w:rPr>
          <w:rFonts w:ascii="Verdana" w:hAnsi="Verdana"/>
          <w:b/>
          <w:sz w:val="20"/>
          <w:szCs w:val="20"/>
        </w:rPr>
      </w:pPr>
      <w:r w:rsidRPr="00B7700B">
        <w:rPr>
          <w:rFonts w:ascii="Verdana" w:hAnsi="Verdana"/>
          <w:b/>
          <w:sz w:val="20"/>
          <w:szCs w:val="20"/>
        </w:rPr>
        <w:t>Scope of application</w:t>
      </w:r>
    </w:p>
    <w:p w14:paraId="07C5457C" w14:textId="77777777" w:rsidR="00C13D17" w:rsidRPr="0014566B" w:rsidRDefault="00C13D17" w:rsidP="0014566B">
      <w:pPr>
        <w:pStyle w:val="ListParagraph"/>
        <w:rPr>
          <w:rFonts w:ascii="Verdana" w:hAnsi="Verdana"/>
          <w:sz w:val="20"/>
          <w:szCs w:val="20"/>
        </w:rPr>
      </w:pPr>
    </w:p>
    <w:p w14:paraId="36075A59" w14:textId="77777777" w:rsidR="0014566B" w:rsidRPr="005B27E5" w:rsidRDefault="0014566B" w:rsidP="0014566B">
      <w:pPr>
        <w:pStyle w:val="ListParagraph"/>
        <w:numPr>
          <w:ilvl w:val="0"/>
          <w:numId w:val="2"/>
        </w:numPr>
        <w:spacing w:after="0" w:line="240" w:lineRule="auto"/>
        <w:ind w:left="709" w:hanging="709"/>
        <w:rPr>
          <w:rFonts w:ascii="Verdana" w:hAnsi="Verdana"/>
          <w:sz w:val="20"/>
          <w:szCs w:val="20"/>
        </w:rPr>
      </w:pPr>
      <w:r w:rsidRPr="005B27E5">
        <w:rPr>
          <w:rFonts w:ascii="Verdana" w:hAnsi="Verdana"/>
          <w:sz w:val="20"/>
          <w:szCs w:val="20"/>
        </w:rPr>
        <w:t>In cases that meet the requirements of this Practice Note, the Tribunal may allow the attendance of observers at hearings.</w:t>
      </w:r>
    </w:p>
    <w:p w14:paraId="5321D9EE" w14:textId="77777777" w:rsidR="0014566B" w:rsidRPr="005B27E5" w:rsidRDefault="0014566B" w:rsidP="0014566B">
      <w:pPr>
        <w:pStyle w:val="ListParagraph"/>
        <w:rPr>
          <w:rFonts w:ascii="Verdana" w:hAnsi="Verdana"/>
          <w:sz w:val="20"/>
          <w:szCs w:val="20"/>
        </w:rPr>
      </w:pPr>
    </w:p>
    <w:p w14:paraId="54B251E2" w14:textId="77777777" w:rsidR="0014566B" w:rsidRPr="005B27E5" w:rsidRDefault="0014566B" w:rsidP="0014566B">
      <w:pPr>
        <w:pStyle w:val="ListParagraph"/>
        <w:numPr>
          <w:ilvl w:val="1"/>
          <w:numId w:val="20"/>
        </w:numPr>
        <w:spacing w:after="0" w:line="240" w:lineRule="auto"/>
        <w:rPr>
          <w:rFonts w:ascii="Verdana" w:hAnsi="Verdana"/>
          <w:sz w:val="20"/>
          <w:szCs w:val="20"/>
        </w:rPr>
      </w:pPr>
      <w:r w:rsidRPr="005B27E5">
        <w:rPr>
          <w:rFonts w:ascii="Verdana" w:hAnsi="Verdana"/>
          <w:sz w:val="20"/>
          <w:szCs w:val="20"/>
        </w:rPr>
        <w:t xml:space="preserve">Where all the requirements of this Practice Note have been met, the decision whether to allow an observer remains at the discretion of the Tribunal. </w:t>
      </w:r>
    </w:p>
    <w:p w14:paraId="57FC1D72" w14:textId="77777777" w:rsidR="0014566B" w:rsidRPr="005B27E5" w:rsidRDefault="0014566B" w:rsidP="0014566B">
      <w:pPr>
        <w:pStyle w:val="ListParagraph"/>
        <w:spacing w:after="0" w:line="240" w:lineRule="auto"/>
        <w:ind w:left="1429"/>
        <w:rPr>
          <w:rFonts w:ascii="Verdana" w:hAnsi="Verdana"/>
          <w:sz w:val="20"/>
          <w:szCs w:val="20"/>
        </w:rPr>
      </w:pPr>
    </w:p>
    <w:p w14:paraId="7E029027" w14:textId="77777777" w:rsidR="0014566B" w:rsidRPr="005B27E5" w:rsidRDefault="0014566B" w:rsidP="0014566B">
      <w:pPr>
        <w:pStyle w:val="ListParagraph"/>
        <w:numPr>
          <w:ilvl w:val="1"/>
          <w:numId w:val="20"/>
        </w:numPr>
        <w:spacing w:after="0" w:line="240" w:lineRule="auto"/>
        <w:rPr>
          <w:rFonts w:ascii="Verdana" w:hAnsi="Verdana"/>
          <w:sz w:val="20"/>
          <w:szCs w:val="20"/>
        </w:rPr>
      </w:pPr>
      <w:r w:rsidRPr="005B27E5">
        <w:rPr>
          <w:rFonts w:ascii="Verdana" w:hAnsi="Verdana"/>
          <w:sz w:val="20"/>
          <w:szCs w:val="20"/>
        </w:rPr>
        <w:t>Where the Tribunal has allowed an observer to attend the hearing, the Tribunal may request an observer to leave the hearing room at any time for any reason it thinks fit.</w:t>
      </w:r>
    </w:p>
    <w:p w14:paraId="43611E08" w14:textId="77777777" w:rsidR="007F5C12" w:rsidRPr="00B7700B" w:rsidRDefault="007F5C12" w:rsidP="00C8633D">
      <w:pPr>
        <w:pStyle w:val="ListParagraph"/>
        <w:spacing w:after="0" w:line="240" w:lineRule="auto"/>
        <w:ind w:left="0"/>
        <w:rPr>
          <w:rFonts w:ascii="Verdana" w:hAnsi="Verdana"/>
          <w:sz w:val="20"/>
          <w:szCs w:val="20"/>
        </w:rPr>
      </w:pPr>
    </w:p>
    <w:p w14:paraId="7FC9E81A" w14:textId="77777777" w:rsidR="007F5C12" w:rsidRPr="00B7700B" w:rsidRDefault="007F5C12" w:rsidP="00C8633D">
      <w:pPr>
        <w:pStyle w:val="ListParagraph"/>
        <w:numPr>
          <w:ilvl w:val="0"/>
          <w:numId w:val="2"/>
        </w:numPr>
        <w:spacing w:after="0" w:line="240" w:lineRule="auto"/>
        <w:ind w:left="709" w:hanging="709"/>
        <w:rPr>
          <w:rFonts w:ascii="Verdana" w:hAnsi="Verdana"/>
          <w:sz w:val="20"/>
          <w:szCs w:val="20"/>
        </w:rPr>
      </w:pPr>
      <w:r w:rsidRPr="00B7700B">
        <w:rPr>
          <w:rFonts w:ascii="Verdana" w:hAnsi="Verdana"/>
          <w:sz w:val="20"/>
          <w:szCs w:val="20"/>
        </w:rPr>
        <w:t xml:space="preserve">This Practice Note applies to all </w:t>
      </w:r>
      <w:r w:rsidR="00D65EC5" w:rsidRPr="00B7700B">
        <w:rPr>
          <w:rFonts w:ascii="Verdana" w:hAnsi="Verdana"/>
          <w:sz w:val="20"/>
          <w:szCs w:val="20"/>
        </w:rPr>
        <w:t>persons who are</w:t>
      </w:r>
      <w:r w:rsidR="00FF7023" w:rsidRPr="00B7700B">
        <w:rPr>
          <w:rFonts w:ascii="Verdana" w:hAnsi="Verdana"/>
          <w:sz w:val="20"/>
          <w:szCs w:val="20"/>
        </w:rPr>
        <w:t xml:space="preserve"> not a </w:t>
      </w:r>
      <w:r w:rsidR="002E346B">
        <w:rPr>
          <w:rFonts w:ascii="Verdana" w:hAnsi="Verdana"/>
          <w:sz w:val="20"/>
          <w:szCs w:val="20"/>
        </w:rPr>
        <w:t>‘</w:t>
      </w:r>
      <w:r w:rsidR="00FF7023" w:rsidRPr="002E346B">
        <w:rPr>
          <w:rFonts w:ascii="Verdana" w:hAnsi="Verdana"/>
          <w:sz w:val="20"/>
          <w:szCs w:val="20"/>
        </w:rPr>
        <w:t>party</w:t>
      </w:r>
      <w:r w:rsidR="002E346B">
        <w:rPr>
          <w:rFonts w:ascii="Verdana" w:hAnsi="Verdana"/>
          <w:sz w:val="20"/>
          <w:szCs w:val="20"/>
        </w:rPr>
        <w:t>’</w:t>
      </w:r>
      <w:r w:rsidR="00FF7023" w:rsidRPr="00B7700B">
        <w:rPr>
          <w:rFonts w:ascii="Verdana" w:hAnsi="Verdana"/>
          <w:sz w:val="20"/>
          <w:szCs w:val="20"/>
        </w:rPr>
        <w:t xml:space="preserve"> to the proceeding</w:t>
      </w:r>
      <w:r w:rsidR="006374FB" w:rsidRPr="00B7700B">
        <w:rPr>
          <w:rFonts w:ascii="Verdana" w:hAnsi="Verdana"/>
          <w:sz w:val="20"/>
          <w:szCs w:val="20"/>
        </w:rPr>
        <w:t xml:space="preserve"> and </w:t>
      </w:r>
      <w:r w:rsidR="0014566B">
        <w:rPr>
          <w:rFonts w:ascii="Verdana" w:hAnsi="Verdana"/>
          <w:sz w:val="20"/>
          <w:szCs w:val="20"/>
        </w:rPr>
        <w:t xml:space="preserve">who </w:t>
      </w:r>
      <w:r w:rsidR="006374FB" w:rsidRPr="00B7700B">
        <w:rPr>
          <w:rFonts w:ascii="Verdana" w:hAnsi="Verdana"/>
          <w:sz w:val="20"/>
          <w:szCs w:val="20"/>
        </w:rPr>
        <w:t xml:space="preserve">are </w:t>
      </w:r>
      <w:r w:rsidR="006374FB" w:rsidRPr="00C13D17">
        <w:rPr>
          <w:rFonts w:ascii="Verdana" w:hAnsi="Verdana"/>
          <w:sz w:val="20"/>
          <w:szCs w:val="20"/>
        </w:rPr>
        <w:t>not</w:t>
      </w:r>
      <w:r w:rsidR="006374FB" w:rsidRPr="00B7700B">
        <w:rPr>
          <w:rFonts w:ascii="Verdana" w:hAnsi="Verdana"/>
          <w:sz w:val="20"/>
          <w:szCs w:val="20"/>
        </w:rPr>
        <w:t xml:space="preserve"> </w:t>
      </w:r>
      <w:r w:rsidR="006374FB" w:rsidRPr="00815777">
        <w:rPr>
          <w:rFonts w:ascii="Verdana" w:hAnsi="Verdana"/>
          <w:sz w:val="20"/>
          <w:szCs w:val="20"/>
        </w:rPr>
        <w:t>a patient’s</w:t>
      </w:r>
      <w:r w:rsidR="009F7F15" w:rsidRPr="00815777">
        <w:rPr>
          <w:rFonts w:ascii="Verdana" w:hAnsi="Verdana"/>
          <w:sz w:val="20"/>
          <w:szCs w:val="20"/>
        </w:rPr>
        <w:t xml:space="preserve"> carer</w:t>
      </w:r>
      <w:r w:rsidR="009F7F15" w:rsidRPr="00B7700B">
        <w:rPr>
          <w:rFonts w:ascii="Verdana" w:hAnsi="Verdana"/>
          <w:sz w:val="20"/>
          <w:szCs w:val="20"/>
        </w:rPr>
        <w:t>,</w:t>
      </w:r>
      <w:r w:rsidR="006374FB" w:rsidRPr="00B7700B">
        <w:rPr>
          <w:rFonts w:ascii="Verdana" w:hAnsi="Verdana"/>
          <w:sz w:val="20"/>
          <w:szCs w:val="20"/>
        </w:rPr>
        <w:t xml:space="preserve"> friend</w:t>
      </w:r>
      <w:r w:rsidR="009F7F15" w:rsidRPr="00B7700B">
        <w:rPr>
          <w:rFonts w:ascii="Verdana" w:hAnsi="Verdana"/>
          <w:sz w:val="20"/>
          <w:szCs w:val="20"/>
        </w:rPr>
        <w:t>,</w:t>
      </w:r>
      <w:r w:rsidR="006374FB" w:rsidRPr="00B7700B">
        <w:rPr>
          <w:rFonts w:ascii="Verdana" w:hAnsi="Verdana"/>
          <w:sz w:val="20"/>
          <w:szCs w:val="20"/>
        </w:rPr>
        <w:t xml:space="preserve"> family member</w:t>
      </w:r>
      <w:r w:rsidR="009F7F15" w:rsidRPr="00B7700B">
        <w:rPr>
          <w:rFonts w:ascii="Verdana" w:hAnsi="Verdana"/>
          <w:sz w:val="20"/>
          <w:szCs w:val="20"/>
        </w:rPr>
        <w:t xml:space="preserve">, </w:t>
      </w:r>
      <w:r w:rsidR="005A05CC">
        <w:rPr>
          <w:rFonts w:ascii="Verdana" w:hAnsi="Verdana"/>
          <w:sz w:val="20"/>
          <w:szCs w:val="20"/>
        </w:rPr>
        <w:t>guardian,</w:t>
      </w:r>
      <w:r w:rsidR="00040DF8" w:rsidRPr="00B7700B">
        <w:rPr>
          <w:rFonts w:ascii="Verdana" w:hAnsi="Verdana"/>
          <w:sz w:val="20"/>
          <w:szCs w:val="20"/>
        </w:rPr>
        <w:t xml:space="preserve"> </w:t>
      </w:r>
      <w:r w:rsidR="009F7F15" w:rsidRPr="00B7700B">
        <w:rPr>
          <w:rFonts w:ascii="Verdana" w:hAnsi="Verdana"/>
          <w:sz w:val="20"/>
          <w:szCs w:val="20"/>
        </w:rPr>
        <w:t>nominated person</w:t>
      </w:r>
      <w:r w:rsidR="00C13D17">
        <w:rPr>
          <w:rFonts w:ascii="Verdana" w:hAnsi="Verdana"/>
          <w:sz w:val="20"/>
          <w:szCs w:val="20"/>
        </w:rPr>
        <w:t>, advocate</w:t>
      </w:r>
      <w:r w:rsidR="006374FB" w:rsidRPr="00B7700B">
        <w:rPr>
          <w:rFonts w:ascii="Verdana" w:hAnsi="Verdana"/>
          <w:sz w:val="20"/>
          <w:szCs w:val="20"/>
        </w:rPr>
        <w:t xml:space="preserve"> </w:t>
      </w:r>
      <w:r w:rsidR="005A05CC">
        <w:rPr>
          <w:rFonts w:ascii="Verdana" w:hAnsi="Verdana"/>
          <w:sz w:val="20"/>
          <w:szCs w:val="20"/>
        </w:rPr>
        <w:t xml:space="preserve">or legal representative </w:t>
      </w:r>
      <w:r w:rsidR="006374FB" w:rsidRPr="00B7700B">
        <w:rPr>
          <w:rFonts w:ascii="Verdana" w:hAnsi="Verdana"/>
          <w:sz w:val="20"/>
          <w:szCs w:val="20"/>
        </w:rPr>
        <w:t xml:space="preserve">attending the hearing at </w:t>
      </w:r>
      <w:r w:rsidR="006374FB" w:rsidRPr="00815777">
        <w:rPr>
          <w:rFonts w:ascii="Verdana" w:hAnsi="Verdana"/>
          <w:sz w:val="20"/>
          <w:szCs w:val="20"/>
        </w:rPr>
        <w:t>the patient’s request</w:t>
      </w:r>
      <w:r w:rsidR="00AA6B2A" w:rsidRPr="00B7700B">
        <w:rPr>
          <w:rFonts w:ascii="Verdana" w:hAnsi="Verdana"/>
          <w:sz w:val="20"/>
          <w:szCs w:val="20"/>
        </w:rPr>
        <w:t xml:space="preserve"> or a </w:t>
      </w:r>
      <w:r w:rsidR="004A0181" w:rsidRPr="00B7700B">
        <w:rPr>
          <w:rFonts w:ascii="Verdana" w:hAnsi="Verdana"/>
          <w:sz w:val="20"/>
          <w:szCs w:val="20"/>
        </w:rPr>
        <w:t>person</w:t>
      </w:r>
      <w:r w:rsidR="00AA6B2A" w:rsidRPr="00B7700B">
        <w:rPr>
          <w:rFonts w:ascii="Verdana" w:hAnsi="Verdana"/>
          <w:sz w:val="20"/>
          <w:szCs w:val="20"/>
        </w:rPr>
        <w:t xml:space="preserve"> giving evidence at the hearing</w:t>
      </w:r>
      <w:r w:rsidR="006374FB" w:rsidRPr="00B7700B">
        <w:rPr>
          <w:rFonts w:ascii="Verdana" w:hAnsi="Verdana"/>
          <w:sz w:val="20"/>
          <w:szCs w:val="20"/>
        </w:rPr>
        <w:t>.</w:t>
      </w:r>
      <w:r w:rsidR="00FF7023" w:rsidRPr="00B7700B">
        <w:rPr>
          <w:rFonts w:ascii="Verdana" w:hAnsi="Verdana"/>
          <w:sz w:val="20"/>
          <w:szCs w:val="20"/>
        </w:rPr>
        <w:t xml:space="preserve"> </w:t>
      </w:r>
    </w:p>
    <w:p w14:paraId="7FDA2D6B" w14:textId="77777777" w:rsidR="00C8633D" w:rsidRPr="00B7700B" w:rsidRDefault="00C8633D" w:rsidP="00C8633D">
      <w:pPr>
        <w:pStyle w:val="ListParagraph"/>
        <w:spacing w:after="0" w:line="240" w:lineRule="auto"/>
        <w:ind w:left="0"/>
        <w:rPr>
          <w:rFonts w:ascii="Verdana" w:hAnsi="Verdana"/>
          <w:sz w:val="20"/>
          <w:szCs w:val="20"/>
        </w:rPr>
      </w:pPr>
    </w:p>
    <w:p w14:paraId="700D6B5D" w14:textId="77777777" w:rsidR="006374FB" w:rsidRPr="00B7700B" w:rsidRDefault="006374FB" w:rsidP="00C8633D">
      <w:pPr>
        <w:pStyle w:val="ListParagraph"/>
        <w:spacing w:after="0" w:line="240" w:lineRule="auto"/>
        <w:ind w:left="1418" w:hanging="709"/>
        <w:rPr>
          <w:rFonts w:ascii="Verdana" w:hAnsi="Verdana"/>
          <w:sz w:val="20"/>
          <w:szCs w:val="20"/>
        </w:rPr>
      </w:pPr>
      <w:r w:rsidRPr="00B7700B">
        <w:rPr>
          <w:rFonts w:ascii="Verdana" w:hAnsi="Verdana"/>
          <w:sz w:val="20"/>
          <w:szCs w:val="20"/>
        </w:rPr>
        <w:t>5.1</w:t>
      </w:r>
      <w:r w:rsidRPr="00B7700B">
        <w:rPr>
          <w:rFonts w:ascii="Verdana" w:hAnsi="Verdana"/>
          <w:sz w:val="20"/>
          <w:szCs w:val="20"/>
        </w:rPr>
        <w:tab/>
        <w:t>Section 182</w:t>
      </w:r>
      <w:r w:rsidR="005E5ABA" w:rsidRPr="00B7700B">
        <w:rPr>
          <w:rFonts w:ascii="Verdana" w:hAnsi="Verdana"/>
          <w:sz w:val="20"/>
          <w:szCs w:val="20"/>
        </w:rPr>
        <w:t xml:space="preserve"> of the Act </w:t>
      </w:r>
      <w:r w:rsidRPr="00B7700B">
        <w:rPr>
          <w:rFonts w:ascii="Verdana" w:hAnsi="Verdana"/>
          <w:sz w:val="20"/>
          <w:szCs w:val="20"/>
        </w:rPr>
        <w:t xml:space="preserve">defines who is a </w:t>
      </w:r>
      <w:r w:rsidR="002E346B">
        <w:rPr>
          <w:rFonts w:ascii="Verdana" w:hAnsi="Verdana"/>
          <w:sz w:val="20"/>
          <w:szCs w:val="20"/>
        </w:rPr>
        <w:t>‘</w:t>
      </w:r>
      <w:r w:rsidRPr="002E346B">
        <w:rPr>
          <w:rFonts w:ascii="Verdana" w:hAnsi="Verdana"/>
          <w:sz w:val="20"/>
          <w:szCs w:val="20"/>
        </w:rPr>
        <w:t>party</w:t>
      </w:r>
      <w:r w:rsidR="002E346B">
        <w:rPr>
          <w:rFonts w:ascii="Verdana" w:hAnsi="Verdana"/>
          <w:sz w:val="20"/>
          <w:szCs w:val="20"/>
        </w:rPr>
        <w:t>’</w:t>
      </w:r>
      <w:r w:rsidRPr="00B7700B">
        <w:rPr>
          <w:rFonts w:ascii="Verdana" w:hAnsi="Verdana"/>
          <w:i/>
          <w:sz w:val="20"/>
          <w:szCs w:val="20"/>
        </w:rPr>
        <w:t xml:space="preserve"> </w:t>
      </w:r>
      <w:r w:rsidRPr="00B7700B">
        <w:rPr>
          <w:rFonts w:ascii="Verdana" w:hAnsi="Verdana"/>
          <w:sz w:val="20"/>
          <w:szCs w:val="20"/>
        </w:rPr>
        <w:t>to the proceeding.</w:t>
      </w:r>
    </w:p>
    <w:p w14:paraId="4DDCB49D" w14:textId="77777777" w:rsidR="006374FB" w:rsidRPr="00B7700B" w:rsidRDefault="006374FB" w:rsidP="00C8633D">
      <w:pPr>
        <w:pStyle w:val="ListParagraph"/>
        <w:spacing w:after="0" w:line="240" w:lineRule="auto"/>
        <w:ind w:left="1418" w:hanging="709"/>
        <w:rPr>
          <w:rFonts w:ascii="Verdana" w:hAnsi="Verdana"/>
          <w:sz w:val="20"/>
          <w:szCs w:val="20"/>
        </w:rPr>
      </w:pPr>
    </w:p>
    <w:p w14:paraId="2709BF2E" w14:textId="77777777" w:rsidR="009F7F15" w:rsidRDefault="006374FB" w:rsidP="00C8633D">
      <w:pPr>
        <w:pStyle w:val="ListParagraph"/>
        <w:spacing w:after="0" w:line="240" w:lineRule="auto"/>
        <w:ind w:left="1418" w:hanging="709"/>
        <w:rPr>
          <w:rFonts w:ascii="Verdana" w:hAnsi="Verdana"/>
          <w:sz w:val="20"/>
          <w:szCs w:val="20"/>
        </w:rPr>
      </w:pPr>
      <w:r w:rsidRPr="00B7700B">
        <w:rPr>
          <w:rFonts w:ascii="Verdana" w:hAnsi="Verdana"/>
          <w:sz w:val="20"/>
          <w:szCs w:val="20"/>
        </w:rPr>
        <w:t>5.2</w:t>
      </w:r>
      <w:r w:rsidRPr="00B7700B">
        <w:rPr>
          <w:rFonts w:ascii="Verdana" w:hAnsi="Verdana"/>
          <w:sz w:val="20"/>
          <w:szCs w:val="20"/>
        </w:rPr>
        <w:tab/>
      </w:r>
      <w:r w:rsidR="006556B0" w:rsidRPr="00B7700B">
        <w:rPr>
          <w:rFonts w:ascii="Verdana" w:hAnsi="Verdana"/>
          <w:sz w:val="20"/>
          <w:szCs w:val="20"/>
        </w:rPr>
        <w:t xml:space="preserve">The psychiatrist treating the </w:t>
      </w:r>
      <w:r w:rsidR="00815777">
        <w:rPr>
          <w:rFonts w:ascii="Verdana" w:hAnsi="Verdana"/>
          <w:sz w:val="20"/>
          <w:szCs w:val="20"/>
        </w:rPr>
        <w:t>patient</w:t>
      </w:r>
      <w:r w:rsidR="006556B0" w:rsidRPr="00B7700B">
        <w:rPr>
          <w:rFonts w:ascii="Verdana" w:hAnsi="Verdana"/>
          <w:sz w:val="20"/>
          <w:szCs w:val="20"/>
        </w:rPr>
        <w:t xml:space="preserve"> is a party to the proceeding pursuant to section 182(b). The psychiatrist may arrange for other members of the treating to team to present evidence to the Tribunal or attend the hearing in addition to or on behalf of the psychiatrist. </w:t>
      </w:r>
    </w:p>
    <w:p w14:paraId="3BF820E0" w14:textId="77777777" w:rsidR="00AA244B" w:rsidRDefault="00AA244B" w:rsidP="00AA244B">
      <w:pPr>
        <w:spacing w:after="0" w:line="240" w:lineRule="auto"/>
        <w:rPr>
          <w:rFonts w:ascii="Verdana" w:hAnsi="Verdana"/>
          <w:sz w:val="20"/>
          <w:szCs w:val="20"/>
        </w:rPr>
      </w:pPr>
    </w:p>
    <w:p w14:paraId="3912110F" w14:textId="77777777" w:rsidR="00AA244B" w:rsidRDefault="005A05CC" w:rsidP="00AA244B">
      <w:pPr>
        <w:pStyle w:val="ListParagraph"/>
        <w:numPr>
          <w:ilvl w:val="0"/>
          <w:numId w:val="2"/>
        </w:numPr>
        <w:spacing w:after="0" w:line="240" w:lineRule="auto"/>
        <w:ind w:left="709" w:hanging="709"/>
        <w:rPr>
          <w:rFonts w:ascii="Verdana" w:hAnsi="Verdana"/>
          <w:sz w:val="20"/>
          <w:szCs w:val="20"/>
        </w:rPr>
      </w:pPr>
      <w:r w:rsidRPr="00AA244B">
        <w:rPr>
          <w:rFonts w:ascii="Verdana" w:hAnsi="Verdana"/>
          <w:sz w:val="20"/>
          <w:szCs w:val="20"/>
        </w:rPr>
        <w:t xml:space="preserve">In some </w:t>
      </w:r>
      <w:proofErr w:type="gramStart"/>
      <w:r w:rsidRPr="00AA244B">
        <w:rPr>
          <w:rFonts w:ascii="Verdana" w:hAnsi="Verdana"/>
          <w:sz w:val="20"/>
          <w:szCs w:val="20"/>
        </w:rPr>
        <w:t>cases</w:t>
      </w:r>
      <w:proofErr w:type="gramEnd"/>
      <w:r w:rsidRPr="00AA244B">
        <w:rPr>
          <w:rFonts w:ascii="Verdana" w:hAnsi="Verdana"/>
          <w:sz w:val="20"/>
          <w:szCs w:val="20"/>
        </w:rPr>
        <w:t xml:space="preserve"> secu</w:t>
      </w:r>
      <w:r w:rsidR="001810BC">
        <w:rPr>
          <w:rFonts w:ascii="Verdana" w:hAnsi="Verdana"/>
          <w:sz w:val="20"/>
          <w:szCs w:val="20"/>
        </w:rPr>
        <w:t>rity</w:t>
      </w:r>
      <w:r w:rsidRPr="00AA244B">
        <w:rPr>
          <w:rFonts w:ascii="Verdana" w:hAnsi="Verdana"/>
          <w:sz w:val="20"/>
          <w:szCs w:val="20"/>
        </w:rPr>
        <w:t xml:space="preserve"> or other personnel employed by the designated mental health service may be </w:t>
      </w:r>
      <w:r w:rsidR="001810BC">
        <w:rPr>
          <w:rFonts w:ascii="Verdana" w:hAnsi="Verdana"/>
          <w:sz w:val="20"/>
          <w:szCs w:val="20"/>
        </w:rPr>
        <w:t>required to attend a</w:t>
      </w:r>
      <w:r w:rsidR="000839AF" w:rsidRPr="00AA244B">
        <w:rPr>
          <w:rFonts w:ascii="Verdana" w:hAnsi="Verdana"/>
          <w:sz w:val="20"/>
          <w:szCs w:val="20"/>
        </w:rPr>
        <w:t xml:space="preserve"> hearing. This Practice Note does not apply to those persons.</w:t>
      </w:r>
    </w:p>
    <w:p w14:paraId="05254492" w14:textId="77777777" w:rsidR="00AA244B" w:rsidRPr="00AA244B" w:rsidRDefault="00AA244B" w:rsidP="00AA244B">
      <w:pPr>
        <w:pStyle w:val="ListParagraph"/>
        <w:spacing w:after="0" w:line="240" w:lineRule="auto"/>
        <w:ind w:left="360"/>
        <w:rPr>
          <w:rFonts w:ascii="Verdana" w:hAnsi="Verdana"/>
          <w:sz w:val="20"/>
          <w:szCs w:val="20"/>
        </w:rPr>
      </w:pPr>
    </w:p>
    <w:p w14:paraId="01C43989" w14:textId="77777777" w:rsidR="000839AF" w:rsidRPr="00AA244B" w:rsidRDefault="000839AF" w:rsidP="00AA244B">
      <w:pPr>
        <w:pStyle w:val="ListParagraph"/>
        <w:numPr>
          <w:ilvl w:val="0"/>
          <w:numId w:val="2"/>
        </w:numPr>
        <w:spacing w:after="0" w:line="240" w:lineRule="auto"/>
        <w:ind w:left="709" w:hanging="709"/>
        <w:rPr>
          <w:rFonts w:ascii="Verdana" w:hAnsi="Verdana"/>
          <w:sz w:val="20"/>
          <w:szCs w:val="20"/>
        </w:rPr>
      </w:pPr>
      <w:r w:rsidRPr="00AA244B">
        <w:rPr>
          <w:rFonts w:ascii="Verdana" w:hAnsi="Verdana"/>
          <w:sz w:val="20"/>
          <w:szCs w:val="20"/>
        </w:rPr>
        <w:t>This Practice Note does not apply to interpreters.</w:t>
      </w:r>
    </w:p>
    <w:p w14:paraId="5FDFDB7D" w14:textId="77777777" w:rsidR="00C8633D" w:rsidRPr="00B7700B" w:rsidRDefault="00C8633D" w:rsidP="00C8633D">
      <w:pPr>
        <w:pStyle w:val="ListParagraph"/>
        <w:spacing w:after="0" w:line="240" w:lineRule="auto"/>
        <w:ind w:left="0"/>
        <w:rPr>
          <w:rFonts w:ascii="Verdana" w:hAnsi="Verdana"/>
          <w:sz w:val="20"/>
          <w:szCs w:val="20"/>
        </w:rPr>
      </w:pPr>
    </w:p>
    <w:p w14:paraId="29F43663" w14:textId="77777777" w:rsidR="003D0C2E" w:rsidRDefault="003D0C2E">
      <w:pPr>
        <w:rPr>
          <w:rFonts w:ascii="Verdana" w:hAnsi="Verdana"/>
          <w:b/>
          <w:sz w:val="20"/>
          <w:szCs w:val="20"/>
        </w:rPr>
      </w:pPr>
      <w:r>
        <w:rPr>
          <w:rFonts w:ascii="Verdana" w:hAnsi="Verdana"/>
          <w:b/>
          <w:sz w:val="20"/>
          <w:szCs w:val="20"/>
        </w:rPr>
        <w:br w:type="page"/>
      </w:r>
    </w:p>
    <w:p w14:paraId="18D734A1" w14:textId="77777777" w:rsidR="008B6582" w:rsidRPr="00B7700B" w:rsidRDefault="008B6582" w:rsidP="00C8633D">
      <w:pPr>
        <w:pStyle w:val="ListParagraph"/>
        <w:spacing w:after="0" w:line="240" w:lineRule="auto"/>
        <w:ind w:left="0"/>
        <w:rPr>
          <w:rFonts w:ascii="Verdana" w:hAnsi="Verdana"/>
          <w:b/>
          <w:sz w:val="20"/>
          <w:szCs w:val="20"/>
        </w:rPr>
      </w:pPr>
      <w:r w:rsidRPr="00B7700B">
        <w:rPr>
          <w:rFonts w:ascii="Verdana" w:hAnsi="Verdana"/>
          <w:b/>
          <w:sz w:val="20"/>
          <w:szCs w:val="20"/>
        </w:rPr>
        <w:t>Commencement date</w:t>
      </w:r>
    </w:p>
    <w:p w14:paraId="130AD4F7" w14:textId="77777777" w:rsidR="008B6582" w:rsidRPr="00B7700B" w:rsidRDefault="008B6582" w:rsidP="00C8633D">
      <w:pPr>
        <w:pStyle w:val="ListParagraph"/>
        <w:spacing w:after="0" w:line="240" w:lineRule="auto"/>
        <w:ind w:left="0"/>
        <w:rPr>
          <w:rFonts w:ascii="Verdana" w:hAnsi="Verdana"/>
          <w:sz w:val="20"/>
          <w:szCs w:val="20"/>
        </w:rPr>
      </w:pPr>
    </w:p>
    <w:p w14:paraId="2198BE5B" w14:textId="77777777" w:rsidR="007F5C12" w:rsidRPr="00B7700B" w:rsidRDefault="007F5C12" w:rsidP="00C8633D">
      <w:pPr>
        <w:pStyle w:val="ListParagraph"/>
        <w:numPr>
          <w:ilvl w:val="0"/>
          <w:numId w:val="2"/>
        </w:numPr>
        <w:spacing w:after="0" w:line="240" w:lineRule="auto"/>
        <w:ind w:left="709" w:hanging="709"/>
        <w:rPr>
          <w:rFonts w:ascii="Verdana" w:hAnsi="Verdana"/>
          <w:sz w:val="20"/>
          <w:szCs w:val="20"/>
        </w:rPr>
      </w:pPr>
      <w:r w:rsidRPr="00B7700B">
        <w:rPr>
          <w:rFonts w:ascii="Verdana" w:hAnsi="Verdana"/>
          <w:sz w:val="20"/>
          <w:szCs w:val="20"/>
        </w:rPr>
        <w:t xml:space="preserve">This Practice Note takes effect </w:t>
      </w:r>
      <w:r w:rsidRPr="003D24E7">
        <w:rPr>
          <w:rFonts w:ascii="Verdana" w:hAnsi="Verdana"/>
          <w:sz w:val="20"/>
          <w:szCs w:val="20"/>
        </w:rPr>
        <w:t xml:space="preserve">on </w:t>
      </w:r>
      <w:r w:rsidR="00C92D9E">
        <w:rPr>
          <w:rFonts w:ascii="Verdana" w:hAnsi="Verdana"/>
          <w:sz w:val="20"/>
          <w:szCs w:val="20"/>
        </w:rPr>
        <w:t>4</w:t>
      </w:r>
      <w:r w:rsidR="00097B08" w:rsidRPr="003D24E7">
        <w:rPr>
          <w:rFonts w:ascii="Verdana" w:hAnsi="Verdana"/>
          <w:sz w:val="20"/>
          <w:szCs w:val="20"/>
        </w:rPr>
        <w:t xml:space="preserve"> December</w:t>
      </w:r>
      <w:r w:rsidR="002F3FB4" w:rsidRPr="00097B08">
        <w:rPr>
          <w:rFonts w:ascii="Verdana" w:hAnsi="Verdana"/>
          <w:sz w:val="20"/>
          <w:szCs w:val="20"/>
        </w:rPr>
        <w:t xml:space="preserve"> 2015</w:t>
      </w:r>
      <w:r w:rsidRPr="00097B08">
        <w:rPr>
          <w:rFonts w:ascii="Verdana" w:hAnsi="Verdana"/>
          <w:sz w:val="20"/>
          <w:szCs w:val="20"/>
        </w:rPr>
        <w:t>.</w:t>
      </w:r>
    </w:p>
    <w:p w14:paraId="7BCB6C7E" w14:textId="77777777" w:rsidR="008B6582" w:rsidRPr="00B7700B" w:rsidRDefault="008B6582" w:rsidP="00C8633D">
      <w:pPr>
        <w:pStyle w:val="ListParagraph"/>
        <w:spacing w:after="0" w:line="240" w:lineRule="auto"/>
        <w:ind w:left="0"/>
        <w:rPr>
          <w:rFonts w:ascii="Verdana" w:hAnsi="Verdana"/>
          <w:sz w:val="20"/>
          <w:szCs w:val="20"/>
        </w:rPr>
      </w:pPr>
    </w:p>
    <w:p w14:paraId="460E09E5" w14:textId="77777777" w:rsidR="008B6582" w:rsidRPr="00B7700B" w:rsidRDefault="008B6582" w:rsidP="00C8633D">
      <w:pPr>
        <w:pStyle w:val="ListParagraph"/>
        <w:spacing w:after="0" w:line="240" w:lineRule="auto"/>
        <w:ind w:left="0"/>
        <w:rPr>
          <w:rFonts w:ascii="Verdana" w:hAnsi="Verdana"/>
          <w:b/>
          <w:sz w:val="20"/>
          <w:szCs w:val="20"/>
        </w:rPr>
      </w:pPr>
      <w:r w:rsidRPr="00B7700B">
        <w:rPr>
          <w:rFonts w:ascii="Verdana" w:hAnsi="Verdana"/>
          <w:b/>
          <w:sz w:val="20"/>
          <w:szCs w:val="20"/>
        </w:rPr>
        <w:t>Definitions</w:t>
      </w:r>
    </w:p>
    <w:p w14:paraId="239E743A" w14:textId="77777777" w:rsidR="008B6582" w:rsidRPr="00B7700B" w:rsidRDefault="008B6582" w:rsidP="00C8633D">
      <w:pPr>
        <w:pStyle w:val="ListParagraph"/>
        <w:spacing w:after="0" w:line="240" w:lineRule="auto"/>
        <w:ind w:left="0"/>
        <w:rPr>
          <w:rFonts w:ascii="Verdana" w:hAnsi="Verdana"/>
          <w:sz w:val="20"/>
          <w:szCs w:val="20"/>
        </w:rPr>
      </w:pPr>
    </w:p>
    <w:p w14:paraId="10DDAD57" w14:textId="77777777" w:rsidR="007F5C12" w:rsidRPr="00B7700B" w:rsidRDefault="007F5C12" w:rsidP="00C8633D">
      <w:pPr>
        <w:pStyle w:val="ListParagraph"/>
        <w:numPr>
          <w:ilvl w:val="0"/>
          <w:numId w:val="2"/>
        </w:numPr>
        <w:spacing w:after="0" w:line="240" w:lineRule="auto"/>
        <w:ind w:left="709" w:hanging="709"/>
        <w:rPr>
          <w:rFonts w:ascii="Verdana" w:hAnsi="Verdana"/>
          <w:sz w:val="20"/>
          <w:szCs w:val="20"/>
        </w:rPr>
      </w:pPr>
      <w:r w:rsidRPr="00B7700B">
        <w:rPr>
          <w:rFonts w:ascii="Verdana" w:hAnsi="Verdana"/>
          <w:sz w:val="20"/>
          <w:szCs w:val="20"/>
        </w:rPr>
        <w:t xml:space="preserve">Unless otherwise specified, all references to sections in this </w:t>
      </w:r>
      <w:r w:rsidR="00FF7023" w:rsidRPr="00B7700B">
        <w:rPr>
          <w:rFonts w:ascii="Verdana" w:hAnsi="Verdana"/>
          <w:sz w:val="20"/>
          <w:szCs w:val="20"/>
        </w:rPr>
        <w:t>Practice</w:t>
      </w:r>
      <w:r w:rsidRPr="00B7700B">
        <w:rPr>
          <w:rFonts w:ascii="Verdana" w:hAnsi="Verdana"/>
          <w:sz w:val="20"/>
          <w:szCs w:val="20"/>
        </w:rPr>
        <w:t xml:space="preserve"> Note </w:t>
      </w:r>
      <w:r w:rsidR="00FF7023" w:rsidRPr="00B7700B">
        <w:rPr>
          <w:rFonts w:ascii="Verdana" w:hAnsi="Verdana"/>
          <w:sz w:val="20"/>
          <w:szCs w:val="20"/>
        </w:rPr>
        <w:t>a</w:t>
      </w:r>
      <w:r w:rsidRPr="00B7700B">
        <w:rPr>
          <w:rFonts w:ascii="Verdana" w:hAnsi="Verdana"/>
          <w:sz w:val="20"/>
          <w:szCs w:val="20"/>
        </w:rPr>
        <w:t>re to sections of the</w:t>
      </w:r>
      <w:r w:rsidRPr="00B7700B">
        <w:rPr>
          <w:rFonts w:ascii="Verdana" w:hAnsi="Verdana"/>
          <w:i/>
          <w:sz w:val="20"/>
          <w:szCs w:val="20"/>
        </w:rPr>
        <w:t xml:space="preserve"> </w:t>
      </w:r>
      <w:r w:rsidRPr="00B7700B">
        <w:rPr>
          <w:rFonts w:ascii="Verdana" w:hAnsi="Verdana"/>
          <w:sz w:val="20"/>
          <w:szCs w:val="20"/>
        </w:rPr>
        <w:t>Act.</w:t>
      </w:r>
    </w:p>
    <w:p w14:paraId="234F9509" w14:textId="77777777" w:rsidR="007F5C12" w:rsidRPr="00B7700B" w:rsidRDefault="007F5C12" w:rsidP="00C8633D">
      <w:pPr>
        <w:pStyle w:val="ListParagraph"/>
        <w:spacing w:after="0" w:line="240" w:lineRule="auto"/>
        <w:ind w:left="709"/>
        <w:rPr>
          <w:rFonts w:ascii="Verdana" w:hAnsi="Verdana"/>
          <w:sz w:val="20"/>
          <w:szCs w:val="20"/>
        </w:rPr>
      </w:pPr>
    </w:p>
    <w:p w14:paraId="3F15371D" w14:textId="77777777" w:rsidR="007F5C12" w:rsidRDefault="007F5C12" w:rsidP="00C8633D">
      <w:pPr>
        <w:pStyle w:val="ListParagraph"/>
        <w:numPr>
          <w:ilvl w:val="0"/>
          <w:numId w:val="2"/>
        </w:numPr>
        <w:spacing w:after="0" w:line="240" w:lineRule="auto"/>
        <w:ind w:left="709" w:hanging="709"/>
        <w:rPr>
          <w:rFonts w:ascii="Verdana" w:hAnsi="Verdana"/>
          <w:sz w:val="20"/>
          <w:szCs w:val="20"/>
        </w:rPr>
      </w:pPr>
      <w:r w:rsidRPr="00B7700B">
        <w:rPr>
          <w:rFonts w:ascii="Verdana" w:hAnsi="Verdana"/>
          <w:sz w:val="20"/>
          <w:szCs w:val="20"/>
        </w:rPr>
        <w:t>Unless otherwise specified, terms in this Practice Note have the same meaning as in the Act.</w:t>
      </w:r>
    </w:p>
    <w:p w14:paraId="2BF019E5" w14:textId="77777777" w:rsidR="00694920" w:rsidRDefault="00694920" w:rsidP="00694920">
      <w:pPr>
        <w:spacing w:after="0" w:line="240" w:lineRule="auto"/>
        <w:rPr>
          <w:rFonts w:ascii="Verdana" w:hAnsi="Verdana"/>
          <w:sz w:val="20"/>
          <w:szCs w:val="20"/>
        </w:rPr>
      </w:pPr>
    </w:p>
    <w:p w14:paraId="351E2F2C" w14:textId="77777777" w:rsidR="00694920" w:rsidRDefault="00F2076C" w:rsidP="00694920">
      <w:pPr>
        <w:spacing w:after="0" w:line="240" w:lineRule="auto"/>
        <w:ind w:left="709"/>
        <w:rPr>
          <w:rFonts w:ascii="Verdana" w:hAnsi="Verdana"/>
          <w:sz w:val="20"/>
          <w:szCs w:val="20"/>
        </w:rPr>
      </w:pPr>
      <w:r>
        <w:rPr>
          <w:rFonts w:ascii="Verdana" w:hAnsi="Verdana"/>
          <w:sz w:val="20"/>
          <w:szCs w:val="20"/>
        </w:rPr>
        <w:t>10</w:t>
      </w:r>
      <w:r w:rsidR="00694920">
        <w:rPr>
          <w:rFonts w:ascii="Verdana" w:hAnsi="Verdana"/>
          <w:sz w:val="20"/>
          <w:szCs w:val="20"/>
        </w:rPr>
        <w:t>.1</w:t>
      </w:r>
      <w:r w:rsidR="00694920">
        <w:rPr>
          <w:rFonts w:ascii="Verdana" w:hAnsi="Verdana"/>
          <w:sz w:val="20"/>
          <w:szCs w:val="20"/>
        </w:rPr>
        <w:tab/>
        <w:t>The term ‘patient’ used in this Practice Note includes:</w:t>
      </w:r>
    </w:p>
    <w:p w14:paraId="620481AD" w14:textId="77777777" w:rsidR="00694920" w:rsidRDefault="00694920" w:rsidP="00694920">
      <w:pPr>
        <w:spacing w:after="0" w:line="240" w:lineRule="auto"/>
        <w:ind w:left="709"/>
        <w:rPr>
          <w:rFonts w:ascii="Verdana" w:hAnsi="Verdana"/>
          <w:sz w:val="20"/>
          <w:szCs w:val="20"/>
        </w:rPr>
      </w:pPr>
    </w:p>
    <w:p w14:paraId="61EFA9C1" w14:textId="77777777" w:rsidR="00694920" w:rsidRDefault="00694920" w:rsidP="00694920">
      <w:pPr>
        <w:pStyle w:val="ListParagraph"/>
        <w:numPr>
          <w:ilvl w:val="0"/>
          <w:numId w:val="18"/>
        </w:numPr>
        <w:spacing w:after="0" w:line="240" w:lineRule="auto"/>
        <w:ind w:left="2127" w:hanging="683"/>
        <w:rPr>
          <w:rFonts w:ascii="Verdana" w:hAnsi="Verdana"/>
          <w:sz w:val="20"/>
          <w:szCs w:val="20"/>
        </w:rPr>
      </w:pPr>
      <w:r>
        <w:rPr>
          <w:rFonts w:ascii="Verdana" w:hAnsi="Verdana"/>
          <w:sz w:val="20"/>
          <w:szCs w:val="20"/>
        </w:rPr>
        <w:t xml:space="preserve">the definition of ‘patient’ in section 3 of the Act, which defines </w:t>
      </w:r>
      <w:r w:rsidR="00815777">
        <w:rPr>
          <w:rFonts w:ascii="Verdana" w:hAnsi="Verdana"/>
          <w:sz w:val="20"/>
          <w:szCs w:val="20"/>
        </w:rPr>
        <w:t>‘</w:t>
      </w:r>
      <w:r>
        <w:rPr>
          <w:rFonts w:ascii="Verdana" w:hAnsi="Verdana"/>
          <w:sz w:val="20"/>
          <w:szCs w:val="20"/>
        </w:rPr>
        <w:t>patient</w:t>
      </w:r>
      <w:r w:rsidR="00815777">
        <w:rPr>
          <w:rFonts w:ascii="Verdana" w:hAnsi="Verdana"/>
          <w:sz w:val="20"/>
          <w:szCs w:val="20"/>
        </w:rPr>
        <w:t>’</w:t>
      </w:r>
      <w:r>
        <w:rPr>
          <w:rFonts w:ascii="Verdana" w:hAnsi="Verdana"/>
          <w:sz w:val="20"/>
          <w:szCs w:val="20"/>
        </w:rPr>
        <w:t xml:space="preserve"> as a compulsory patient; or a security patient; or a forensic patient; and</w:t>
      </w:r>
    </w:p>
    <w:p w14:paraId="42503E22" w14:textId="77777777" w:rsidR="00694920" w:rsidRPr="00694920" w:rsidRDefault="00694920" w:rsidP="00694920">
      <w:pPr>
        <w:spacing w:after="0" w:line="240" w:lineRule="auto"/>
        <w:ind w:left="2127" w:hanging="683"/>
        <w:rPr>
          <w:rFonts w:ascii="Verdana" w:hAnsi="Verdana"/>
          <w:sz w:val="20"/>
          <w:szCs w:val="20"/>
        </w:rPr>
      </w:pPr>
      <w:r>
        <w:rPr>
          <w:rFonts w:ascii="Verdana" w:hAnsi="Verdana"/>
          <w:sz w:val="20"/>
          <w:szCs w:val="20"/>
        </w:rPr>
        <w:t>(b)</w:t>
      </w:r>
      <w:r>
        <w:rPr>
          <w:rFonts w:ascii="Verdana" w:hAnsi="Verdana"/>
          <w:sz w:val="20"/>
          <w:szCs w:val="20"/>
        </w:rPr>
        <w:tab/>
        <w:t>any other person who is the subject of the proceeding but does not fall into the definition of ‘patient’ under section 3 of the Act.</w:t>
      </w:r>
    </w:p>
    <w:p w14:paraId="1B6C8335" w14:textId="77777777" w:rsidR="00FF7023" w:rsidRPr="00B7700B" w:rsidRDefault="00FF7023" w:rsidP="00C8633D">
      <w:pPr>
        <w:pStyle w:val="ListParagraph"/>
        <w:spacing w:after="0" w:line="240" w:lineRule="auto"/>
        <w:rPr>
          <w:rFonts w:ascii="Verdana" w:hAnsi="Verdana"/>
          <w:sz w:val="20"/>
          <w:szCs w:val="20"/>
        </w:rPr>
      </w:pPr>
    </w:p>
    <w:p w14:paraId="2CF24E77" w14:textId="77777777" w:rsidR="00FF7023" w:rsidRPr="00B7700B" w:rsidRDefault="00FF7023" w:rsidP="00C8633D">
      <w:pPr>
        <w:pStyle w:val="ListParagraph"/>
        <w:numPr>
          <w:ilvl w:val="0"/>
          <w:numId w:val="2"/>
        </w:numPr>
        <w:spacing w:after="0" w:line="240" w:lineRule="auto"/>
        <w:ind w:left="709" w:hanging="709"/>
        <w:rPr>
          <w:rFonts w:ascii="Verdana" w:hAnsi="Verdana"/>
          <w:sz w:val="20"/>
          <w:szCs w:val="20"/>
        </w:rPr>
      </w:pPr>
      <w:r w:rsidRPr="00B7700B">
        <w:rPr>
          <w:rFonts w:ascii="Verdana" w:hAnsi="Verdana"/>
          <w:sz w:val="20"/>
          <w:szCs w:val="20"/>
        </w:rPr>
        <w:t xml:space="preserve">This Practice Note may be referred to as </w:t>
      </w:r>
      <w:r w:rsidRPr="00B7700B">
        <w:rPr>
          <w:rFonts w:ascii="Verdana" w:hAnsi="Verdana"/>
          <w:i/>
          <w:sz w:val="20"/>
          <w:szCs w:val="20"/>
        </w:rPr>
        <w:t>‘PN7 – Observers at Mental Health Tribunal Hearings</w:t>
      </w:r>
      <w:r w:rsidRPr="00B7700B">
        <w:rPr>
          <w:rFonts w:ascii="Verdana" w:hAnsi="Verdana"/>
          <w:sz w:val="20"/>
          <w:szCs w:val="20"/>
        </w:rPr>
        <w:t>.’</w:t>
      </w:r>
    </w:p>
    <w:p w14:paraId="66B8E646" w14:textId="77777777" w:rsidR="007F5C12" w:rsidRPr="00B7700B" w:rsidRDefault="007F5C12" w:rsidP="00C8633D">
      <w:pPr>
        <w:pStyle w:val="ListParagraph"/>
        <w:spacing w:after="0" w:line="240" w:lineRule="auto"/>
        <w:ind w:left="0"/>
        <w:rPr>
          <w:rFonts w:ascii="Verdana" w:hAnsi="Verdana"/>
          <w:sz w:val="20"/>
          <w:szCs w:val="20"/>
        </w:rPr>
      </w:pPr>
    </w:p>
    <w:p w14:paraId="5E66EA5D" w14:textId="77777777" w:rsidR="008B6582" w:rsidRPr="00B7700B" w:rsidRDefault="000D613E" w:rsidP="00C8633D">
      <w:pPr>
        <w:pStyle w:val="ListParagraph"/>
        <w:numPr>
          <w:ilvl w:val="0"/>
          <w:numId w:val="1"/>
        </w:numPr>
        <w:spacing w:after="0" w:line="240" w:lineRule="auto"/>
        <w:ind w:left="709" w:hanging="709"/>
        <w:rPr>
          <w:rFonts w:ascii="Verdana" w:hAnsi="Verdana"/>
          <w:b/>
          <w:sz w:val="20"/>
          <w:szCs w:val="20"/>
        </w:rPr>
      </w:pPr>
      <w:r w:rsidRPr="00B7700B">
        <w:rPr>
          <w:rFonts w:ascii="Verdana" w:hAnsi="Verdana"/>
          <w:b/>
          <w:sz w:val="20"/>
          <w:szCs w:val="20"/>
        </w:rPr>
        <w:t>PROCEDURES FOR THE ATTENDANCE OF OBSERVERS AT HEARINGS</w:t>
      </w:r>
    </w:p>
    <w:p w14:paraId="2D39D0F2" w14:textId="77777777" w:rsidR="000D613E" w:rsidRPr="00B7700B" w:rsidRDefault="000D613E" w:rsidP="00C8633D">
      <w:pPr>
        <w:pStyle w:val="ListParagraph"/>
        <w:spacing w:after="0" w:line="240" w:lineRule="auto"/>
        <w:ind w:left="0"/>
        <w:rPr>
          <w:rFonts w:ascii="Verdana" w:hAnsi="Verdana"/>
          <w:b/>
          <w:sz w:val="20"/>
          <w:szCs w:val="20"/>
        </w:rPr>
      </w:pPr>
    </w:p>
    <w:p w14:paraId="1E11A19E" w14:textId="77777777" w:rsidR="000D613E" w:rsidRPr="00B7700B" w:rsidRDefault="0014162F" w:rsidP="00C8633D">
      <w:pPr>
        <w:pStyle w:val="ListParagraph"/>
        <w:spacing w:after="0" w:line="240" w:lineRule="auto"/>
        <w:ind w:left="0"/>
        <w:rPr>
          <w:rFonts w:ascii="Verdana" w:hAnsi="Verdana"/>
          <w:b/>
          <w:sz w:val="20"/>
          <w:szCs w:val="20"/>
        </w:rPr>
      </w:pPr>
      <w:r w:rsidRPr="00B7700B">
        <w:rPr>
          <w:rFonts w:ascii="Verdana" w:hAnsi="Verdana"/>
          <w:b/>
          <w:sz w:val="20"/>
          <w:szCs w:val="20"/>
        </w:rPr>
        <w:t>Persons permitted to observe hearings</w:t>
      </w:r>
    </w:p>
    <w:p w14:paraId="2571EBBD" w14:textId="77777777" w:rsidR="000D613E" w:rsidRPr="00B7700B" w:rsidRDefault="000D613E" w:rsidP="00C8633D">
      <w:pPr>
        <w:pStyle w:val="ListParagraph"/>
        <w:spacing w:after="0" w:line="240" w:lineRule="auto"/>
        <w:ind w:left="0"/>
        <w:rPr>
          <w:rFonts w:ascii="Verdana" w:hAnsi="Verdana"/>
          <w:b/>
          <w:sz w:val="20"/>
          <w:szCs w:val="20"/>
        </w:rPr>
      </w:pPr>
    </w:p>
    <w:p w14:paraId="1E6D7420" w14:textId="77777777" w:rsidR="004A0181" w:rsidRPr="00B7700B" w:rsidRDefault="0040456B" w:rsidP="00C8633D">
      <w:pPr>
        <w:pStyle w:val="ListParagraph"/>
        <w:numPr>
          <w:ilvl w:val="0"/>
          <w:numId w:val="2"/>
        </w:numPr>
        <w:spacing w:after="0" w:line="240" w:lineRule="auto"/>
        <w:ind w:left="709" w:hanging="709"/>
        <w:rPr>
          <w:rFonts w:ascii="Verdana" w:hAnsi="Verdana"/>
          <w:sz w:val="20"/>
          <w:szCs w:val="20"/>
        </w:rPr>
      </w:pPr>
      <w:r w:rsidRPr="00B7700B">
        <w:rPr>
          <w:rFonts w:ascii="Verdana" w:hAnsi="Verdana"/>
          <w:sz w:val="20"/>
          <w:szCs w:val="20"/>
        </w:rPr>
        <w:t xml:space="preserve">Observers of hearings are limited to persons with a legitimate purpose. </w:t>
      </w:r>
    </w:p>
    <w:p w14:paraId="680CA785" w14:textId="77777777" w:rsidR="006556B0" w:rsidRPr="00B7700B" w:rsidRDefault="006556B0" w:rsidP="006556B0">
      <w:pPr>
        <w:pStyle w:val="ListParagraph"/>
        <w:spacing w:after="0" w:line="240" w:lineRule="auto"/>
        <w:ind w:left="709"/>
        <w:rPr>
          <w:rFonts w:ascii="Verdana" w:hAnsi="Verdana"/>
          <w:sz w:val="20"/>
          <w:szCs w:val="20"/>
        </w:rPr>
      </w:pPr>
    </w:p>
    <w:p w14:paraId="4883867D" w14:textId="77777777" w:rsidR="006556B0" w:rsidRPr="003D0C2E" w:rsidRDefault="00873E6C" w:rsidP="006556B0">
      <w:pPr>
        <w:pStyle w:val="ListParagraph"/>
        <w:spacing w:after="0" w:line="240" w:lineRule="auto"/>
        <w:ind w:left="1418" w:hanging="709"/>
        <w:rPr>
          <w:rFonts w:ascii="Verdana" w:hAnsi="Verdana"/>
          <w:sz w:val="20"/>
          <w:szCs w:val="20"/>
        </w:rPr>
      </w:pPr>
      <w:r>
        <w:rPr>
          <w:rFonts w:ascii="Verdana" w:hAnsi="Verdana"/>
          <w:sz w:val="20"/>
          <w:szCs w:val="20"/>
        </w:rPr>
        <w:t>12</w:t>
      </w:r>
      <w:r w:rsidR="006556B0" w:rsidRPr="00B7700B">
        <w:rPr>
          <w:rFonts w:ascii="Verdana" w:hAnsi="Verdana"/>
          <w:sz w:val="20"/>
          <w:szCs w:val="20"/>
        </w:rPr>
        <w:t>.1</w:t>
      </w:r>
      <w:r w:rsidR="006556B0" w:rsidRPr="00B7700B">
        <w:rPr>
          <w:rFonts w:ascii="Verdana" w:hAnsi="Verdana"/>
          <w:sz w:val="20"/>
          <w:szCs w:val="20"/>
        </w:rPr>
        <w:tab/>
      </w:r>
      <w:r w:rsidR="00E42FCC" w:rsidRPr="003D0C2E">
        <w:rPr>
          <w:rFonts w:ascii="Verdana" w:hAnsi="Verdana"/>
          <w:sz w:val="20"/>
          <w:szCs w:val="20"/>
        </w:rPr>
        <w:t xml:space="preserve">The </w:t>
      </w:r>
      <w:r w:rsidR="006556B0" w:rsidRPr="003D0C2E">
        <w:rPr>
          <w:rFonts w:ascii="Verdana" w:hAnsi="Verdana"/>
          <w:sz w:val="20"/>
          <w:szCs w:val="20"/>
        </w:rPr>
        <w:t>Tribunal considers the following observers to have a ‘legitimate purpose’:</w:t>
      </w:r>
    </w:p>
    <w:p w14:paraId="78CB35D5" w14:textId="77777777" w:rsidR="006556B0" w:rsidRPr="003D0C2E" w:rsidRDefault="006556B0" w:rsidP="006556B0">
      <w:pPr>
        <w:pStyle w:val="ListParagraph"/>
        <w:spacing w:after="0" w:line="240" w:lineRule="auto"/>
        <w:ind w:left="709"/>
        <w:rPr>
          <w:rFonts w:ascii="Verdana" w:hAnsi="Verdana"/>
          <w:sz w:val="20"/>
          <w:szCs w:val="20"/>
        </w:rPr>
      </w:pPr>
    </w:p>
    <w:p w14:paraId="26DD3713" w14:textId="77777777" w:rsidR="0014162F" w:rsidRPr="003D0C2E" w:rsidRDefault="0014162F" w:rsidP="0014162F">
      <w:pPr>
        <w:spacing w:after="0" w:line="240" w:lineRule="auto"/>
        <w:ind w:left="2127" w:hanging="698"/>
        <w:rPr>
          <w:rFonts w:ascii="Verdana" w:hAnsi="Verdana"/>
          <w:sz w:val="20"/>
          <w:szCs w:val="20"/>
        </w:rPr>
      </w:pPr>
      <w:r w:rsidRPr="003D0C2E">
        <w:rPr>
          <w:rFonts w:ascii="Verdana" w:hAnsi="Verdana"/>
          <w:sz w:val="20"/>
          <w:szCs w:val="20"/>
        </w:rPr>
        <w:t>(a)</w:t>
      </w:r>
      <w:r w:rsidRPr="003D0C2E">
        <w:rPr>
          <w:rFonts w:ascii="Verdana" w:hAnsi="Verdana"/>
          <w:sz w:val="20"/>
          <w:szCs w:val="20"/>
        </w:rPr>
        <w:tab/>
        <w:t>persons employed by or engaged in training at the designated mental health service where the hearing is held;</w:t>
      </w:r>
    </w:p>
    <w:p w14:paraId="0F968FC6" w14:textId="77777777" w:rsidR="0014162F" w:rsidRPr="003D0C2E" w:rsidRDefault="0014162F" w:rsidP="002D4105">
      <w:pPr>
        <w:spacing w:after="0" w:line="240" w:lineRule="auto"/>
        <w:ind w:left="2127" w:hanging="709"/>
        <w:rPr>
          <w:rFonts w:ascii="Verdana" w:hAnsi="Verdana"/>
          <w:sz w:val="20"/>
          <w:szCs w:val="20"/>
        </w:rPr>
      </w:pPr>
      <w:r w:rsidRPr="003D0C2E">
        <w:rPr>
          <w:rFonts w:ascii="Verdana" w:hAnsi="Verdana"/>
          <w:sz w:val="20"/>
          <w:szCs w:val="20"/>
        </w:rPr>
        <w:t>(b)</w:t>
      </w:r>
      <w:r w:rsidRPr="003D0C2E">
        <w:rPr>
          <w:rFonts w:ascii="Verdana" w:hAnsi="Verdana"/>
          <w:sz w:val="20"/>
          <w:szCs w:val="20"/>
        </w:rPr>
        <w:tab/>
        <w:t>persons undertaking research in mental health;</w:t>
      </w:r>
      <w:r w:rsidR="003F5CAD" w:rsidRPr="003D0C2E">
        <w:rPr>
          <w:rFonts w:ascii="Verdana" w:hAnsi="Verdana"/>
          <w:sz w:val="20"/>
          <w:szCs w:val="20"/>
        </w:rPr>
        <w:t xml:space="preserve"> </w:t>
      </w:r>
    </w:p>
    <w:p w14:paraId="1E16576E" w14:textId="77777777" w:rsidR="002F3FEF" w:rsidRPr="003D0C2E" w:rsidRDefault="0014162F" w:rsidP="0014162F">
      <w:pPr>
        <w:spacing w:after="0" w:line="240" w:lineRule="auto"/>
        <w:ind w:left="2127" w:hanging="698"/>
        <w:rPr>
          <w:rFonts w:ascii="Verdana" w:hAnsi="Verdana"/>
          <w:sz w:val="20"/>
          <w:szCs w:val="20"/>
        </w:rPr>
      </w:pPr>
      <w:r w:rsidRPr="003D0C2E">
        <w:rPr>
          <w:rFonts w:ascii="Verdana" w:hAnsi="Verdana"/>
          <w:sz w:val="20"/>
          <w:szCs w:val="20"/>
        </w:rPr>
        <w:t>(c)</w:t>
      </w:r>
      <w:r w:rsidRPr="003D0C2E">
        <w:rPr>
          <w:rFonts w:ascii="Verdana" w:hAnsi="Verdana"/>
          <w:sz w:val="20"/>
          <w:szCs w:val="20"/>
        </w:rPr>
        <w:tab/>
        <w:t xml:space="preserve">persons </w:t>
      </w:r>
      <w:r w:rsidR="002D4105" w:rsidRPr="003D0C2E">
        <w:rPr>
          <w:rFonts w:ascii="Verdana" w:hAnsi="Verdana"/>
          <w:sz w:val="20"/>
          <w:szCs w:val="20"/>
        </w:rPr>
        <w:t xml:space="preserve">employed by or engaged in </w:t>
      </w:r>
      <w:r w:rsidRPr="003D0C2E">
        <w:rPr>
          <w:rFonts w:ascii="Verdana" w:hAnsi="Verdana"/>
          <w:sz w:val="20"/>
          <w:szCs w:val="20"/>
        </w:rPr>
        <w:t xml:space="preserve">training with the </w:t>
      </w:r>
      <w:r w:rsidR="003F5CAD" w:rsidRPr="003D0C2E">
        <w:rPr>
          <w:rFonts w:ascii="Verdana" w:hAnsi="Verdana"/>
          <w:sz w:val="20"/>
          <w:szCs w:val="20"/>
        </w:rPr>
        <w:t xml:space="preserve">body </w:t>
      </w:r>
      <w:r w:rsidR="009E3BE0" w:rsidRPr="003D0C2E">
        <w:rPr>
          <w:rFonts w:ascii="Verdana" w:hAnsi="Verdana"/>
          <w:sz w:val="20"/>
          <w:szCs w:val="20"/>
        </w:rPr>
        <w:t xml:space="preserve">providing legal </w:t>
      </w:r>
      <w:r w:rsidR="003F5CAD" w:rsidRPr="003D0C2E">
        <w:rPr>
          <w:rFonts w:ascii="Verdana" w:hAnsi="Verdana"/>
          <w:sz w:val="20"/>
          <w:szCs w:val="20"/>
        </w:rPr>
        <w:t>represent</w:t>
      </w:r>
      <w:r w:rsidR="009E3BE0" w:rsidRPr="003D0C2E">
        <w:rPr>
          <w:rFonts w:ascii="Verdana" w:hAnsi="Verdana"/>
          <w:sz w:val="20"/>
          <w:szCs w:val="20"/>
        </w:rPr>
        <w:t>ation</w:t>
      </w:r>
      <w:r w:rsidR="00AA244B" w:rsidRPr="003D0C2E">
        <w:rPr>
          <w:rFonts w:ascii="Verdana" w:hAnsi="Verdana"/>
          <w:sz w:val="20"/>
          <w:szCs w:val="20"/>
        </w:rPr>
        <w:t xml:space="preserve"> or advocacy</w:t>
      </w:r>
      <w:r w:rsidR="003F5CAD" w:rsidRPr="003D0C2E">
        <w:rPr>
          <w:rFonts w:ascii="Verdana" w:hAnsi="Verdana"/>
          <w:sz w:val="20"/>
          <w:szCs w:val="20"/>
        </w:rPr>
        <w:t xml:space="preserve"> </w:t>
      </w:r>
      <w:r w:rsidR="009E3BE0" w:rsidRPr="003D0C2E">
        <w:rPr>
          <w:rFonts w:ascii="Verdana" w:hAnsi="Verdana"/>
          <w:sz w:val="20"/>
          <w:szCs w:val="20"/>
        </w:rPr>
        <w:t xml:space="preserve">to </w:t>
      </w:r>
      <w:r w:rsidRPr="003D0C2E">
        <w:rPr>
          <w:rFonts w:ascii="Verdana" w:hAnsi="Verdana"/>
          <w:sz w:val="20"/>
          <w:szCs w:val="20"/>
        </w:rPr>
        <w:t xml:space="preserve">the </w:t>
      </w:r>
      <w:r w:rsidR="00507D6B" w:rsidRPr="003D0C2E">
        <w:rPr>
          <w:rFonts w:ascii="Verdana" w:hAnsi="Verdana"/>
          <w:sz w:val="20"/>
          <w:szCs w:val="20"/>
        </w:rPr>
        <w:t>patient at the hearing</w:t>
      </w:r>
      <w:r w:rsidR="003F5CAD" w:rsidRPr="003D0C2E">
        <w:rPr>
          <w:rFonts w:ascii="Verdana" w:hAnsi="Verdana"/>
          <w:sz w:val="20"/>
          <w:szCs w:val="20"/>
        </w:rPr>
        <w:t xml:space="preserve">; </w:t>
      </w:r>
    </w:p>
    <w:p w14:paraId="5A24C8C9" w14:textId="77777777" w:rsidR="0014162F" w:rsidRPr="003D0C2E" w:rsidRDefault="002F3FEF" w:rsidP="0014162F">
      <w:pPr>
        <w:spacing w:after="0" w:line="240" w:lineRule="auto"/>
        <w:ind w:left="2127" w:hanging="698"/>
        <w:rPr>
          <w:rFonts w:ascii="Verdana" w:hAnsi="Verdana"/>
          <w:sz w:val="20"/>
          <w:szCs w:val="20"/>
        </w:rPr>
      </w:pPr>
      <w:r w:rsidRPr="003D0C2E">
        <w:rPr>
          <w:rFonts w:ascii="Verdana" w:hAnsi="Verdana"/>
          <w:sz w:val="20"/>
          <w:szCs w:val="20"/>
        </w:rPr>
        <w:t>(d)</w:t>
      </w:r>
      <w:r w:rsidRPr="003D0C2E">
        <w:rPr>
          <w:rFonts w:ascii="Verdana" w:hAnsi="Verdana"/>
          <w:sz w:val="20"/>
          <w:szCs w:val="20"/>
        </w:rPr>
        <w:tab/>
        <w:t xml:space="preserve">persons employed by or engaged in training at the Tribunal; </w:t>
      </w:r>
      <w:r w:rsidR="003F5CAD" w:rsidRPr="003D0C2E">
        <w:rPr>
          <w:rFonts w:ascii="Verdana" w:hAnsi="Verdana"/>
          <w:sz w:val="20"/>
          <w:szCs w:val="20"/>
        </w:rPr>
        <w:t>and</w:t>
      </w:r>
    </w:p>
    <w:p w14:paraId="5037BF34" w14:textId="77777777" w:rsidR="003F5CAD" w:rsidRPr="00B7700B" w:rsidRDefault="002F3FEF" w:rsidP="0014162F">
      <w:pPr>
        <w:spacing w:after="0" w:line="240" w:lineRule="auto"/>
        <w:ind w:left="2127" w:hanging="698"/>
        <w:rPr>
          <w:rFonts w:ascii="Verdana" w:hAnsi="Verdana"/>
          <w:sz w:val="20"/>
          <w:szCs w:val="20"/>
        </w:rPr>
      </w:pPr>
      <w:r w:rsidRPr="003D0C2E">
        <w:rPr>
          <w:rFonts w:ascii="Verdana" w:hAnsi="Verdana"/>
          <w:sz w:val="20"/>
          <w:szCs w:val="20"/>
        </w:rPr>
        <w:t>(e</w:t>
      </w:r>
      <w:r w:rsidR="003F5CAD" w:rsidRPr="003D0C2E">
        <w:rPr>
          <w:rFonts w:ascii="Verdana" w:hAnsi="Verdana"/>
          <w:sz w:val="20"/>
          <w:szCs w:val="20"/>
        </w:rPr>
        <w:t>)</w:t>
      </w:r>
      <w:r w:rsidR="003F5CAD" w:rsidRPr="003D0C2E">
        <w:rPr>
          <w:rFonts w:ascii="Verdana" w:hAnsi="Verdana"/>
          <w:sz w:val="20"/>
          <w:szCs w:val="20"/>
        </w:rPr>
        <w:tab/>
      </w:r>
      <w:r w:rsidR="008A68FF" w:rsidRPr="003D0C2E">
        <w:rPr>
          <w:rFonts w:ascii="Verdana" w:hAnsi="Verdana"/>
          <w:sz w:val="20"/>
          <w:szCs w:val="20"/>
        </w:rPr>
        <w:t xml:space="preserve">persons </w:t>
      </w:r>
      <w:r w:rsidR="001810BC">
        <w:rPr>
          <w:rFonts w:ascii="Verdana" w:hAnsi="Verdana"/>
          <w:sz w:val="20"/>
          <w:szCs w:val="20"/>
        </w:rPr>
        <w:t>whose</w:t>
      </w:r>
      <w:r w:rsidR="008A68FF" w:rsidRPr="003D0C2E">
        <w:rPr>
          <w:rFonts w:ascii="Verdana" w:hAnsi="Verdana"/>
          <w:sz w:val="20"/>
          <w:szCs w:val="20"/>
        </w:rPr>
        <w:t xml:space="preserve"> training </w:t>
      </w:r>
      <w:r w:rsidR="002D4105" w:rsidRPr="003D0C2E">
        <w:rPr>
          <w:rFonts w:ascii="Verdana" w:hAnsi="Verdana"/>
          <w:sz w:val="20"/>
          <w:szCs w:val="20"/>
        </w:rPr>
        <w:t xml:space="preserve">in mental health </w:t>
      </w:r>
      <w:r w:rsidR="008A68FF" w:rsidRPr="003D0C2E">
        <w:rPr>
          <w:rFonts w:ascii="Verdana" w:hAnsi="Verdana"/>
          <w:sz w:val="20"/>
          <w:szCs w:val="20"/>
        </w:rPr>
        <w:t>would bene</w:t>
      </w:r>
      <w:r w:rsidR="003F5CAD" w:rsidRPr="003D0C2E">
        <w:rPr>
          <w:rFonts w:ascii="Verdana" w:hAnsi="Verdana"/>
          <w:sz w:val="20"/>
          <w:szCs w:val="20"/>
        </w:rPr>
        <w:t xml:space="preserve">fit </w:t>
      </w:r>
      <w:r w:rsidR="00E42FCC" w:rsidRPr="003D0C2E">
        <w:rPr>
          <w:rFonts w:ascii="Verdana" w:hAnsi="Verdana"/>
          <w:sz w:val="20"/>
          <w:szCs w:val="20"/>
        </w:rPr>
        <w:t xml:space="preserve">by </w:t>
      </w:r>
      <w:r w:rsidR="003F5CAD" w:rsidRPr="003D0C2E">
        <w:rPr>
          <w:rFonts w:ascii="Verdana" w:hAnsi="Verdana"/>
          <w:sz w:val="20"/>
          <w:szCs w:val="20"/>
        </w:rPr>
        <w:t>observing a hearing.</w:t>
      </w:r>
    </w:p>
    <w:p w14:paraId="05AF1538" w14:textId="77777777" w:rsidR="001C2960" w:rsidRPr="00B7700B" w:rsidRDefault="001C2960" w:rsidP="00C8633D">
      <w:pPr>
        <w:pStyle w:val="ListParagraph"/>
        <w:spacing w:after="0" w:line="240" w:lineRule="auto"/>
        <w:ind w:left="0"/>
        <w:rPr>
          <w:rFonts w:ascii="Verdana" w:hAnsi="Verdana"/>
          <w:sz w:val="20"/>
          <w:szCs w:val="20"/>
        </w:rPr>
      </w:pPr>
    </w:p>
    <w:p w14:paraId="28CDCB54" w14:textId="77777777" w:rsidR="0014162F" w:rsidRPr="00AC7F5E" w:rsidRDefault="0014162F" w:rsidP="0014162F">
      <w:pPr>
        <w:pStyle w:val="ListParagraph"/>
        <w:spacing w:after="0" w:line="240" w:lineRule="auto"/>
        <w:ind w:left="0"/>
        <w:rPr>
          <w:rFonts w:ascii="Verdana" w:hAnsi="Verdana"/>
          <w:b/>
          <w:sz w:val="20"/>
          <w:szCs w:val="20"/>
        </w:rPr>
      </w:pPr>
      <w:r w:rsidRPr="00AC7F5E">
        <w:rPr>
          <w:rFonts w:ascii="Verdana" w:hAnsi="Verdana"/>
          <w:b/>
          <w:sz w:val="20"/>
          <w:szCs w:val="20"/>
        </w:rPr>
        <w:t>Members and Tribunal staff observers</w:t>
      </w:r>
    </w:p>
    <w:p w14:paraId="79FE2204" w14:textId="77777777" w:rsidR="0014162F" w:rsidRPr="00AC7F5E" w:rsidRDefault="0014162F" w:rsidP="0014162F">
      <w:pPr>
        <w:pStyle w:val="ListParagraph"/>
        <w:spacing w:after="0" w:line="240" w:lineRule="auto"/>
        <w:ind w:left="0"/>
        <w:rPr>
          <w:rFonts w:ascii="Verdana" w:hAnsi="Verdana"/>
          <w:b/>
          <w:sz w:val="20"/>
          <w:szCs w:val="20"/>
        </w:rPr>
      </w:pPr>
    </w:p>
    <w:p w14:paraId="256BDEC1" w14:textId="77777777" w:rsidR="0014162F" w:rsidRPr="003D0C2E" w:rsidRDefault="00F2776A" w:rsidP="00AA244B">
      <w:pPr>
        <w:pStyle w:val="ListParagraph"/>
        <w:numPr>
          <w:ilvl w:val="0"/>
          <w:numId w:val="5"/>
        </w:numPr>
        <w:spacing w:after="0" w:line="240" w:lineRule="auto"/>
        <w:ind w:left="709" w:hanging="709"/>
        <w:rPr>
          <w:rFonts w:ascii="Verdana" w:hAnsi="Verdana"/>
          <w:sz w:val="20"/>
          <w:szCs w:val="20"/>
        </w:rPr>
      </w:pPr>
      <w:r w:rsidRPr="003D0C2E">
        <w:rPr>
          <w:rFonts w:ascii="Verdana" w:hAnsi="Verdana"/>
          <w:sz w:val="20"/>
          <w:szCs w:val="20"/>
        </w:rPr>
        <w:t>Where the observer is a Tribunal member</w:t>
      </w:r>
      <w:r w:rsidR="003D0C2E" w:rsidRPr="003D0C2E">
        <w:rPr>
          <w:rFonts w:ascii="Verdana" w:hAnsi="Verdana"/>
          <w:sz w:val="20"/>
          <w:szCs w:val="20"/>
        </w:rPr>
        <w:t xml:space="preserve"> or a member of staff of the Tribunal</w:t>
      </w:r>
      <w:r w:rsidRPr="003D0C2E">
        <w:rPr>
          <w:rFonts w:ascii="Verdana" w:hAnsi="Verdana"/>
          <w:sz w:val="20"/>
          <w:szCs w:val="20"/>
        </w:rPr>
        <w:t xml:space="preserve">, paragraphs </w:t>
      </w:r>
      <w:r w:rsidR="00D02BD3">
        <w:rPr>
          <w:rFonts w:ascii="Verdana" w:hAnsi="Verdana"/>
          <w:sz w:val="20"/>
          <w:szCs w:val="20"/>
        </w:rPr>
        <w:t>16, 17 and 25</w:t>
      </w:r>
      <w:r w:rsidR="00AC7F5E" w:rsidRPr="003D0C2E">
        <w:rPr>
          <w:rFonts w:ascii="Verdana" w:hAnsi="Verdana"/>
          <w:sz w:val="20"/>
          <w:szCs w:val="20"/>
        </w:rPr>
        <w:t xml:space="preserve"> </w:t>
      </w:r>
      <w:r w:rsidRPr="003D0C2E">
        <w:rPr>
          <w:rFonts w:ascii="Verdana" w:hAnsi="Verdana"/>
          <w:sz w:val="20"/>
          <w:szCs w:val="20"/>
        </w:rPr>
        <w:t>shall not apply.</w:t>
      </w:r>
    </w:p>
    <w:p w14:paraId="364D49C9" w14:textId="77777777" w:rsidR="003D0C2E" w:rsidRPr="003D0C2E" w:rsidRDefault="003D0C2E" w:rsidP="003D0C2E">
      <w:pPr>
        <w:spacing w:after="0" w:line="240" w:lineRule="auto"/>
        <w:rPr>
          <w:rFonts w:ascii="Verdana" w:hAnsi="Verdana"/>
          <w:sz w:val="20"/>
          <w:szCs w:val="20"/>
        </w:rPr>
      </w:pPr>
    </w:p>
    <w:p w14:paraId="4E147C49" w14:textId="77777777" w:rsidR="003D0C2E" w:rsidRPr="003D0C2E" w:rsidRDefault="003D0C2E" w:rsidP="003D0C2E">
      <w:pPr>
        <w:spacing w:after="0" w:line="240" w:lineRule="auto"/>
        <w:ind w:left="1418" w:hanging="709"/>
        <w:rPr>
          <w:rFonts w:ascii="Verdana" w:hAnsi="Verdana"/>
          <w:sz w:val="20"/>
          <w:szCs w:val="20"/>
        </w:rPr>
      </w:pPr>
      <w:r w:rsidRPr="003D0C2E">
        <w:rPr>
          <w:rFonts w:ascii="Verdana" w:hAnsi="Verdana"/>
          <w:sz w:val="20"/>
          <w:szCs w:val="20"/>
        </w:rPr>
        <w:t>13.1</w:t>
      </w:r>
      <w:r w:rsidRPr="003D0C2E">
        <w:rPr>
          <w:rFonts w:ascii="Verdana" w:hAnsi="Verdana"/>
          <w:sz w:val="20"/>
          <w:szCs w:val="20"/>
        </w:rPr>
        <w:tab/>
        <w:t>Despite that p</w:t>
      </w:r>
      <w:r w:rsidR="00E4259C">
        <w:rPr>
          <w:rFonts w:ascii="Verdana" w:hAnsi="Verdana"/>
          <w:sz w:val="20"/>
          <w:szCs w:val="20"/>
        </w:rPr>
        <w:t>aragraph 1</w:t>
      </w:r>
      <w:r w:rsidR="00D02BD3">
        <w:rPr>
          <w:rFonts w:ascii="Verdana" w:hAnsi="Verdana"/>
          <w:sz w:val="20"/>
          <w:szCs w:val="20"/>
        </w:rPr>
        <w:t>7</w:t>
      </w:r>
      <w:r w:rsidRPr="003D0C2E">
        <w:rPr>
          <w:rFonts w:ascii="Verdana" w:hAnsi="Verdana"/>
          <w:sz w:val="20"/>
          <w:szCs w:val="20"/>
        </w:rPr>
        <w:t xml:space="preserve"> does not apply to Tribunal members or members of staff, the </w:t>
      </w:r>
      <w:r w:rsidR="00556CED">
        <w:rPr>
          <w:rFonts w:ascii="Verdana" w:hAnsi="Verdana"/>
          <w:sz w:val="20"/>
          <w:szCs w:val="20"/>
        </w:rPr>
        <w:t>Tribunal</w:t>
      </w:r>
      <w:r w:rsidRPr="003D0C2E">
        <w:rPr>
          <w:rFonts w:ascii="Verdana" w:hAnsi="Verdana"/>
          <w:sz w:val="20"/>
          <w:szCs w:val="20"/>
        </w:rPr>
        <w:t xml:space="preserve"> will </w:t>
      </w:r>
      <w:proofErr w:type="gramStart"/>
      <w:r w:rsidRPr="003D0C2E">
        <w:rPr>
          <w:rFonts w:ascii="Verdana" w:hAnsi="Verdana"/>
          <w:sz w:val="20"/>
          <w:szCs w:val="20"/>
        </w:rPr>
        <w:t>take into account</w:t>
      </w:r>
      <w:proofErr w:type="gramEnd"/>
      <w:r w:rsidRPr="003D0C2E">
        <w:rPr>
          <w:rFonts w:ascii="Verdana" w:hAnsi="Verdana"/>
          <w:sz w:val="20"/>
          <w:szCs w:val="20"/>
        </w:rPr>
        <w:t xml:space="preserve"> </w:t>
      </w:r>
      <w:r>
        <w:rPr>
          <w:rFonts w:ascii="Verdana" w:hAnsi="Verdana"/>
          <w:sz w:val="20"/>
          <w:szCs w:val="20"/>
        </w:rPr>
        <w:t xml:space="preserve">as a key consideration </w:t>
      </w:r>
      <w:r w:rsidRPr="003D0C2E">
        <w:rPr>
          <w:rFonts w:ascii="Verdana" w:hAnsi="Verdana"/>
          <w:sz w:val="20"/>
          <w:szCs w:val="20"/>
        </w:rPr>
        <w:t xml:space="preserve">the patient’s </w:t>
      </w:r>
      <w:r w:rsidR="00C92D9E">
        <w:rPr>
          <w:rFonts w:ascii="Verdana" w:hAnsi="Verdana"/>
          <w:sz w:val="20"/>
          <w:szCs w:val="20"/>
        </w:rPr>
        <w:t xml:space="preserve">views and preferences </w:t>
      </w:r>
      <w:r w:rsidRPr="003D0C2E">
        <w:rPr>
          <w:rFonts w:ascii="Verdana" w:hAnsi="Verdana"/>
          <w:sz w:val="20"/>
          <w:szCs w:val="20"/>
        </w:rPr>
        <w:t>as to whether a Tribunal member or member of staff should be permitted to observe the hearing.</w:t>
      </w:r>
    </w:p>
    <w:p w14:paraId="02F0D550" w14:textId="77777777" w:rsidR="0014162F" w:rsidRPr="00B7700B" w:rsidRDefault="0014162F" w:rsidP="0014162F">
      <w:pPr>
        <w:pStyle w:val="ListParagraph"/>
        <w:spacing w:after="0" w:line="240" w:lineRule="auto"/>
        <w:ind w:left="0"/>
        <w:rPr>
          <w:rFonts w:ascii="Verdana" w:hAnsi="Verdana"/>
          <w:sz w:val="20"/>
          <w:szCs w:val="20"/>
        </w:rPr>
      </w:pPr>
    </w:p>
    <w:p w14:paraId="6C341AE7" w14:textId="77777777" w:rsidR="000D613E" w:rsidRPr="00B7700B" w:rsidRDefault="00E435E3" w:rsidP="00C8633D">
      <w:pPr>
        <w:spacing w:after="0" w:line="240" w:lineRule="auto"/>
        <w:rPr>
          <w:rFonts w:ascii="Verdana" w:hAnsi="Verdana"/>
          <w:b/>
          <w:sz w:val="20"/>
          <w:szCs w:val="20"/>
        </w:rPr>
      </w:pPr>
      <w:r>
        <w:rPr>
          <w:rFonts w:ascii="Verdana" w:hAnsi="Verdana"/>
          <w:b/>
          <w:sz w:val="20"/>
          <w:szCs w:val="20"/>
        </w:rPr>
        <w:br w:type="page"/>
      </w:r>
      <w:r w:rsidR="008212E6" w:rsidRPr="00B7700B">
        <w:rPr>
          <w:rFonts w:ascii="Verdana" w:hAnsi="Verdana"/>
          <w:b/>
          <w:sz w:val="20"/>
          <w:szCs w:val="20"/>
        </w:rPr>
        <w:lastRenderedPageBreak/>
        <w:t xml:space="preserve">Notice to </w:t>
      </w:r>
      <w:r w:rsidR="008212E6" w:rsidRPr="00815777">
        <w:rPr>
          <w:rFonts w:ascii="Verdana" w:hAnsi="Verdana"/>
          <w:b/>
          <w:sz w:val="20"/>
          <w:szCs w:val="20"/>
        </w:rPr>
        <w:t xml:space="preserve">the </w:t>
      </w:r>
      <w:r w:rsidR="00437A86" w:rsidRPr="00815777">
        <w:rPr>
          <w:rFonts w:ascii="Verdana" w:hAnsi="Verdana"/>
          <w:b/>
          <w:sz w:val="20"/>
          <w:szCs w:val="20"/>
        </w:rPr>
        <w:t>patient</w:t>
      </w:r>
    </w:p>
    <w:p w14:paraId="25F8FCA5" w14:textId="77777777" w:rsidR="008212E6" w:rsidRPr="00B7700B" w:rsidRDefault="008212E6" w:rsidP="00C8633D">
      <w:pPr>
        <w:spacing w:after="0" w:line="240" w:lineRule="auto"/>
        <w:rPr>
          <w:rFonts w:ascii="Verdana" w:hAnsi="Verdana"/>
          <w:b/>
          <w:sz w:val="20"/>
          <w:szCs w:val="20"/>
        </w:rPr>
      </w:pPr>
    </w:p>
    <w:p w14:paraId="5C00FF8F" w14:textId="77777777" w:rsidR="005B5E75" w:rsidRDefault="005B5E75" w:rsidP="00F576D9">
      <w:pPr>
        <w:pStyle w:val="ListParagraph"/>
        <w:numPr>
          <w:ilvl w:val="0"/>
          <w:numId w:val="5"/>
        </w:numPr>
        <w:spacing w:after="0" w:line="240" w:lineRule="auto"/>
        <w:ind w:left="709" w:hanging="709"/>
        <w:rPr>
          <w:rFonts w:ascii="Verdana" w:hAnsi="Verdana"/>
          <w:sz w:val="20"/>
          <w:szCs w:val="20"/>
        </w:rPr>
      </w:pPr>
      <w:r w:rsidRPr="00B7700B">
        <w:rPr>
          <w:rFonts w:ascii="Verdana" w:hAnsi="Verdana"/>
          <w:sz w:val="20"/>
          <w:szCs w:val="20"/>
        </w:rPr>
        <w:t xml:space="preserve">Where the person observing the hearing is engaged by the designated mental health service or the body representing </w:t>
      </w:r>
      <w:r w:rsidR="00260408">
        <w:rPr>
          <w:rFonts w:ascii="Verdana" w:hAnsi="Verdana"/>
          <w:sz w:val="20"/>
          <w:szCs w:val="20"/>
        </w:rPr>
        <w:t xml:space="preserve">or advocating for </w:t>
      </w:r>
      <w:r w:rsidRPr="00B7700B">
        <w:rPr>
          <w:rFonts w:ascii="Verdana" w:hAnsi="Verdana"/>
          <w:sz w:val="20"/>
          <w:szCs w:val="20"/>
        </w:rPr>
        <w:t>the</w:t>
      </w:r>
      <w:r w:rsidR="00815777">
        <w:rPr>
          <w:rFonts w:ascii="Verdana" w:hAnsi="Verdana"/>
          <w:sz w:val="20"/>
          <w:szCs w:val="20"/>
        </w:rPr>
        <w:t xml:space="preserve"> patient</w:t>
      </w:r>
      <w:r w:rsidRPr="00B7700B">
        <w:rPr>
          <w:rFonts w:ascii="Verdana" w:hAnsi="Verdana"/>
          <w:sz w:val="20"/>
          <w:szCs w:val="20"/>
        </w:rPr>
        <w:t xml:space="preserve">, the </w:t>
      </w:r>
      <w:r w:rsidR="00260408">
        <w:rPr>
          <w:rFonts w:ascii="Verdana" w:hAnsi="Verdana"/>
          <w:sz w:val="20"/>
          <w:szCs w:val="20"/>
        </w:rPr>
        <w:t>designated mental health service o</w:t>
      </w:r>
      <w:r w:rsidR="00BF501E">
        <w:rPr>
          <w:rFonts w:ascii="Verdana" w:hAnsi="Verdana"/>
          <w:sz w:val="20"/>
          <w:szCs w:val="20"/>
        </w:rPr>
        <w:t>r</w:t>
      </w:r>
      <w:r w:rsidR="00260408">
        <w:rPr>
          <w:rFonts w:ascii="Verdana" w:hAnsi="Verdana"/>
          <w:sz w:val="20"/>
          <w:szCs w:val="20"/>
        </w:rPr>
        <w:t xml:space="preserve"> the body should seek and obtain the </w:t>
      </w:r>
      <w:r w:rsidRPr="00815777">
        <w:rPr>
          <w:rFonts w:ascii="Verdana" w:hAnsi="Verdana"/>
          <w:sz w:val="20"/>
          <w:szCs w:val="20"/>
        </w:rPr>
        <w:t xml:space="preserve">patient’s </w:t>
      </w:r>
      <w:r w:rsidR="00FB1E2B">
        <w:rPr>
          <w:rFonts w:ascii="Verdana" w:hAnsi="Verdana"/>
          <w:sz w:val="20"/>
          <w:szCs w:val="20"/>
        </w:rPr>
        <w:t xml:space="preserve">verbal </w:t>
      </w:r>
      <w:r w:rsidRPr="00815777">
        <w:rPr>
          <w:rFonts w:ascii="Verdana" w:hAnsi="Verdana"/>
          <w:sz w:val="20"/>
          <w:szCs w:val="20"/>
        </w:rPr>
        <w:t xml:space="preserve">consent </w:t>
      </w:r>
      <w:r w:rsidR="00717673">
        <w:rPr>
          <w:rFonts w:ascii="Verdana" w:hAnsi="Verdana"/>
          <w:sz w:val="20"/>
          <w:szCs w:val="20"/>
        </w:rPr>
        <w:t xml:space="preserve">to the observer </w:t>
      </w:r>
      <w:r w:rsidRPr="00815777">
        <w:rPr>
          <w:rFonts w:ascii="Verdana" w:hAnsi="Verdana"/>
          <w:sz w:val="20"/>
          <w:szCs w:val="20"/>
        </w:rPr>
        <w:t>before the hearing</w:t>
      </w:r>
      <w:r w:rsidRPr="00B7700B">
        <w:rPr>
          <w:rFonts w:ascii="Verdana" w:hAnsi="Verdana"/>
          <w:sz w:val="20"/>
          <w:szCs w:val="20"/>
        </w:rPr>
        <w:t>.</w:t>
      </w:r>
    </w:p>
    <w:p w14:paraId="2D5904F1" w14:textId="77777777" w:rsidR="00260408" w:rsidRPr="00B7700B" w:rsidRDefault="00260408" w:rsidP="00260408">
      <w:pPr>
        <w:pStyle w:val="ListParagraph"/>
        <w:spacing w:after="0" w:line="240" w:lineRule="auto"/>
        <w:ind w:left="709"/>
        <w:rPr>
          <w:rFonts w:ascii="Verdana" w:hAnsi="Verdana"/>
          <w:sz w:val="20"/>
          <w:szCs w:val="20"/>
        </w:rPr>
      </w:pPr>
    </w:p>
    <w:p w14:paraId="4B1F4BEB" w14:textId="77777777" w:rsidR="005B5E75" w:rsidRPr="00815777" w:rsidRDefault="003D0C2E" w:rsidP="00057AC3">
      <w:pPr>
        <w:pStyle w:val="ListParagraph"/>
        <w:spacing w:after="0" w:line="240" w:lineRule="auto"/>
        <w:ind w:left="1418" w:hanging="709"/>
        <w:rPr>
          <w:rFonts w:ascii="Verdana" w:hAnsi="Verdana"/>
          <w:sz w:val="20"/>
          <w:szCs w:val="20"/>
        </w:rPr>
      </w:pPr>
      <w:r>
        <w:rPr>
          <w:rFonts w:ascii="Verdana" w:hAnsi="Verdana"/>
          <w:sz w:val="20"/>
          <w:szCs w:val="20"/>
        </w:rPr>
        <w:t>14</w:t>
      </w:r>
      <w:r w:rsidR="005B5E75" w:rsidRPr="00B7700B">
        <w:rPr>
          <w:rFonts w:ascii="Verdana" w:hAnsi="Verdana"/>
          <w:sz w:val="20"/>
          <w:szCs w:val="20"/>
        </w:rPr>
        <w:t>.1</w:t>
      </w:r>
      <w:r w:rsidR="005B5E75" w:rsidRPr="00B7700B">
        <w:rPr>
          <w:rFonts w:ascii="Verdana" w:hAnsi="Verdana"/>
          <w:sz w:val="20"/>
          <w:szCs w:val="20"/>
        </w:rPr>
        <w:tab/>
        <w:t xml:space="preserve">In seeking </w:t>
      </w:r>
      <w:r w:rsidR="005B5E75" w:rsidRPr="00815777">
        <w:rPr>
          <w:rFonts w:ascii="Verdana" w:hAnsi="Verdana"/>
          <w:sz w:val="20"/>
          <w:szCs w:val="20"/>
        </w:rPr>
        <w:t>the patient’s consent, the relevant designated mental health service o</w:t>
      </w:r>
      <w:r w:rsidR="00792E9B" w:rsidRPr="00815777">
        <w:rPr>
          <w:rFonts w:ascii="Verdana" w:hAnsi="Verdana"/>
          <w:sz w:val="20"/>
          <w:szCs w:val="20"/>
        </w:rPr>
        <w:t xml:space="preserve">r </w:t>
      </w:r>
      <w:r w:rsidR="00792E9B" w:rsidRPr="00B7700B">
        <w:rPr>
          <w:rFonts w:ascii="Verdana" w:hAnsi="Verdana"/>
          <w:sz w:val="20"/>
          <w:szCs w:val="20"/>
        </w:rPr>
        <w:t>body must</w:t>
      </w:r>
      <w:r w:rsidR="005B5E75" w:rsidRPr="00B7700B">
        <w:rPr>
          <w:rFonts w:ascii="Verdana" w:hAnsi="Verdana"/>
          <w:sz w:val="20"/>
          <w:szCs w:val="20"/>
        </w:rPr>
        <w:t xml:space="preserve"> discuss the following matters with </w:t>
      </w:r>
      <w:r w:rsidR="005B5E75" w:rsidRPr="00815777">
        <w:rPr>
          <w:rFonts w:ascii="Verdana" w:hAnsi="Verdana"/>
          <w:sz w:val="20"/>
          <w:szCs w:val="20"/>
        </w:rPr>
        <w:t>the patient:</w:t>
      </w:r>
    </w:p>
    <w:p w14:paraId="0AB06352" w14:textId="77777777" w:rsidR="005B5E75" w:rsidRPr="00815777" w:rsidRDefault="005B5E75" w:rsidP="00057AC3">
      <w:pPr>
        <w:spacing w:after="0" w:line="240" w:lineRule="auto"/>
        <w:ind w:left="1418" w:hanging="709"/>
        <w:rPr>
          <w:rFonts w:ascii="Verdana" w:hAnsi="Verdana"/>
          <w:b/>
          <w:sz w:val="20"/>
          <w:szCs w:val="20"/>
        </w:rPr>
      </w:pPr>
    </w:p>
    <w:p w14:paraId="2BDEF850" w14:textId="77777777" w:rsidR="00717673" w:rsidRDefault="005B5E75" w:rsidP="00717673">
      <w:pPr>
        <w:pStyle w:val="ListParagraph"/>
        <w:numPr>
          <w:ilvl w:val="0"/>
          <w:numId w:val="4"/>
        </w:numPr>
        <w:spacing w:after="0" w:line="240" w:lineRule="auto"/>
        <w:ind w:left="2127" w:hanging="687"/>
        <w:rPr>
          <w:rFonts w:ascii="Verdana" w:hAnsi="Verdana"/>
          <w:sz w:val="20"/>
          <w:szCs w:val="20"/>
        </w:rPr>
      </w:pPr>
      <w:r w:rsidRPr="00815777">
        <w:rPr>
          <w:rFonts w:ascii="Verdana" w:hAnsi="Verdana"/>
          <w:sz w:val="20"/>
          <w:szCs w:val="20"/>
        </w:rPr>
        <w:t xml:space="preserve">the name of the observer and why they wish to observe; </w:t>
      </w:r>
    </w:p>
    <w:p w14:paraId="23E8DF65" w14:textId="77777777" w:rsidR="005B5E75" w:rsidRPr="00717673" w:rsidRDefault="00BF501E" w:rsidP="00717673">
      <w:pPr>
        <w:pStyle w:val="ListParagraph"/>
        <w:numPr>
          <w:ilvl w:val="0"/>
          <w:numId w:val="4"/>
        </w:numPr>
        <w:spacing w:after="0" w:line="240" w:lineRule="auto"/>
        <w:ind w:left="2127" w:hanging="687"/>
        <w:rPr>
          <w:rFonts w:ascii="Verdana" w:hAnsi="Verdana"/>
          <w:sz w:val="20"/>
          <w:szCs w:val="20"/>
        </w:rPr>
      </w:pPr>
      <w:r w:rsidRPr="00717673">
        <w:rPr>
          <w:rFonts w:ascii="Verdana" w:hAnsi="Verdana"/>
          <w:sz w:val="20"/>
          <w:szCs w:val="20"/>
        </w:rPr>
        <w:t xml:space="preserve">that </w:t>
      </w:r>
      <w:r w:rsidR="00F2076C" w:rsidRPr="00717673">
        <w:rPr>
          <w:rFonts w:ascii="Verdana" w:hAnsi="Verdana"/>
          <w:sz w:val="20"/>
          <w:szCs w:val="20"/>
        </w:rPr>
        <w:t>the observer has been made aware of the confidentiality provisions under the Act</w:t>
      </w:r>
      <w:r w:rsidR="005B5E75" w:rsidRPr="00717673">
        <w:rPr>
          <w:rFonts w:ascii="Verdana" w:hAnsi="Verdana"/>
          <w:sz w:val="20"/>
          <w:szCs w:val="20"/>
        </w:rPr>
        <w:t xml:space="preserve">; </w:t>
      </w:r>
    </w:p>
    <w:p w14:paraId="37CEE05C" w14:textId="77777777" w:rsidR="005B5E75" w:rsidRPr="00815777" w:rsidRDefault="00792E9B" w:rsidP="00717673">
      <w:pPr>
        <w:pStyle w:val="ListParagraph"/>
        <w:numPr>
          <w:ilvl w:val="0"/>
          <w:numId w:val="4"/>
        </w:numPr>
        <w:spacing w:after="0" w:line="240" w:lineRule="auto"/>
        <w:ind w:left="2127" w:hanging="687"/>
        <w:rPr>
          <w:rFonts w:ascii="Verdana" w:hAnsi="Verdana"/>
          <w:sz w:val="20"/>
          <w:szCs w:val="20"/>
        </w:rPr>
      </w:pPr>
      <w:r w:rsidRPr="00815777">
        <w:rPr>
          <w:rFonts w:ascii="Verdana" w:hAnsi="Verdana"/>
          <w:sz w:val="20"/>
          <w:szCs w:val="20"/>
        </w:rPr>
        <w:t>that the patient</w:t>
      </w:r>
      <w:r w:rsidR="005B5E75" w:rsidRPr="00815777">
        <w:rPr>
          <w:rFonts w:ascii="Verdana" w:hAnsi="Verdana"/>
          <w:sz w:val="20"/>
          <w:szCs w:val="20"/>
        </w:rPr>
        <w:t xml:space="preserve"> may refuse to give their consent;</w:t>
      </w:r>
    </w:p>
    <w:p w14:paraId="16820BE1" w14:textId="77777777" w:rsidR="005B5E75" w:rsidRPr="00B7700B" w:rsidRDefault="005B5E75" w:rsidP="00717673">
      <w:pPr>
        <w:pStyle w:val="ListParagraph"/>
        <w:numPr>
          <w:ilvl w:val="0"/>
          <w:numId w:val="4"/>
        </w:numPr>
        <w:spacing w:after="0" w:line="240" w:lineRule="auto"/>
        <w:ind w:left="2127" w:hanging="687"/>
        <w:rPr>
          <w:rFonts w:ascii="Verdana" w:hAnsi="Verdana"/>
          <w:sz w:val="20"/>
          <w:szCs w:val="20"/>
        </w:rPr>
      </w:pPr>
      <w:r w:rsidRPr="00815777">
        <w:rPr>
          <w:rFonts w:ascii="Verdana" w:hAnsi="Verdana"/>
          <w:sz w:val="20"/>
          <w:szCs w:val="20"/>
        </w:rPr>
        <w:t>that there is no need</w:t>
      </w:r>
      <w:r w:rsidRPr="00B7700B">
        <w:rPr>
          <w:rFonts w:ascii="Verdana" w:hAnsi="Verdana"/>
          <w:sz w:val="20"/>
          <w:szCs w:val="20"/>
        </w:rPr>
        <w:t xml:space="preserve"> to give any reason for such refusal; and</w:t>
      </w:r>
    </w:p>
    <w:p w14:paraId="160E8424" w14:textId="77777777" w:rsidR="005B5E75" w:rsidRPr="00B7700B" w:rsidRDefault="005B5E75" w:rsidP="00717673">
      <w:pPr>
        <w:pStyle w:val="ListParagraph"/>
        <w:numPr>
          <w:ilvl w:val="0"/>
          <w:numId w:val="4"/>
        </w:numPr>
        <w:spacing w:after="0" w:line="240" w:lineRule="auto"/>
        <w:ind w:left="2127" w:hanging="687"/>
        <w:rPr>
          <w:rFonts w:ascii="Verdana" w:hAnsi="Verdana"/>
          <w:sz w:val="20"/>
          <w:szCs w:val="20"/>
        </w:rPr>
      </w:pPr>
      <w:r w:rsidRPr="00B7700B">
        <w:rPr>
          <w:rFonts w:ascii="Verdana" w:hAnsi="Verdana"/>
          <w:sz w:val="20"/>
          <w:szCs w:val="20"/>
        </w:rPr>
        <w:t>that refusal will in no way impact on the outcome of their hearing</w:t>
      </w:r>
      <w:r w:rsidR="00260408">
        <w:rPr>
          <w:rFonts w:ascii="Verdana" w:hAnsi="Verdana"/>
          <w:sz w:val="20"/>
          <w:szCs w:val="20"/>
        </w:rPr>
        <w:t>.</w:t>
      </w:r>
    </w:p>
    <w:p w14:paraId="45F024E8" w14:textId="77777777" w:rsidR="005B5E75" w:rsidRPr="00B7700B" w:rsidRDefault="005B5E75" w:rsidP="005B5E75">
      <w:pPr>
        <w:spacing w:after="0" w:line="240" w:lineRule="auto"/>
        <w:rPr>
          <w:rFonts w:ascii="Verdana" w:hAnsi="Verdana"/>
          <w:sz w:val="20"/>
          <w:szCs w:val="20"/>
          <w:highlight w:val="yellow"/>
        </w:rPr>
      </w:pPr>
    </w:p>
    <w:p w14:paraId="28C4AB3B" w14:textId="77777777" w:rsidR="006451B2" w:rsidRPr="00B7700B" w:rsidRDefault="003D0C2E" w:rsidP="00057AC3">
      <w:pPr>
        <w:spacing w:after="0" w:line="240" w:lineRule="auto"/>
        <w:ind w:left="1418" w:hanging="709"/>
        <w:rPr>
          <w:rFonts w:ascii="Verdana" w:hAnsi="Verdana"/>
          <w:sz w:val="20"/>
          <w:szCs w:val="20"/>
        </w:rPr>
      </w:pPr>
      <w:r>
        <w:rPr>
          <w:rFonts w:ascii="Verdana" w:hAnsi="Verdana"/>
          <w:sz w:val="20"/>
          <w:szCs w:val="20"/>
        </w:rPr>
        <w:t>14</w:t>
      </w:r>
      <w:r w:rsidR="006451B2" w:rsidRPr="00B7700B">
        <w:rPr>
          <w:rFonts w:ascii="Verdana" w:hAnsi="Verdana"/>
          <w:sz w:val="20"/>
          <w:szCs w:val="20"/>
        </w:rPr>
        <w:t>.2</w:t>
      </w:r>
      <w:r w:rsidR="006451B2" w:rsidRPr="00B7700B">
        <w:rPr>
          <w:rFonts w:ascii="Verdana" w:hAnsi="Verdana"/>
          <w:sz w:val="20"/>
          <w:szCs w:val="20"/>
        </w:rPr>
        <w:tab/>
      </w:r>
      <w:r w:rsidR="00A83140">
        <w:rPr>
          <w:rFonts w:ascii="Verdana" w:hAnsi="Verdana"/>
          <w:sz w:val="20"/>
          <w:szCs w:val="20"/>
        </w:rPr>
        <w:t>Where the patient consents to the observer, t</w:t>
      </w:r>
      <w:r w:rsidR="006451B2" w:rsidRPr="00B7700B">
        <w:rPr>
          <w:rFonts w:ascii="Verdana" w:hAnsi="Verdana"/>
          <w:sz w:val="20"/>
          <w:szCs w:val="20"/>
        </w:rPr>
        <w:t>he relevant desig</w:t>
      </w:r>
      <w:r w:rsidR="00260408">
        <w:rPr>
          <w:rFonts w:ascii="Verdana" w:hAnsi="Verdana"/>
          <w:sz w:val="20"/>
          <w:szCs w:val="20"/>
        </w:rPr>
        <w:t xml:space="preserve">nated mental health service or </w:t>
      </w:r>
      <w:r w:rsidR="006451B2" w:rsidRPr="00B7700B">
        <w:rPr>
          <w:rFonts w:ascii="Verdana" w:hAnsi="Verdana"/>
          <w:sz w:val="20"/>
          <w:szCs w:val="20"/>
        </w:rPr>
        <w:t xml:space="preserve">body must inform the Tribunal at the hearing of the discussions it has undertaken </w:t>
      </w:r>
      <w:r w:rsidR="006451B2" w:rsidRPr="00815777">
        <w:rPr>
          <w:rFonts w:ascii="Verdana" w:hAnsi="Verdana"/>
          <w:sz w:val="20"/>
          <w:szCs w:val="20"/>
        </w:rPr>
        <w:t>with the patient</w:t>
      </w:r>
      <w:r w:rsidR="00260408">
        <w:rPr>
          <w:rFonts w:ascii="Verdana" w:hAnsi="Verdana"/>
          <w:sz w:val="20"/>
          <w:szCs w:val="20"/>
        </w:rPr>
        <w:t xml:space="preserve"> in accordance with paragraph 1</w:t>
      </w:r>
      <w:r w:rsidR="00BF501E">
        <w:rPr>
          <w:rFonts w:ascii="Verdana" w:hAnsi="Verdana"/>
          <w:sz w:val="20"/>
          <w:szCs w:val="20"/>
        </w:rPr>
        <w:t>4</w:t>
      </w:r>
      <w:r w:rsidR="00792E9B" w:rsidRPr="00815777">
        <w:rPr>
          <w:rFonts w:ascii="Verdana" w:hAnsi="Verdana"/>
          <w:sz w:val="20"/>
          <w:szCs w:val="20"/>
        </w:rPr>
        <w:t>.1</w:t>
      </w:r>
      <w:r w:rsidR="006451B2" w:rsidRPr="00815777">
        <w:rPr>
          <w:rFonts w:ascii="Verdana" w:hAnsi="Verdana"/>
          <w:sz w:val="20"/>
          <w:szCs w:val="20"/>
        </w:rPr>
        <w:t>.</w:t>
      </w:r>
    </w:p>
    <w:p w14:paraId="1BE9ACD6" w14:textId="77777777" w:rsidR="006451B2" w:rsidRPr="00F2076C" w:rsidRDefault="006451B2" w:rsidP="005B5E75">
      <w:pPr>
        <w:spacing w:after="0" w:line="240" w:lineRule="auto"/>
        <w:rPr>
          <w:rFonts w:ascii="Verdana" w:hAnsi="Verdana"/>
          <w:sz w:val="20"/>
          <w:szCs w:val="20"/>
        </w:rPr>
      </w:pPr>
    </w:p>
    <w:p w14:paraId="6E983C45" w14:textId="77777777" w:rsidR="00F2076C" w:rsidRPr="00F2076C" w:rsidRDefault="00FF6379" w:rsidP="005B5E75">
      <w:pPr>
        <w:spacing w:after="0" w:line="240" w:lineRule="auto"/>
        <w:rPr>
          <w:rFonts w:ascii="Verdana" w:hAnsi="Verdana"/>
          <w:b/>
          <w:sz w:val="20"/>
          <w:szCs w:val="20"/>
        </w:rPr>
      </w:pPr>
      <w:r>
        <w:rPr>
          <w:rFonts w:ascii="Verdana" w:hAnsi="Verdana"/>
          <w:b/>
          <w:sz w:val="20"/>
          <w:szCs w:val="20"/>
        </w:rPr>
        <w:t>Observer undertaking research</w:t>
      </w:r>
    </w:p>
    <w:p w14:paraId="614D1B8D" w14:textId="77777777" w:rsidR="00F2076C" w:rsidRPr="00B7700B" w:rsidRDefault="00F2076C" w:rsidP="005B5E75">
      <w:pPr>
        <w:spacing w:after="0" w:line="240" w:lineRule="auto"/>
        <w:rPr>
          <w:rFonts w:ascii="Verdana" w:hAnsi="Verdana"/>
          <w:sz w:val="20"/>
          <w:szCs w:val="20"/>
          <w:highlight w:val="yellow"/>
        </w:rPr>
      </w:pPr>
    </w:p>
    <w:p w14:paraId="6626CD0F" w14:textId="77777777" w:rsidR="00774357" w:rsidRDefault="005B5E75" w:rsidP="00F576D9">
      <w:pPr>
        <w:pStyle w:val="ListParagraph"/>
        <w:numPr>
          <w:ilvl w:val="0"/>
          <w:numId w:val="5"/>
        </w:numPr>
        <w:spacing w:after="0" w:line="240" w:lineRule="auto"/>
        <w:ind w:left="709" w:hanging="709"/>
        <w:rPr>
          <w:rFonts w:ascii="Verdana" w:hAnsi="Verdana"/>
          <w:sz w:val="20"/>
          <w:szCs w:val="20"/>
        </w:rPr>
      </w:pPr>
      <w:r w:rsidRPr="00B7700B">
        <w:rPr>
          <w:rFonts w:ascii="Verdana" w:hAnsi="Verdana"/>
          <w:sz w:val="20"/>
          <w:szCs w:val="20"/>
        </w:rPr>
        <w:t>If the person wishing to observe the hearing is</w:t>
      </w:r>
      <w:r w:rsidR="00206552" w:rsidRPr="00B7700B">
        <w:rPr>
          <w:rFonts w:ascii="Verdana" w:hAnsi="Verdana"/>
          <w:sz w:val="20"/>
          <w:szCs w:val="20"/>
        </w:rPr>
        <w:t xml:space="preserve"> undertaking research, in</w:t>
      </w:r>
      <w:r w:rsidR="00792E9B" w:rsidRPr="00B7700B">
        <w:rPr>
          <w:rFonts w:ascii="Verdana" w:hAnsi="Verdana"/>
          <w:sz w:val="20"/>
          <w:szCs w:val="20"/>
        </w:rPr>
        <w:t xml:space="preserve"> addition to the requirements in</w:t>
      </w:r>
      <w:r w:rsidR="00206552" w:rsidRPr="00B7700B">
        <w:rPr>
          <w:rFonts w:ascii="Verdana" w:hAnsi="Verdana"/>
          <w:sz w:val="20"/>
          <w:szCs w:val="20"/>
        </w:rPr>
        <w:t xml:space="preserve"> </w:t>
      </w:r>
      <w:r w:rsidR="00206552" w:rsidRPr="00AC7F5E">
        <w:rPr>
          <w:rFonts w:ascii="Verdana" w:hAnsi="Verdana"/>
          <w:sz w:val="20"/>
          <w:szCs w:val="20"/>
        </w:rPr>
        <w:t xml:space="preserve">paragraph </w:t>
      </w:r>
      <w:r w:rsidR="00EC2908">
        <w:rPr>
          <w:rFonts w:ascii="Verdana" w:hAnsi="Verdana"/>
          <w:sz w:val="20"/>
          <w:szCs w:val="20"/>
        </w:rPr>
        <w:t>14</w:t>
      </w:r>
      <w:r w:rsidR="00206552" w:rsidRPr="00AC7F5E">
        <w:rPr>
          <w:rFonts w:ascii="Verdana" w:hAnsi="Verdana"/>
          <w:sz w:val="20"/>
          <w:szCs w:val="20"/>
        </w:rPr>
        <w:t>,</w:t>
      </w:r>
      <w:r w:rsidR="00206552" w:rsidRPr="00B7700B">
        <w:rPr>
          <w:rFonts w:ascii="Verdana" w:hAnsi="Verdana"/>
          <w:sz w:val="20"/>
          <w:szCs w:val="20"/>
        </w:rPr>
        <w:t xml:space="preserve"> the person must write to the</w:t>
      </w:r>
      <w:r w:rsidR="00774357">
        <w:rPr>
          <w:rFonts w:ascii="Verdana" w:hAnsi="Verdana"/>
          <w:sz w:val="20"/>
          <w:szCs w:val="20"/>
        </w:rPr>
        <w:t xml:space="preserve"> President of the</w:t>
      </w:r>
      <w:r w:rsidR="00206552" w:rsidRPr="00B7700B">
        <w:rPr>
          <w:rFonts w:ascii="Verdana" w:hAnsi="Verdana"/>
          <w:sz w:val="20"/>
          <w:szCs w:val="20"/>
        </w:rPr>
        <w:t xml:space="preserve"> Tribunal in advance of the</w:t>
      </w:r>
      <w:r w:rsidR="00792E9B" w:rsidRPr="00B7700B">
        <w:rPr>
          <w:rFonts w:ascii="Verdana" w:hAnsi="Verdana"/>
          <w:sz w:val="20"/>
          <w:szCs w:val="20"/>
        </w:rPr>
        <w:t xml:space="preserve"> hearing to request to observe the</w:t>
      </w:r>
      <w:r w:rsidR="00206552" w:rsidRPr="00B7700B">
        <w:rPr>
          <w:rFonts w:ascii="Verdana" w:hAnsi="Verdana"/>
          <w:sz w:val="20"/>
          <w:szCs w:val="20"/>
        </w:rPr>
        <w:t xml:space="preserve"> hearing. </w:t>
      </w:r>
    </w:p>
    <w:p w14:paraId="7995944F" w14:textId="77777777" w:rsidR="00774357" w:rsidRDefault="00774357" w:rsidP="00774357">
      <w:pPr>
        <w:pStyle w:val="ListParagraph"/>
        <w:spacing w:after="0" w:line="240" w:lineRule="auto"/>
        <w:ind w:left="709"/>
        <w:rPr>
          <w:rFonts w:ascii="Verdana" w:hAnsi="Verdana"/>
          <w:sz w:val="20"/>
          <w:szCs w:val="20"/>
        </w:rPr>
      </w:pPr>
    </w:p>
    <w:p w14:paraId="7A678F0F" w14:textId="77777777" w:rsidR="0091656C" w:rsidRDefault="00206552" w:rsidP="00774357">
      <w:pPr>
        <w:pStyle w:val="ListParagraph"/>
        <w:numPr>
          <w:ilvl w:val="1"/>
          <w:numId w:val="5"/>
        </w:numPr>
        <w:spacing w:after="0" w:line="240" w:lineRule="auto"/>
        <w:rPr>
          <w:rFonts w:ascii="Verdana" w:hAnsi="Verdana"/>
          <w:sz w:val="20"/>
          <w:szCs w:val="20"/>
        </w:rPr>
      </w:pPr>
      <w:r w:rsidRPr="00774357">
        <w:rPr>
          <w:rFonts w:ascii="Verdana" w:hAnsi="Verdana"/>
          <w:sz w:val="20"/>
          <w:szCs w:val="20"/>
        </w:rPr>
        <w:t xml:space="preserve">The person must inform the </w:t>
      </w:r>
      <w:r w:rsidR="004B0AE8">
        <w:rPr>
          <w:rFonts w:ascii="Verdana" w:hAnsi="Verdana"/>
          <w:sz w:val="20"/>
          <w:szCs w:val="20"/>
        </w:rPr>
        <w:t xml:space="preserve">President </w:t>
      </w:r>
      <w:r w:rsidRPr="00774357">
        <w:rPr>
          <w:rFonts w:ascii="Verdana" w:hAnsi="Verdana"/>
          <w:sz w:val="20"/>
          <w:szCs w:val="20"/>
        </w:rPr>
        <w:t>of the</w:t>
      </w:r>
      <w:r w:rsidR="00792E9B" w:rsidRPr="00774357">
        <w:rPr>
          <w:rFonts w:ascii="Verdana" w:hAnsi="Verdana"/>
          <w:sz w:val="20"/>
          <w:szCs w:val="20"/>
        </w:rPr>
        <w:t>ir</w:t>
      </w:r>
      <w:r w:rsidRPr="00774357">
        <w:rPr>
          <w:rFonts w:ascii="Verdana" w:hAnsi="Verdana"/>
          <w:sz w:val="20"/>
          <w:szCs w:val="20"/>
        </w:rPr>
        <w:t xml:space="preserve"> area of research, t</w:t>
      </w:r>
      <w:r w:rsidR="006451B2" w:rsidRPr="00774357">
        <w:rPr>
          <w:rFonts w:ascii="Verdana" w:hAnsi="Verdana"/>
          <w:sz w:val="20"/>
          <w:szCs w:val="20"/>
        </w:rPr>
        <w:t>he reason they wish to observe</w:t>
      </w:r>
      <w:r w:rsidR="00792E9B" w:rsidRPr="00774357">
        <w:rPr>
          <w:rFonts w:ascii="Verdana" w:hAnsi="Verdana"/>
          <w:sz w:val="20"/>
          <w:szCs w:val="20"/>
        </w:rPr>
        <w:t xml:space="preserve"> the</w:t>
      </w:r>
      <w:r w:rsidRPr="00774357">
        <w:rPr>
          <w:rFonts w:ascii="Verdana" w:hAnsi="Verdana"/>
          <w:sz w:val="20"/>
          <w:szCs w:val="20"/>
        </w:rPr>
        <w:t xml:space="preserve"> hearing and </w:t>
      </w:r>
      <w:r w:rsidR="006451B2" w:rsidRPr="00774357">
        <w:rPr>
          <w:rFonts w:ascii="Verdana" w:hAnsi="Verdana"/>
          <w:sz w:val="20"/>
          <w:szCs w:val="20"/>
        </w:rPr>
        <w:t xml:space="preserve">provide </w:t>
      </w:r>
      <w:r w:rsidRPr="00774357">
        <w:rPr>
          <w:rFonts w:ascii="Verdana" w:hAnsi="Verdana"/>
          <w:sz w:val="20"/>
          <w:szCs w:val="20"/>
        </w:rPr>
        <w:t xml:space="preserve">information regarding ethics approval of the research. </w:t>
      </w:r>
    </w:p>
    <w:p w14:paraId="71E83618" w14:textId="77777777" w:rsidR="004B0AE8" w:rsidRDefault="004B0AE8" w:rsidP="004B0AE8">
      <w:pPr>
        <w:pStyle w:val="ListParagraph"/>
        <w:spacing w:after="0" w:line="240" w:lineRule="auto"/>
        <w:ind w:left="1444"/>
        <w:rPr>
          <w:rFonts w:ascii="Verdana" w:hAnsi="Verdana"/>
          <w:sz w:val="20"/>
          <w:szCs w:val="20"/>
        </w:rPr>
      </w:pPr>
    </w:p>
    <w:p w14:paraId="74703C76" w14:textId="77777777" w:rsidR="004B0AE8" w:rsidRDefault="004B0AE8" w:rsidP="00774357">
      <w:pPr>
        <w:pStyle w:val="ListParagraph"/>
        <w:numPr>
          <w:ilvl w:val="1"/>
          <w:numId w:val="5"/>
        </w:numPr>
        <w:spacing w:after="0" w:line="240" w:lineRule="auto"/>
        <w:rPr>
          <w:rFonts w:ascii="Verdana" w:hAnsi="Verdana"/>
          <w:sz w:val="20"/>
          <w:szCs w:val="20"/>
        </w:rPr>
      </w:pPr>
      <w:r>
        <w:rPr>
          <w:rFonts w:ascii="Verdana" w:hAnsi="Verdana"/>
          <w:sz w:val="20"/>
          <w:szCs w:val="20"/>
        </w:rPr>
        <w:t>The person must demonstrate</w:t>
      </w:r>
      <w:r w:rsidR="00BF501E">
        <w:rPr>
          <w:rFonts w:ascii="Verdana" w:hAnsi="Verdana"/>
          <w:sz w:val="20"/>
          <w:szCs w:val="20"/>
        </w:rPr>
        <w:t xml:space="preserve"> to</w:t>
      </w:r>
      <w:r>
        <w:rPr>
          <w:rFonts w:ascii="Verdana" w:hAnsi="Verdana"/>
          <w:sz w:val="20"/>
          <w:szCs w:val="20"/>
        </w:rPr>
        <w:t xml:space="preserve"> the President that they are aware of the confidentiality provisions under the Act.</w:t>
      </w:r>
    </w:p>
    <w:p w14:paraId="10CC83EA" w14:textId="77777777" w:rsidR="004B0AE8" w:rsidRDefault="004B0AE8" w:rsidP="004B0AE8">
      <w:pPr>
        <w:pStyle w:val="ListParagraph"/>
        <w:spacing w:after="0" w:line="240" w:lineRule="auto"/>
        <w:ind w:left="1444"/>
        <w:rPr>
          <w:rFonts w:ascii="Verdana" w:hAnsi="Verdana"/>
          <w:sz w:val="20"/>
          <w:szCs w:val="20"/>
        </w:rPr>
      </w:pPr>
    </w:p>
    <w:p w14:paraId="10ED6407" w14:textId="77777777" w:rsidR="004B0AE8" w:rsidRDefault="004B0AE8" w:rsidP="00774357">
      <w:pPr>
        <w:pStyle w:val="ListParagraph"/>
        <w:numPr>
          <w:ilvl w:val="1"/>
          <w:numId w:val="5"/>
        </w:numPr>
        <w:spacing w:after="0" w:line="240" w:lineRule="auto"/>
        <w:rPr>
          <w:rFonts w:ascii="Verdana" w:hAnsi="Verdana"/>
          <w:sz w:val="20"/>
          <w:szCs w:val="20"/>
        </w:rPr>
      </w:pPr>
      <w:r>
        <w:rPr>
          <w:rFonts w:ascii="Verdana" w:hAnsi="Verdana"/>
          <w:sz w:val="20"/>
          <w:szCs w:val="20"/>
        </w:rPr>
        <w:t>If the President approves of the research, the President will provide his or her consent in writing, including any directions or restrictions.</w:t>
      </w:r>
    </w:p>
    <w:p w14:paraId="7E2326F9" w14:textId="77777777" w:rsidR="004B0AE8" w:rsidRPr="004B0AE8" w:rsidRDefault="004B0AE8" w:rsidP="004B0AE8">
      <w:pPr>
        <w:spacing w:after="0" w:line="240" w:lineRule="auto"/>
        <w:rPr>
          <w:rFonts w:ascii="Verdana" w:hAnsi="Verdana"/>
          <w:sz w:val="20"/>
          <w:szCs w:val="20"/>
        </w:rPr>
      </w:pPr>
    </w:p>
    <w:p w14:paraId="259B14C5" w14:textId="77777777" w:rsidR="004B0AE8" w:rsidRPr="00D02BD3" w:rsidRDefault="004B0AE8" w:rsidP="00774357">
      <w:pPr>
        <w:pStyle w:val="ListParagraph"/>
        <w:numPr>
          <w:ilvl w:val="1"/>
          <w:numId w:val="5"/>
        </w:numPr>
        <w:spacing w:after="0" w:line="240" w:lineRule="auto"/>
        <w:rPr>
          <w:rFonts w:ascii="Verdana" w:hAnsi="Verdana"/>
          <w:sz w:val="20"/>
          <w:szCs w:val="20"/>
        </w:rPr>
      </w:pPr>
      <w:r>
        <w:rPr>
          <w:rFonts w:ascii="Verdana" w:hAnsi="Verdana"/>
          <w:sz w:val="20"/>
          <w:szCs w:val="20"/>
        </w:rPr>
        <w:t xml:space="preserve">If the President consents to the research, the person </w:t>
      </w:r>
      <w:r w:rsidR="009D6898">
        <w:rPr>
          <w:rFonts w:ascii="Verdana" w:hAnsi="Verdana"/>
          <w:sz w:val="20"/>
          <w:szCs w:val="20"/>
        </w:rPr>
        <w:t>is not required</w:t>
      </w:r>
      <w:r>
        <w:rPr>
          <w:rFonts w:ascii="Verdana" w:hAnsi="Verdana"/>
          <w:sz w:val="20"/>
          <w:szCs w:val="20"/>
        </w:rPr>
        <w:t xml:space="preserve"> to </w:t>
      </w:r>
      <w:r w:rsidRPr="00D02BD3">
        <w:rPr>
          <w:rFonts w:ascii="Verdana" w:hAnsi="Verdana"/>
          <w:sz w:val="20"/>
          <w:szCs w:val="20"/>
        </w:rPr>
        <w:t xml:space="preserve">complete a </w:t>
      </w:r>
      <w:r w:rsidR="00D02BD3" w:rsidRPr="00D02BD3">
        <w:rPr>
          <w:rFonts w:ascii="Verdana" w:hAnsi="Verdana"/>
          <w:sz w:val="20"/>
          <w:szCs w:val="20"/>
        </w:rPr>
        <w:t xml:space="preserve">request </w:t>
      </w:r>
      <w:r w:rsidRPr="00D02BD3">
        <w:rPr>
          <w:rFonts w:ascii="Verdana" w:hAnsi="Verdana"/>
          <w:sz w:val="20"/>
          <w:szCs w:val="20"/>
        </w:rPr>
        <w:t>form</w:t>
      </w:r>
      <w:r w:rsidR="00D02BD3" w:rsidRPr="00D02BD3">
        <w:rPr>
          <w:rFonts w:ascii="Verdana" w:hAnsi="Verdana"/>
          <w:sz w:val="20"/>
          <w:szCs w:val="20"/>
        </w:rPr>
        <w:t xml:space="preserve"> pursuant to paragraph 16</w:t>
      </w:r>
      <w:r w:rsidRPr="00D02BD3">
        <w:rPr>
          <w:rFonts w:ascii="Verdana" w:hAnsi="Verdana"/>
          <w:sz w:val="20"/>
          <w:szCs w:val="20"/>
        </w:rPr>
        <w:t xml:space="preserve">. A copy of the </w:t>
      </w:r>
      <w:r w:rsidR="009D6898">
        <w:rPr>
          <w:rFonts w:ascii="Verdana" w:hAnsi="Verdana"/>
          <w:sz w:val="20"/>
          <w:szCs w:val="20"/>
        </w:rPr>
        <w:t xml:space="preserve">President’s </w:t>
      </w:r>
      <w:r w:rsidRPr="00D02BD3">
        <w:rPr>
          <w:rFonts w:ascii="Verdana" w:hAnsi="Verdana"/>
          <w:sz w:val="20"/>
          <w:szCs w:val="20"/>
        </w:rPr>
        <w:t>letter should be provided to the Tribunal members at the relevant hearing.</w:t>
      </w:r>
    </w:p>
    <w:p w14:paraId="49789C36" w14:textId="77777777" w:rsidR="005D0E69" w:rsidRPr="00D02BD3" w:rsidRDefault="005D0E69" w:rsidP="00C8633D">
      <w:pPr>
        <w:pStyle w:val="ListParagraph"/>
        <w:spacing w:after="0" w:line="240" w:lineRule="auto"/>
        <w:ind w:left="0"/>
        <w:rPr>
          <w:rFonts w:ascii="Verdana" w:hAnsi="Verdana"/>
          <w:sz w:val="20"/>
          <w:szCs w:val="20"/>
        </w:rPr>
      </w:pPr>
    </w:p>
    <w:p w14:paraId="330DAADF" w14:textId="77777777" w:rsidR="00AC5637" w:rsidRDefault="00D02BD3" w:rsidP="00C8633D">
      <w:pPr>
        <w:pStyle w:val="ListParagraph"/>
        <w:spacing w:after="0" w:line="240" w:lineRule="auto"/>
        <w:ind w:left="0"/>
        <w:rPr>
          <w:rFonts w:ascii="Verdana" w:hAnsi="Verdana"/>
          <w:b/>
          <w:sz w:val="20"/>
          <w:szCs w:val="20"/>
        </w:rPr>
      </w:pPr>
      <w:r w:rsidRPr="00D02BD3">
        <w:rPr>
          <w:rFonts w:ascii="Verdana" w:hAnsi="Verdana"/>
          <w:b/>
          <w:sz w:val="20"/>
          <w:szCs w:val="20"/>
        </w:rPr>
        <w:t xml:space="preserve">Completion of </w:t>
      </w:r>
      <w:r w:rsidR="00C25114">
        <w:rPr>
          <w:rFonts w:ascii="Verdana" w:hAnsi="Verdana"/>
          <w:b/>
          <w:sz w:val="20"/>
          <w:szCs w:val="20"/>
        </w:rPr>
        <w:t xml:space="preserve">the </w:t>
      </w:r>
      <w:r w:rsidRPr="00D02BD3">
        <w:rPr>
          <w:rFonts w:ascii="Verdana" w:hAnsi="Verdana"/>
          <w:b/>
          <w:sz w:val="20"/>
          <w:szCs w:val="20"/>
        </w:rPr>
        <w:t xml:space="preserve">request </w:t>
      </w:r>
      <w:r w:rsidR="00AC5637" w:rsidRPr="00D02BD3">
        <w:rPr>
          <w:rFonts w:ascii="Verdana" w:hAnsi="Verdana"/>
          <w:b/>
          <w:sz w:val="20"/>
          <w:szCs w:val="20"/>
        </w:rPr>
        <w:t>form</w:t>
      </w:r>
    </w:p>
    <w:p w14:paraId="2E60EC07" w14:textId="77777777" w:rsidR="00AC5637" w:rsidRDefault="00AC5637" w:rsidP="00C8633D">
      <w:pPr>
        <w:pStyle w:val="ListParagraph"/>
        <w:spacing w:after="0" w:line="240" w:lineRule="auto"/>
        <w:ind w:left="0"/>
        <w:rPr>
          <w:rFonts w:ascii="Verdana" w:hAnsi="Verdana"/>
          <w:b/>
          <w:sz w:val="20"/>
          <w:szCs w:val="20"/>
        </w:rPr>
      </w:pPr>
    </w:p>
    <w:p w14:paraId="574B992A" w14:textId="77777777" w:rsidR="00AC5637" w:rsidRPr="00F13DB1" w:rsidRDefault="00AC5637" w:rsidP="00AC5637">
      <w:pPr>
        <w:pStyle w:val="ListParagraph"/>
        <w:numPr>
          <w:ilvl w:val="0"/>
          <w:numId w:val="5"/>
        </w:numPr>
        <w:spacing w:after="0" w:line="240" w:lineRule="auto"/>
        <w:ind w:left="709" w:hanging="709"/>
        <w:rPr>
          <w:rFonts w:ascii="Verdana" w:hAnsi="Verdana"/>
          <w:sz w:val="20"/>
          <w:szCs w:val="20"/>
        </w:rPr>
      </w:pPr>
      <w:r w:rsidRPr="00F13DB1">
        <w:rPr>
          <w:rFonts w:ascii="Verdana" w:hAnsi="Verdana"/>
          <w:sz w:val="20"/>
          <w:szCs w:val="20"/>
        </w:rPr>
        <w:t>The person wishing to observe a hearing must complete the form at Appendix 1 prior to the hearing and submit it to the Tribunal members at the hearing.</w:t>
      </w:r>
    </w:p>
    <w:p w14:paraId="0A3FCB2F" w14:textId="77777777" w:rsidR="00FA7981" w:rsidRPr="00F13DB1" w:rsidRDefault="00FA7981" w:rsidP="00FA7981">
      <w:pPr>
        <w:pStyle w:val="ListParagraph"/>
        <w:spacing w:after="0" w:line="240" w:lineRule="auto"/>
        <w:ind w:left="709"/>
        <w:rPr>
          <w:rFonts w:ascii="Verdana" w:hAnsi="Verdana"/>
          <w:sz w:val="20"/>
          <w:szCs w:val="20"/>
        </w:rPr>
      </w:pPr>
    </w:p>
    <w:p w14:paraId="4C628544" w14:textId="77777777" w:rsidR="00FA7981" w:rsidRPr="00F13DB1" w:rsidRDefault="00FA7981" w:rsidP="00FA7981">
      <w:pPr>
        <w:pStyle w:val="ListParagraph"/>
        <w:spacing w:after="0" w:line="240" w:lineRule="auto"/>
        <w:ind w:left="1418" w:hanging="709"/>
        <w:rPr>
          <w:rFonts w:ascii="Verdana" w:hAnsi="Verdana"/>
          <w:sz w:val="20"/>
          <w:szCs w:val="20"/>
        </w:rPr>
      </w:pPr>
      <w:r w:rsidRPr="00F13DB1">
        <w:rPr>
          <w:rFonts w:ascii="Verdana" w:hAnsi="Verdana"/>
          <w:sz w:val="20"/>
          <w:szCs w:val="20"/>
        </w:rPr>
        <w:t>16.1</w:t>
      </w:r>
      <w:r w:rsidRPr="00F13DB1">
        <w:rPr>
          <w:rFonts w:ascii="Verdana" w:hAnsi="Verdana"/>
          <w:sz w:val="20"/>
          <w:szCs w:val="20"/>
        </w:rPr>
        <w:tab/>
        <w:t xml:space="preserve">Only one form needs to be completed if the person wishes to observe more than one hearing on the same day and at the same </w:t>
      </w:r>
      <w:r w:rsidR="00F13DB1" w:rsidRPr="00F13DB1">
        <w:rPr>
          <w:rFonts w:ascii="Verdana" w:hAnsi="Verdana"/>
          <w:sz w:val="20"/>
          <w:szCs w:val="20"/>
        </w:rPr>
        <w:t xml:space="preserve">hearing </w:t>
      </w:r>
      <w:r w:rsidRPr="00F13DB1">
        <w:rPr>
          <w:rFonts w:ascii="Verdana" w:hAnsi="Verdana"/>
          <w:sz w:val="20"/>
          <w:szCs w:val="20"/>
        </w:rPr>
        <w:t>venue.</w:t>
      </w:r>
    </w:p>
    <w:p w14:paraId="7A9F6E92" w14:textId="77777777" w:rsidR="00AC5637" w:rsidRPr="00F13DB1" w:rsidRDefault="00AC5637" w:rsidP="00AC5637">
      <w:pPr>
        <w:pStyle w:val="ListParagraph"/>
        <w:spacing w:after="0" w:line="240" w:lineRule="auto"/>
        <w:ind w:left="709"/>
        <w:rPr>
          <w:rFonts w:ascii="Verdana" w:hAnsi="Verdana"/>
          <w:sz w:val="20"/>
          <w:szCs w:val="20"/>
        </w:rPr>
      </w:pPr>
    </w:p>
    <w:p w14:paraId="5161D452" w14:textId="77777777" w:rsidR="00AC5637" w:rsidRDefault="00FA7981" w:rsidP="00D02BD3">
      <w:pPr>
        <w:pStyle w:val="ListParagraph"/>
        <w:spacing w:after="0" w:line="240" w:lineRule="auto"/>
        <w:ind w:left="1418" w:hanging="709"/>
        <w:rPr>
          <w:rFonts w:ascii="Verdana" w:hAnsi="Verdana"/>
          <w:sz w:val="20"/>
          <w:szCs w:val="20"/>
        </w:rPr>
      </w:pPr>
      <w:r w:rsidRPr="00F13DB1">
        <w:rPr>
          <w:rFonts w:ascii="Verdana" w:hAnsi="Verdana"/>
          <w:sz w:val="20"/>
          <w:szCs w:val="20"/>
        </w:rPr>
        <w:t>16.2</w:t>
      </w:r>
      <w:r w:rsidR="00AC5637" w:rsidRPr="00F13DB1">
        <w:rPr>
          <w:rFonts w:ascii="Verdana" w:hAnsi="Verdana"/>
          <w:sz w:val="20"/>
          <w:szCs w:val="20"/>
        </w:rPr>
        <w:tab/>
        <w:t>The Tribunal will retain the form and upload it to the Tribunal’s electronic database.</w:t>
      </w:r>
    </w:p>
    <w:p w14:paraId="311B1C3D" w14:textId="77777777" w:rsidR="00AC5637" w:rsidRPr="00B7700B" w:rsidRDefault="00AC5637" w:rsidP="00C8633D">
      <w:pPr>
        <w:pStyle w:val="ListParagraph"/>
        <w:spacing w:after="0" w:line="240" w:lineRule="auto"/>
        <w:ind w:left="0"/>
        <w:rPr>
          <w:rFonts w:ascii="Verdana" w:hAnsi="Verdana"/>
          <w:sz w:val="20"/>
          <w:szCs w:val="20"/>
        </w:rPr>
      </w:pPr>
    </w:p>
    <w:p w14:paraId="781730D1" w14:textId="77777777" w:rsidR="005D0E69" w:rsidRPr="00B7700B" w:rsidRDefault="00E435E3" w:rsidP="00C8633D">
      <w:pPr>
        <w:pStyle w:val="ListParagraph"/>
        <w:spacing w:after="0" w:line="240" w:lineRule="auto"/>
        <w:ind w:left="0"/>
        <w:rPr>
          <w:rFonts w:ascii="Verdana" w:hAnsi="Verdana"/>
          <w:b/>
          <w:sz w:val="20"/>
          <w:szCs w:val="20"/>
          <w:highlight w:val="red"/>
        </w:rPr>
      </w:pPr>
      <w:r>
        <w:rPr>
          <w:rFonts w:ascii="Verdana" w:hAnsi="Verdana"/>
          <w:b/>
          <w:sz w:val="20"/>
          <w:szCs w:val="20"/>
        </w:rPr>
        <w:br w:type="page"/>
      </w:r>
      <w:r w:rsidR="005D0E69" w:rsidRPr="00815777">
        <w:rPr>
          <w:rFonts w:ascii="Verdana" w:hAnsi="Verdana"/>
          <w:b/>
          <w:sz w:val="20"/>
          <w:szCs w:val="20"/>
        </w:rPr>
        <w:lastRenderedPageBreak/>
        <w:t>Patient’s consent</w:t>
      </w:r>
      <w:r w:rsidR="00027066" w:rsidRPr="00815777">
        <w:rPr>
          <w:rFonts w:ascii="Verdana" w:hAnsi="Verdana"/>
          <w:b/>
          <w:sz w:val="20"/>
          <w:szCs w:val="20"/>
        </w:rPr>
        <w:t xml:space="preserve"> at hearing</w:t>
      </w:r>
      <w:r w:rsidR="005D0E69" w:rsidRPr="00B7700B">
        <w:rPr>
          <w:rFonts w:ascii="Verdana" w:hAnsi="Verdana"/>
          <w:b/>
          <w:sz w:val="20"/>
          <w:szCs w:val="20"/>
        </w:rPr>
        <w:t xml:space="preserve"> </w:t>
      </w:r>
    </w:p>
    <w:p w14:paraId="2CB8A7E8" w14:textId="77777777" w:rsidR="005D0E69" w:rsidRPr="00B7700B" w:rsidRDefault="005D0E69" w:rsidP="00C8633D">
      <w:pPr>
        <w:pStyle w:val="ListParagraph"/>
        <w:spacing w:after="0" w:line="240" w:lineRule="auto"/>
        <w:ind w:left="0"/>
        <w:rPr>
          <w:rFonts w:ascii="Verdana" w:hAnsi="Verdana"/>
          <w:sz w:val="20"/>
          <w:szCs w:val="20"/>
          <w:highlight w:val="red"/>
        </w:rPr>
      </w:pPr>
    </w:p>
    <w:p w14:paraId="430E2B00" w14:textId="77777777" w:rsidR="005D0E69" w:rsidRPr="000839AF" w:rsidRDefault="00B3296C" w:rsidP="00774357">
      <w:pPr>
        <w:pStyle w:val="ListParagraph"/>
        <w:numPr>
          <w:ilvl w:val="0"/>
          <w:numId w:val="5"/>
        </w:numPr>
        <w:spacing w:after="0" w:line="240" w:lineRule="auto"/>
        <w:ind w:left="709" w:hanging="709"/>
        <w:rPr>
          <w:rFonts w:ascii="Verdana" w:hAnsi="Verdana"/>
          <w:sz w:val="20"/>
          <w:szCs w:val="20"/>
        </w:rPr>
      </w:pPr>
      <w:r>
        <w:rPr>
          <w:rFonts w:ascii="Verdana" w:hAnsi="Verdana"/>
          <w:sz w:val="20"/>
          <w:szCs w:val="20"/>
        </w:rPr>
        <w:t xml:space="preserve">Despite the requirements in </w:t>
      </w:r>
      <w:r w:rsidRPr="009D6898">
        <w:rPr>
          <w:rFonts w:ascii="Verdana" w:hAnsi="Verdana"/>
          <w:sz w:val="20"/>
          <w:szCs w:val="20"/>
        </w:rPr>
        <w:t>paragraph 1</w:t>
      </w:r>
      <w:r w:rsidR="00D02BD3" w:rsidRPr="009D6898">
        <w:rPr>
          <w:rFonts w:ascii="Verdana" w:hAnsi="Verdana"/>
          <w:sz w:val="20"/>
          <w:szCs w:val="20"/>
        </w:rPr>
        <w:t>4</w:t>
      </w:r>
      <w:r w:rsidRPr="009D6898">
        <w:rPr>
          <w:rFonts w:ascii="Verdana" w:hAnsi="Verdana"/>
          <w:sz w:val="20"/>
          <w:szCs w:val="20"/>
        </w:rPr>
        <w:t xml:space="preserve"> being</w:t>
      </w:r>
      <w:r>
        <w:rPr>
          <w:rFonts w:ascii="Verdana" w:hAnsi="Verdana"/>
          <w:sz w:val="20"/>
          <w:szCs w:val="20"/>
        </w:rPr>
        <w:t xml:space="preserve"> met, w</w:t>
      </w:r>
      <w:r w:rsidR="00057AC3" w:rsidRPr="000839AF">
        <w:rPr>
          <w:rFonts w:ascii="Verdana" w:hAnsi="Verdana"/>
          <w:sz w:val="20"/>
          <w:szCs w:val="20"/>
        </w:rPr>
        <w:t xml:space="preserve">here the </w:t>
      </w:r>
      <w:r w:rsidR="0003710D" w:rsidRPr="000839AF">
        <w:rPr>
          <w:rFonts w:ascii="Verdana" w:hAnsi="Verdana"/>
          <w:sz w:val="20"/>
          <w:szCs w:val="20"/>
        </w:rPr>
        <w:t>patient</w:t>
      </w:r>
      <w:r w:rsidR="00057AC3" w:rsidRPr="000839AF">
        <w:rPr>
          <w:rFonts w:ascii="Verdana" w:hAnsi="Verdana"/>
          <w:sz w:val="20"/>
          <w:szCs w:val="20"/>
        </w:rPr>
        <w:t xml:space="preserve"> attends the hearing, t</w:t>
      </w:r>
      <w:r w:rsidR="005D0E69" w:rsidRPr="000839AF">
        <w:rPr>
          <w:rFonts w:ascii="Verdana" w:hAnsi="Verdana"/>
          <w:sz w:val="20"/>
          <w:szCs w:val="20"/>
        </w:rPr>
        <w:t xml:space="preserve">he attendance </w:t>
      </w:r>
      <w:r w:rsidR="00AA6B2A" w:rsidRPr="000839AF">
        <w:rPr>
          <w:rFonts w:ascii="Verdana" w:hAnsi="Verdana"/>
          <w:sz w:val="20"/>
          <w:szCs w:val="20"/>
        </w:rPr>
        <w:t xml:space="preserve">of </w:t>
      </w:r>
      <w:r w:rsidR="006451B2" w:rsidRPr="000839AF">
        <w:rPr>
          <w:rFonts w:ascii="Verdana" w:hAnsi="Verdana"/>
          <w:sz w:val="20"/>
          <w:szCs w:val="20"/>
        </w:rPr>
        <w:t>a</w:t>
      </w:r>
      <w:r w:rsidR="00AA6B2A" w:rsidRPr="000839AF">
        <w:rPr>
          <w:rFonts w:ascii="Verdana" w:hAnsi="Verdana"/>
          <w:sz w:val="20"/>
          <w:szCs w:val="20"/>
        </w:rPr>
        <w:t xml:space="preserve"> person</w:t>
      </w:r>
      <w:r w:rsidR="006451B2" w:rsidRPr="000839AF">
        <w:rPr>
          <w:rFonts w:ascii="Verdana" w:hAnsi="Verdana"/>
          <w:sz w:val="20"/>
          <w:szCs w:val="20"/>
        </w:rPr>
        <w:t xml:space="preserve"> observing a hearing</w:t>
      </w:r>
      <w:r w:rsidR="00AA6B2A" w:rsidRPr="000839AF">
        <w:rPr>
          <w:rFonts w:ascii="Verdana" w:hAnsi="Verdana"/>
          <w:sz w:val="20"/>
          <w:szCs w:val="20"/>
        </w:rPr>
        <w:t xml:space="preserve"> </w:t>
      </w:r>
      <w:r w:rsidR="005D0E69" w:rsidRPr="000839AF">
        <w:rPr>
          <w:rFonts w:ascii="Verdana" w:hAnsi="Verdana"/>
          <w:sz w:val="20"/>
          <w:szCs w:val="20"/>
        </w:rPr>
        <w:t>is subject to the patient’s consen</w:t>
      </w:r>
      <w:r w:rsidR="00815777" w:rsidRPr="000839AF">
        <w:rPr>
          <w:rFonts w:ascii="Verdana" w:hAnsi="Verdana"/>
          <w:sz w:val="20"/>
          <w:szCs w:val="20"/>
        </w:rPr>
        <w:t>t</w:t>
      </w:r>
      <w:r>
        <w:rPr>
          <w:rFonts w:ascii="Verdana" w:hAnsi="Verdana"/>
          <w:sz w:val="20"/>
          <w:szCs w:val="20"/>
        </w:rPr>
        <w:t xml:space="preserve"> at the hearing</w:t>
      </w:r>
      <w:r w:rsidR="005D0E69" w:rsidRPr="000839AF">
        <w:rPr>
          <w:rFonts w:ascii="Verdana" w:hAnsi="Verdana"/>
          <w:sz w:val="20"/>
          <w:szCs w:val="20"/>
        </w:rPr>
        <w:t xml:space="preserve">. The </w:t>
      </w:r>
      <w:r w:rsidR="006451B2" w:rsidRPr="000839AF">
        <w:rPr>
          <w:rFonts w:ascii="Verdana" w:hAnsi="Verdana"/>
          <w:sz w:val="20"/>
          <w:szCs w:val="20"/>
        </w:rPr>
        <w:t xml:space="preserve">Tribunal </w:t>
      </w:r>
      <w:r w:rsidR="00AA6B2A" w:rsidRPr="000839AF">
        <w:rPr>
          <w:rFonts w:ascii="Verdana" w:hAnsi="Verdana"/>
          <w:sz w:val="20"/>
          <w:szCs w:val="20"/>
        </w:rPr>
        <w:t>shall</w:t>
      </w:r>
      <w:r w:rsidR="005D0E69" w:rsidRPr="000839AF">
        <w:rPr>
          <w:rFonts w:ascii="Verdana" w:hAnsi="Verdana"/>
          <w:sz w:val="20"/>
          <w:szCs w:val="20"/>
        </w:rPr>
        <w:t xml:space="preserve"> satisfy itself that the patient’s consent is voluntary and informed</w:t>
      </w:r>
      <w:r w:rsidR="006451B2" w:rsidRPr="000839AF">
        <w:rPr>
          <w:rFonts w:ascii="Verdana" w:hAnsi="Verdana"/>
          <w:sz w:val="20"/>
          <w:szCs w:val="20"/>
        </w:rPr>
        <w:t xml:space="preserve"> at the hearing</w:t>
      </w:r>
      <w:r w:rsidR="005D0E69" w:rsidRPr="000839AF">
        <w:rPr>
          <w:rFonts w:ascii="Verdana" w:hAnsi="Verdana"/>
          <w:sz w:val="20"/>
          <w:szCs w:val="20"/>
        </w:rPr>
        <w:t xml:space="preserve">. </w:t>
      </w:r>
    </w:p>
    <w:p w14:paraId="11946FED" w14:textId="77777777" w:rsidR="000839AF" w:rsidRPr="000839AF" w:rsidRDefault="000839AF" w:rsidP="000839AF">
      <w:pPr>
        <w:pStyle w:val="ListParagraph"/>
        <w:spacing w:after="0" w:line="240" w:lineRule="auto"/>
        <w:ind w:left="709"/>
        <w:rPr>
          <w:rFonts w:ascii="Verdana" w:hAnsi="Verdana"/>
          <w:sz w:val="20"/>
          <w:szCs w:val="20"/>
        </w:rPr>
      </w:pPr>
    </w:p>
    <w:p w14:paraId="0696912C" w14:textId="77777777" w:rsidR="005D0E69" w:rsidRPr="00FF6379" w:rsidRDefault="006451B2" w:rsidP="00774357">
      <w:pPr>
        <w:pStyle w:val="ListParagraph"/>
        <w:numPr>
          <w:ilvl w:val="1"/>
          <w:numId w:val="5"/>
        </w:numPr>
        <w:spacing w:after="0" w:line="240" w:lineRule="auto"/>
        <w:rPr>
          <w:rFonts w:ascii="Verdana" w:hAnsi="Verdana"/>
          <w:sz w:val="20"/>
          <w:szCs w:val="20"/>
        </w:rPr>
      </w:pPr>
      <w:r w:rsidRPr="00FF6379">
        <w:rPr>
          <w:rFonts w:ascii="Verdana" w:hAnsi="Verdana"/>
          <w:sz w:val="20"/>
          <w:szCs w:val="20"/>
        </w:rPr>
        <w:t>T</w:t>
      </w:r>
      <w:r w:rsidR="005D0E69" w:rsidRPr="00FF6379">
        <w:rPr>
          <w:rFonts w:ascii="Verdana" w:hAnsi="Verdana"/>
          <w:sz w:val="20"/>
          <w:szCs w:val="20"/>
        </w:rPr>
        <w:t xml:space="preserve">he </w:t>
      </w:r>
      <w:r w:rsidRPr="00FF6379">
        <w:rPr>
          <w:rFonts w:ascii="Verdana" w:hAnsi="Verdana"/>
          <w:sz w:val="20"/>
          <w:szCs w:val="20"/>
        </w:rPr>
        <w:t xml:space="preserve">Tribunal </w:t>
      </w:r>
      <w:r w:rsidR="005D0E69" w:rsidRPr="00FF6379">
        <w:rPr>
          <w:rFonts w:ascii="Verdana" w:hAnsi="Verdana"/>
          <w:sz w:val="20"/>
          <w:szCs w:val="20"/>
        </w:rPr>
        <w:t xml:space="preserve">division </w:t>
      </w:r>
      <w:r w:rsidR="00AA6B2A" w:rsidRPr="00FF6379">
        <w:rPr>
          <w:rFonts w:ascii="Verdana" w:hAnsi="Verdana"/>
          <w:sz w:val="20"/>
          <w:szCs w:val="20"/>
        </w:rPr>
        <w:t>shall</w:t>
      </w:r>
      <w:r w:rsidR="005D0E69" w:rsidRPr="00FF6379">
        <w:rPr>
          <w:rFonts w:ascii="Verdana" w:hAnsi="Verdana"/>
          <w:sz w:val="20"/>
          <w:szCs w:val="20"/>
        </w:rPr>
        <w:t xml:space="preserve"> </w:t>
      </w:r>
      <w:r w:rsidRPr="00FF6379">
        <w:rPr>
          <w:rFonts w:ascii="Verdana" w:hAnsi="Verdana"/>
          <w:sz w:val="20"/>
          <w:szCs w:val="20"/>
        </w:rPr>
        <w:t xml:space="preserve">confirm with </w:t>
      </w:r>
      <w:r w:rsidR="005D0E69" w:rsidRPr="00FF6379">
        <w:rPr>
          <w:rFonts w:ascii="Verdana" w:hAnsi="Verdana"/>
          <w:sz w:val="20"/>
          <w:szCs w:val="20"/>
        </w:rPr>
        <w:t>the patient:</w:t>
      </w:r>
    </w:p>
    <w:p w14:paraId="594BEFB1" w14:textId="77777777" w:rsidR="005D0E69" w:rsidRPr="00FF6379" w:rsidRDefault="005D0E69" w:rsidP="00C8633D">
      <w:pPr>
        <w:pStyle w:val="ListParagraph"/>
        <w:spacing w:after="0" w:line="240" w:lineRule="auto"/>
        <w:ind w:left="1429"/>
        <w:rPr>
          <w:rFonts w:ascii="Verdana" w:hAnsi="Verdana"/>
          <w:sz w:val="20"/>
          <w:szCs w:val="20"/>
        </w:rPr>
      </w:pPr>
    </w:p>
    <w:p w14:paraId="513747AB" w14:textId="77777777" w:rsidR="006451B2" w:rsidRPr="00FF6379" w:rsidRDefault="006451B2" w:rsidP="009D6898">
      <w:pPr>
        <w:pStyle w:val="ListParagraph"/>
        <w:numPr>
          <w:ilvl w:val="0"/>
          <w:numId w:val="12"/>
        </w:numPr>
        <w:spacing w:after="0" w:line="240" w:lineRule="auto"/>
        <w:ind w:left="2127" w:hanging="687"/>
        <w:rPr>
          <w:rFonts w:ascii="Verdana" w:hAnsi="Verdana"/>
          <w:sz w:val="20"/>
          <w:szCs w:val="20"/>
        </w:rPr>
      </w:pPr>
      <w:r w:rsidRPr="00FF6379">
        <w:rPr>
          <w:rFonts w:ascii="Verdana" w:hAnsi="Verdana"/>
          <w:sz w:val="20"/>
          <w:szCs w:val="20"/>
        </w:rPr>
        <w:t xml:space="preserve">the name of the observer and why they wish to observe; </w:t>
      </w:r>
    </w:p>
    <w:p w14:paraId="50C55A50" w14:textId="77777777" w:rsidR="006451B2" w:rsidRPr="00FF6379" w:rsidRDefault="00BF501E" w:rsidP="009D6898">
      <w:pPr>
        <w:pStyle w:val="ListParagraph"/>
        <w:numPr>
          <w:ilvl w:val="0"/>
          <w:numId w:val="12"/>
        </w:numPr>
        <w:spacing w:after="0" w:line="240" w:lineRule="auto"/>
        <w:ind w:left="2127" w:hanging="687"/>
        <w:rPr>
          <w:rFonts w:ascii="Verdana" w:hAnsi="Verdana"/>
          <w:sz w:val="20"/>
          <w:szCs w:val="20"/>
        </w:rPr>
      </w:pPr>
      <w:r>
        <w:rPr>
          <w:rFonts w:ascii="Verdana" w:hAnsi="Verdana"/>
          <w:sz w:val="20"/>
          <w:szCs w:val="20"/>
        </w:rPr>
        <w:t xml:space="preserve">that </w:t>
      </w:r>
      <w:r w:rsidR="00FF6379" w:rsidRPr="00FF6379">
        <w:rPr>
          <w:rFonts w:ascii="Verdana" w:hAnsi="Verdana"/>
          <w:sz w:val="20"/>
          <w:szCs w:val="20"/>
        </w:rPr>
        <w:t>the observer has been made aware of the confidentiality provisions under the Act</w:t>
      </w:r>
      <w:r w:rsidR="00792E9B" w:rsidRPr="00FF6379">
        <w:rPr>
          <w:rFonts w:ascii="Verdana" w:hAnsi="Verdana"/>
          <w:sz w:val="20"/>
          <w:szCs w:val="20"/>
        </w:rPr>
        <w:t>;</w:t>
      </w:r>
      <w:r w:rsidR="006259E7" w:rsidRPr="00FF6379">
        <w:rPr>
          <w:rFonts w:ascii="Verdana" w:hAnsi="Verdana"/>
          <w:sz w:val="20"/>
          <w:szCs w:val="20"/>
        </w:rPr>
        <w:t xml:space="preserve"> </w:t>
      </w:r>
    </w:p>
    <w:p w14:paraId="3E269E2E" w14:textId="77777777" w:rsidR="005D0E69" w:rsidRPr="00FA3575" w:rsidRDefault="005D0E69" w:rsidP="009D6898">
      <w:pPr>
        <w:pStyle w:val="ListParagraph"/>
        <w:numPr>
          <w:ilvl w:val="0"/>
          <w:numId w:val="12"/>
        </w:numPr>
        <w:spacing w:after="0" w:line="240" w:lineRule="auto"/>
        <w:ind w:left="2127" w:hanging="687"/>
        <w:rPr>
          <w:rFonts w:ascii="Verdana" w:hAnsi="Verdana"/>
          <w:sz w:val="20"/>
          <w:szCs w:val="20"/>
        </w:rPr>
      </w:pPr>
      <w:r w:rsidRPr="00FA3575">
        <w:rPr>
          <w:rFonts w:ascii="Verdana" w:hAnsi="Verdana"/>
          <w:sz w:val="20"/>
          <w:szCs w:val="20"/>
        </w:rPr>
        <w:t xml:space="preserve">that they </w:t>
      </w:r>
      <w:r w:rsidR="000F040B" w:rsidRPr="00FA3575">
        <w:rPr>
          <w:rFonts w:ascii="Verdana" w:hAnsi="Verdana"/>
          <w:sz w:val="20"/>
          <w:szCs w:val="20"/>
        </w:rPr>
        <w:t>may</w:t>
      </w:r>
      <w:r w:rsidRPr="00FA3575">
        <w:rPr>
          <w:rFonts w:ascii="Verdana" w:hAnsi="Verdana"/>
          <w:sz w:val="20"/>
          <w:szCs w:val="20"/>
        </w:rPr>
        <w:t xml:space="preserve"> refuse to give their consent;</w:t>
      </w:r>
      <w:r w:rsidR="00792E9B" w:rsidRPr="00FA3575">
        <w:rPr>
          <w:rFonts w:ascii="Verdana" w:hAnsi="Verdana"/>
          <w:sz w:val="20"/>
          <w:szCs w:val="20"/>
        </w:rPr>
        <w:t xml:space="preserve"> </w:t>
      </w:r>
    </w:p>
    <w:p w14:paraId="6A8F32DC" w14:textId="77777777" w:rsidR="005D0E69" w:rsidRPr="00FA3575" w:rsidRDefault="005D0E69" w:rsidP="009D6898">
      <w:pPr>
        <w:pStyle w:val="ListParagraph"/>
        <w:numPr>
          <w:ilvl w:val="0"/>
          <w:numId w:val="12"/>
        </w:numPr>
        <w:spacing w:after="0" w:line="240" w:lineRule="auto"/>
        <w:ind w:left="2127" w:hanging="687"/>
        <w:rPr>
          <w:rFonts w:ascii="Verdana" w:hAnsi="Verdana"/>
          <w:sz w:val="20"/>
          <w:szCs w:val="20"/>
        </w:rPr>
      </w:pPr>
      <w:r w:rsidRPr="00FA3575">
        <w:rPr>
          <w:rFonts w:ascii="Verdana" w:hAnsi="Verdana"/>
          <w:sz w:val="20"/>
          <w:szCs w:val="20"/>
        </w:rPr>
        <w:t>that there is no need to give any reason for such refusal;</w:t>
      </w:r>
    </w:p>
    <w:p w14:paraId="129F0E32" w14:textId="77777777" w:rsidR="005D0E69" w:rsidRDefault="005D0E69" w:rsidP="009D6898">
      <w:pPr>
        <w:pStyle w:val="ListParagraph"/>
        <w:numPr>
          <w:ilvl w:val="0"/>
          <w:numId w:val="12"/>
        </w:numPr>
        <w:spacing w:after="0" w:line="240" w:lineRule="auto"/>
        <w:ind w:left="2127" w:hanging="687"/>
        <w:rPr>
          <w:rFonts w:ascii="Verdana" w:hAnsi="Verdana"/>
          <w:sz w:val="20"/>
          <w:szCs w:val="20"/>
        </w:rPr>
      </w:pPr>
      <w:r w:rsidRPr="00FA3575">
        <w:rPr>
          <w:rFonts w:ascii="Verdana" w:hAnsi="Verdana"/>
          <w:sz w:val="20"/>
          <w:szCs w:val="20"/>
        </w:rPr>
        <w:t>that refusal will in no way impact on the outcome of their hearing</w:t>
      </w:r>
      <w:r w:rsidR="000839AF">
        <w:rPr>
          <w:rFonts w:ascii="Verdana" w:hAnsi="Verdana"/>
          <w:sz w:val="20"/>
          <w:szCs w:val="20"/>
        </w:rPr>
        <w:t>; and</w:t>
      </w:r>
    </w:p>
    <w:p w14:paraId="7AF059B2" w14:textId="77777777" w:rsidR="000839AF" w:rsidRPr="00FA3575" w:rsidRDefault="000839AF" w:rsidP="009D6898">
      <w:pPr>
        <w:pStyle w:val="ListParagraph"/>
        <w:numPr>
          <w:ilvl w:val="0"/>
          <w:numId w:val="12"/>
        </w:numPr>
        <w:spacing w:after="0" w:line="240" w:lineRule="auto"/>
        <w:ind w:left="2127" w:hanging="687"/>
        <w:rPr>
          <w:rFonts w:ascii="Verdana" w:hAnsi="Verdana"/>
          <w:sz w:val="20"/>
          <w:szCs w:val="20"/>
        </w:rPr>
      </w:pPr>
      <w:r>
        <w:rPr>
          <w:rFonts w:ascii="Verdana" w:hAnsi="Verdana"/>
          <w:sz w:val="20"/>
          <w:szCs w:val="20"/>
        </w:rPr>
        <w:t>the patient may withdraw their consent at any time during the hearing.</w:t>
      </w:r>
    </w:p>
    <w:p w14:paraId="71ADF114" w14:textId="77777777" w:rsidR="008D17E7" w:rsidRPr="00FA3575" w:rsidRDefault="008D17E7" w:rsidP="00C8633D">
      <w:pPr>
        <w:pStyle w:val="ListParagraph"/>
        <w:spacing w:after="0" w:line="240" w:lineRule="auto"/>
        <w:ind w:left="0"/>
        <w:rPr>
          <w:rFonts w:ascii="Verdana" w:hAnsi="Verdana"/>
          <w:sz w:val="20"/>
          <w:szCs w:val="20"/>
        </w:rPr>
      </w:pPr>
    </w:p>
    <w:p w14:paraId="3906905D" w14:textId="77777777" w:rsidR="00052B48" w:rsidRPr="00052B48" w:rsidRDefault="006B046E" w:rsidP="00774357">
      <w:pPr>
        <w:pStyle w:val="ListParagraph"/>
        <w:numPr>
          <w:ilvl w:val="0"/>
          <w:numId w:val="5"/>
        </w:numPr>
        <w:spacing w:after="0" w:line="240" w:lineRule="auto"/>
        <w:ind w:left="709" w:hanging="709"/>
        <w:rPr>
          <w:rFonts w:ascii="Verdana" w:hAnsi="Verdana"/>
          <w:sz w:val="20"/>
          <w:szCs w:val="20"/>
        </w:rPr>
      </w:pPr>
      <w:r w:rsidRPr="00052B48">
        <w:rPr>
          <w:rFonts w:ascii="Verdana" w:hAnsi="Verdana"/>
          <w:sz w:val="20"/>
          <w:szCs w:val="20"/>
        </w:rPr>
        <w:t>If a patient does not attend the hearing,</w:t>
      </w:r>
      <w:r w:rsidR="00B364A5" w:rsidRPr="00052B48">
        <w:rPr>
          <w:rFonts w:ascii="Verdana" w:hAnsi="Verdana"/>
          <w:sz w:val="20"/>
          <w:szCs w:val="20"/>
        </w:rPr>
        <w:t xml:space="preserve"> the person’s attendance to observe the hearing is at the discretion of</w:t>
      </w:r>
      <w:r w:rsidRPr="00052B48">
        <w:rPr>
          <w:rFonts w:ascii="Verdana" w:hAnsi="Verdana"/>
          <w:sz w:val="20"/>
          <w:szCs w:val="20"/>
        </w:rPr>
        <w:t xml:space="preserve"> the</w:t>
      </w:r>
      <w:r w:rsidR="00BF501E">
        <w:rPr>
          <w:rFonts w:ascii="Verdana" w:hAnsi="Verdana"/>
          <w:sz w:val="20"/>
          <w:szCs w:val="20"/>
        </w:rPr>
        <w:t xml:space="preserve"> Tribunal members at the hearing</w:t>
      </w:r>
      <w:r w:rsidR="00B364A5" w:rsidRPr="00052B48">
        <w:rPr>
          <w:rFonts w:ascii="Verdana" w:hAnsi="Verdana"/>
          <w:sz w:val="20"/>
          <w:szCs w:val="20"/>
        </w:rPr>
        <w:t>.</w:t>
      </w:r>
      <w:r w:rsidR="001C2960" w:rsidRPr="00052B48">
        <w:rPr>
          <w:rFonts w:ascii="Verdana" w:hAnsi="Verdana"/>
          <w:sz w:val="20"/>
          <w:szCs w:val="20"/>
        </w:rPr>
        <w:t xml:space="preserve"> </w:t>
      </w:r>
    </w:p>
    <w:p w14:paraId="4BDD229D" w14:textId="77777777" w:rsidR="00052B48" w:rsidRPr="00052B48" w:rsidRDefault="00052B48" w:rsidP="00052B48">
      <w:pPr>
        <w:spacing w:after="0" w:line="240" w:lineRule="auto"/>
        <w:rPr>
          <w:rFonts w:ascii="Verdana" w:hAnsi="Verdana"/>
          <w:sz w:val="20"/>
          <w:szCs w:val="20"/>
        </w:rPr>
      </w:pPr>
    </w:p>
    <w:p w14:paraId="7D85D146" w14:textId="77777777" w:rsidR="00052B48" w:rsidRPr="00052B48" w:rsidRDefault="00052B48" w:rsidP="00774357">
      <w:pPr>
        <w:pStyle w:val="ListParagraph"/>
        <w:numPr>
          <w:ilvl w:val="1"/>
          <w:numId w:val="5"/>
        </w:numPr>
        <w:spacing w:after="0" w:line="240" w:lineRule="auto"/>
        <w:rPr>
          <w:rFonts w:ascii="Verdana" w:hAnsi="Verdana"/>
          <w:sz w:val="20"/>
          <w:szCs w:val="20"/>
        </w:rPr>
      </w:pPr>
      <w:r w:rsidRPr="00052B48">
        <w:rPr>
          <w:rFonts w:ascii="Verdana" w:hAnsi="Verdana"/>
          <w:sz w:val="20"/>
          <w:szCs w:val="20"/>
        </w:rPr>
        <w:t>In making this decision,</w:t>
      </w:r>
      <w:r w:rsidR="009D6898">
        <w:rPr>
          <w:rFonts w:ascii="Verdana" w:hAnsi="Verdana"/>
          <w:sz w:val="20"/>
          <w:szCs w:val="20"/>
        </w:rPr>
        <w:t xml:space="preserve"> a relevant consideration for the Tribunal is</w:t>
      </w:r>
      <w:r w:rsidRPr="00052B48">
        <w:rPr>
          <w:rFonts w:ascii="Verdana" w:hAnsi="Verdana"/>
          <w:sz w:val="20"/>
          <w:szCs w:val="20"/>
        </w:rPr>
        <w:t xml:space="preserve"> whether the </w:t>
      </w:r>
      <w:r w:rsidR="009D6898">
        <w:rPr>
          <w:rFonts w:ascii="Verdana" w:hAnsi="Verdana"/>
          <w:sz w:val="20"/>
          <w:szCs w:val="20"/>
        </w:rPr>
        <w:t xml:space="preserve">designated mental health </w:t>
      </w:r>
      <w:r w:rsidRPr="00052B48">
        <w:rPr>
          <w:rFonts w:ascii="Verdana" w:hAnsi="Verdana"/>
          <w:sz w:val="20"/>
          <w:szCs w:val="20"/>
        </w:rPr>
        <w:t xml:space="preserve">service </w:t>
      </w:r>
      <w:r w:rsidR="009D6898">
        <w:rPr>
          <w:rFonts w:ascii="Verdana" w:hAnsi="Verdana"/>
          <w:sz w:val="20"/>
          <w:szCs w:val="20"/>
        </w:rPr>
        <w:t xml:space="preserve">or body </w:t>
      </w:r>
      <w:r w:rsidRPr="00052B48">
        <w:rPr>
          <w:rFonts w:ascii="Verdana" w:hAnsi="Verdana"/>
          <w:sz w:val="20"/>
          <w:szCs w:val="20"/>
        </w:rPr>
        <w:t>has sought consent from the patient</w:t>
      </w:r>
      <w:r w:rsidR="009D6898">
        <w:rPr>
          <w:rFonts w:ascii="Verdana" w:hAnsi="Verdana"/>
          <w:sz w:val="20"/>
          <w:szCs w:val="20"/>
        </w:rPr>
        <w:t xml:space="preserve"> pursuant to </w:t>
      </w:r>
      <w:r w:rsidR="009D6898" w:rsidRPr="00665EE5">
        <w:rPr>
          <w:rFonts w:ascii="Verdana" w:hAnsi="Verdana"/>
          <w:sz w:val="20"/>
          <w:szCs w:val="20"/>
        </w:rPr>
        <w:t>paragraph 14</w:t>
      </w:r>
      <w:r w:rsidRPr="00665EE5">
        <w:rPr>
          <w:rFonts w:ascii="Verdana" w:hAnsi="Verdana"/>
          <w:sz w:val="20"/>
          <w:szCs w:val="20"/>
        </w:rPr>
        <w:t>.</w:t>
      </w:r>
    </w:p>
    <w:p w14:paraId="11BA6E62" w14:textId="77777777" w:rsidR="00052B48" w:rsidRPr="00052B48" w:rsidRDefault="00052B48" w:rsidP="00052B48">
      <w:pPr>
        <w:pStyle w:val="ListParagraph"/>
        <w:spacing w:after="0" w:line="240" w:lineRule="auto"/>
        <w:ind w:left="1444"/>
        <w:rPr>
          <w:rFonts w:ascii="Verdana" w:hAnsi="Verdana"/>
          <w:sz w:val="20"/>
          <w:szCs w:val="20"/>
        </w:rPr>
      </w:pPr>
    </w:p>
    <w:p w14:paraId="38295422" w14:textId="77777777" w:rsidR="00052B48" w:rsidRPr="00052B48" w:rsidRDefault="00052B48" w:rsidP="00774357">
      <w:pPr>
        <w:pStyle w:val="ListParagraph"/>
        <w:numPr>
          <w:ilvl w:val="1"/>
          <w:numId w:val="5"/>
        </w:numPr>
        <w:spacing w:after="0" w:line="240" w:lineRule="auto"/>
        <w:rPr>
          <w:rFonts w:ascii="Verdana" w:hAnsi="Verdana"/>
          <w:sz w:val="20"/>
          <w:szCs w:val="20"/>
        </w:rPr>
      </w:pPr>
      <w:r w:rsidRPr="00052B48">
        <w:rPr>
          <w:rFonts w:ascii="Verdana" w:hAnsi="Verdana"/>
          <w:sz w:val="20"/>
          <w:szCs w:val="20"/>
        </w:rPr>
        <w:t xml:space="preserve">The Tribunal may </w:t>
      </w:r>
      <w:proofErr w:type="gramStart"/>
      <w:r w:rsidRPr="00052B48">
        <w:rPr>
          <w:rFonts w:ascii="Verdana" w:hAnsi="Verdana"/>
          <w:sz w:val="20"/>
          <w:szCs w:val="20"/>
        </w:rPr>
        <w:t>take into account</w:t>
      </w:r>
      <w:proofErr w:type="gramEnd"/>
      <w:r w:rsidRPr="00052B48">
        <w:rPr>
          <w:rFonts w:ascii="Verdana" w:hAnsi="Verdana"/>
          <w:sz w:val="20"/>
          <w:szCs w:val="20"/>
        </w:rPr>
        <w:t xml:space="preserve"> other considerations as it sees fit.</w:t>
      </w:r>
    </w:p>
    <w:p w14:paraId="248D6E7A" w14:textId="77777777" w:rsidR="003F4AF5" w:rsidRPr="00052B48" w:rsidRDefault="003F4AF5" w:rsidP="00C8633D">
      <w:pPr>
        <w:pStyle w:val="ListParagraph"/>
        <w:spacing w:after="0" w:line="240" w:lineRule="auto"/>
        <w:ind w:left="0"/>
        <w:rPr>
          <w:rFonts w:ascii="Verdana" w:hAnsi="Verdana"/>
          <w:sz w:val="20"/>
          <w:szCs w:val="20"/>
        </w:rPr>
      </w:pPr>
    </w:p>
    <w:p w14:paraId="60D3F4CB" w14:textId="77777777" w:rsidR="00027066" w:rsidRPr="00B7700B" w:rsidRDefault="00027066" w:rsidP="00027066">
      <w:pPr>
        <w:pStyle w:val="ListParagraph"/>
        <w:spacing w:after="0" w:line="240" w:lineRule="auto"/>
        <w:ind w:left="0"/>
        <w:rPr>
          <w:rFonts w:ascii="Verdana" w:hAnsi="Verdana"/>
          <w:b/>
          <w:sz w:val="20"/>
          <w:szCs w:val="20"/>
        </w:rPr>
      </w:pPr>
      <w:r w:rsidRPr="00052B48">
        <w:rPr>
          <w:rFonts w:ascii="Verdana" w:hAnsi="Verdana"/>
          <w:b/>
          <w:sz w:val="20"/>
          <w:szCs w:val="20"/>
        </w:rPr>
        <w:t>Number of observers</w:t>
      </w:r>
      <w:r w:rsidRPr="00B7700B">
        <w:rPr>
          <w:rFonts w:ascii="Verdana" w:hAnsi="Verdana"/>
          <w:b/>
          <w:sz w:val="20"/>
          <w:szCs w:val="20"/>
        </w:rPr>
        <w:t xml:space="preserve"> </w:t>
      </w:r>
    </w:p>
    <w:p w14:paraId="3E62EB9C" w14:textId="77777777" w:rsidR="00027066" w:rsidRPr="00B7700B" w:rsidRDefault="00027066" w:rsidP="00027066">
      <w:pPr>
        <w:pStyle w:val="ListParagraph"/>
        <w:spacing w:after="0" w:line="240" w:lineRule="auto"/>
        <w:ind w:left="0"/>
        <w:rPr>
          <w:rFonts w:ascii="Verdana" w:hAnsi="Verdana"/>
          <w:b/>
          <w:sz w:val="20"/>
          <w:szCs w:val="20"/>
        </w:rPr>
      </w:pPr>
    </w:p>
    <w:p w14:paraId="73F58DAB" w14:textId="77777777" w:rsidR="00027066" w:rsidRPr="00B7700B" w:rsidRDefault="00027066" w:rsidP="00774357">
      <w:pPr>
        <w:pStyle w:val="ListParagraph"/>
        <w:numPr>
          <w:ilvl w:val="0"/>
          <w:numId w:val="5"/>
        </w:numPr>
        <w:spacing w:after="0" w:line="240" w:lineRule="auto"/>
        <w:ind w:left="709" w:hanging="709"/>
        <w:rPr>
          <w:rFonts w:ascii="Verdana" w:hAnsi="Verdana"/>
          <w:sz w:val="20"/>
          <w:szCs w:val="20"/>
        </w:rPr>
      </w:pPr>
      <w:r w:rsidRPr="00B7700B">
        <w:rPr>
          <w:rFonts w:ascii="Verdana" w:hAnsi="Verdana"/>
          <w:sz w:val="20"/>
          <w:szCs w:val="20"/>
        </w:rPr>
        <w:t xml:space="preserve">Ordinarily, one </w:t>
      </w:r>
      <w:r w:rsidR="000839AF">
        <w:rPr>
          <w:rFonts w:ascii="Verdana" w:hAnsi="Verdana"/>
          <w:sz w:val="20"/>
          <w:szCs w:val="20"/>
        </w:rPr>
        <w:t xml:space="preserve">to two </w:t>
      </w:r>
      <w:r w:rsidRPr="00B7700B">
        <w:rPr>
          <w:rFonts w:ascii="Verdana" w:hAnsi="Verdana"/>
          <w:sz w:val="20"/>
          <w:szCs w:val="20"/>
        </w:rPr>
        <w:t>person</w:t>
      </w:r>
      <w:r w:rsidR="000839AF">
        <w:rPr>
          <w:rFonts w:ascii="Verdana" w:hAnsi="Verdana"/>
          <w:sz w:val="20"/>
          <w:szCs w:val="20"/>
        </w:rPr>
        <w:t>s</w:t>
      </w:r>
      <w:r w:rsidRPr="00B7700B">
        <w:rPr>
          <w:rFonts w:ascii="Verdana" w:hAnsi="Verdana"/>
          <w:sz w:val="20"/>
          <w:szCs w:val="20"/>
        </w:rPr>
        <w:t xml:space="preserve"> at a time will be allowed to observe hearings. In special circumstances, the division may approve more than </w:t>
      </w:r>
      <w:r w:rsidR="000839AF">
        <w:rPr>
          <w:rFonts w:ascii="Verdana" w:hAnsi="Verdana"/>
          <w:sz w:val="20"/>
          <w:szCs w:val="20"/>
        </w:rPr>
        <w:t>two</w:t>
      </w:r>
      <w:r w:rsidR="000839AF" w:rsidRPr="00B7700B">
        <w:rPr>
          <w:rFonts w:ascii="Verdana" w:hAnsi="Verdana"/>
          <w:sz w:val="20"/>
          <w:szCs w:val="20"/>
        </w:rPr>
        <w:t xml:space="preserve"> </w:t>
      </w:r>
      <w:r w:rsidRPr="00B7700B">
        <w:rPr>
          <w:rFonts w:ascii="Verdana" w:hAnsi="Verdana"/>
          <w:sz w:val="20"/>
          <w:szCs w:val="20"/>
        </w:rPr>
        <w:t>person</w:t>
      </w:r>
      <w:r w:rsidR="000839AF">
        <w:rPr>
          <w:rFonts w:ascii="Verdana" w:hAnsi="Verdana"/>
          <w:sz w:val="20"/>
          <w:szCs w:val="20"/>
        </w:rPr>
        <w:t>s</w:t>
      </w:r>
      <w:r w:rsidRPr="00B7700B">
        <w:rPr>
          <w:rFonts w:ascii="Verdana" w:hAnsi="Verdana"/>
          <w:sz w:val="20"/>
          <w:szCs w:val="20"/>
        </w:rPr>
        <w:t>.</w:t>
      </w:r>
      <w:r w:rsidR="009E3BE0">
        <w:rPr>
          <w:rFonts w:ascii="Verdana" w:hAnsi="Verdana"/>
          <w:sz w:val="20"/>
          <w:szCs w:val="20"/>
        </w:rPr>
        <w:t xml:space="preserve"> </w:t>
      </w:r>
    </w:p>
    <w:p w14:paraId="2E48DCB2" w14:textId="77777777" w:rsidR="00027066" w:rsidRPr="00B7700B" w:rsidRDefault="00027066" w:rsidP="00C8633D">
      <w:pPr>
        <w:pStyle w:val="ListParagraph"/>
        <w:spacing w:after="0" w:line="240" w:lineRule="auto"/>
        <w:ind w:left="0"/>
        <w:rPr>
          <w:rFonts w:ascii="Verdana" w:hAnsi="Verdana"/>
          <w:sz w:val="20"/>
          <w:szCs w:val="20"/>
        </w:rPr>
      </w:pPr>
    </w:p>
    <w:p w14:paraId="3C477101" w14:textId="77777777" w:rsidR="00027066" w:rsidRPr="00F37376" w:rsidRDefault="00027066" w:rsidP="00027066">
      <w:pPr>
        <w:pStyle w:val="ListParagraph"/>
        <w:spacing w:after="0" w:line="240" w:lineRule="auto"/>
        <w:ind w:left="0"/>
        <w:rPr>
          <w:rFonts w:ascii="Verdana" w:hAnsi="Verdana"/>
          <w:b/>
          <w:sz w:val="20"/>
          <w:szCs w:val="20"/>
        </w:rPr>
      </w:pPr>
      <w:r w:rsidRPr="00F37376">
        <w:rPr>
          <w:rFonts w:ascii="Verdana" w:hAnsi="Verdana"/>
          <w:b/>
          <w:sz w:val="20"/>
          <w:szCs w:val="20"/>
        </w:rPr>
        <w:t>Confidentiality and conduct of observers</w:t>
      </w:r>
    </w:p>
    <w:p w14:paraId="1BC71320" w14:textId="77777777" w:rsidR="00027066" w:rsidRPr="00F37376" w:rsidRDefault="00027066" w:rsidP="00027066">
      <w:pPr>
        <w:pStyle w:val="ListParagraph"/>
        <w:spacing w:after="0" w:line="240" w:lineRule="auto"/>
        <w:ind w:left="0"/>
        <w:rPr>
          <w:rFonts w:ascii="Verdana" w:hAnsi="Verdana"/>
          <w:b/>
          <w:sz w:val="20"/>
          <w:szCs w:val="20"/>
        </w:rPr>
      </w:pPr>
    </w:p>
    <w:p w14:paraId="3F356B59" w14:textId="77777777" w:rsidR="00260E94" w:rsidRPr="00F37376" w:rsidRDefault="00260E94" w:rsidP="00D02BD3">
      <w:pPr>
        <w:pStyle w:val="ListParagraph"/>
        <w:numPr>
          <w:ilvl w:val="0"/>
          <w:numId w:val="15"/>
        </w:numPr>
        <w:spacing w:after="0" w:line="240" w:lineRule="auto"/>
        <w:ind w:left="709" w:hanging="709"/>
        <w:rPr>
          <w:rFonts w:ascii="Verdana" w:hAnsi="Verdana"/>
          <w:sz w:val="20"/>
          <w:szCs w:val="20"/>
        </w:rPr>
      </w:pPr>
      <w:r w:rsidRPr="00F37376">
        <w:rPr>
          <w:rFonts w:ascii="Verdana" w:hAnsi="Verdana"/>
          <w:sz w:val="20"/>
          <w:szCs w:val="20"/>
        </w:rPr>
        <w:t xml:space="preserve">In addition to any confidentiality or privacy agreement an observer may be subject to at the designated mental health service or representative </w:t>
      </w:r>
      <w:r w:rsidR="00B3296C" w:rsidRPr="00F37376">
        <w:rPr>
          <w:rFonts w:ascii="Verdana" w:hAnsi="Verdana"/>
          <w:sz w:val="20"/>
          <w:szCs w:val="20"/>
        </w:rPr>
        <w:t xml:space="preserve">or advocacy </w:t>
      </w:r>
      <w:r w:rsidRPr="00F37376">
        <w:rPr>
          <w:rFonts w:ascii="Verdana" w:hAnsi="Verdana"/>
          <w:sz w:val="20"/>
          <w:szCs w:val="20"/>
        </w:rPr>
        <w:t xml:space="preserve">body, all observers are bound by the </w:t>
      </w:r>
      <w:r w:rsidR="00AA6C43" w:rsidRPr="00F37376">
        <w:rPr>
          <w:rFonts w:ascii="Verdana" w:hAnsi="Verdana"/>
          <w:sz w:val="20"/>
          <w:szCs w:val="20"/>
        </w:rPr>
        <w:t xml:space="preserve">confidentiality </w:t>
      </w:r>
      <w:r w:rsidRPr="00F37376">
        <w:rPr>
          <w:rFonts w:ascii="Verdana" w:hAnsi="Verdana"/>
          <w:sz w:val="20"/>
          <w:szCs w:val="20"/>
        </w:rPr>
        <w:t>provisions of the Act.</w:t>
      </w:r>
      <w:r w:rsidR="0024119E" w:rsidRPr="00F37376">
        <w:rPr>
          <w:rFonts w:ascii="Verdana" w:hAnsi="Verdana"/>
          <w:sz w:val="20"/>
          <w:szCs w:val="20"/>
        </w:rPr>
        <w:t xml:space="preserve"> </w:t>
      </w:r>
    </w:p>
    <w:p w14:paraId="7F63FC10" w14:textId="77777777" w:rsidR="006259E7" w:rsidRPr="00F37376" w:rsidRDefault="006259E7" w:rsidP="006259E7">
      <w:pPr>
        <w:spacing w:after="0" w:line="240" w:lineRule="auto"/>
        <w:rPr>
          <w:rFonts w:ascii="Verdana" w:hAnsi="Verdana"/>
          <w:sz w:val="20"/>
          <w:szCs w:val="20"/>
        </w:rPr>
      </w:pPr>
    </w:p>
    <w:p w14:paraId="39C9DDA3" w14:textId="77777777" w:rsidR="00426333" w:rsidRPr="00F37376" w:rsidRDefault="00D02BD3" w:rsidP="00F37376">
      <w:pPr>
        <w:pStyle w:val="ListParagraph"/>
        <w:spacing w:after="0" w:line="240" w:lineRule="auto"/>
        <w:ind w:left="1418" w:hanging="709"/>
        <w:rPr>
          <w:rFonts w:ascii="Verdana" w:hAnsi="Verdana"/>
          <w:sz w:val="20"/>
          <w:szCs w:val="20"/>
        </w:rPr>
      </w:pPr>
      <w:r>
        <w:rPr>
          <w:rFonts w:ascii="Verdana" w:hAnsi="Verdana"/>
          <w:sz w:val="20"/>
          <w:szCs w:val="20"/>
        </w:rPr>
        <w:t>20</w:t>
      </w:r>
      <w:r w:rsidR="00426333" w:rsidRPr="00F37376">
        <w:rPr>
          <w:rFonts w:ascii="Verdana" w:hAnsi="Verdana"/>
          <w:sz w:val="20"/>
          <w:szCs w:val="20"/>
        </w:rPr>
        <w:t>.1</w:t>
      </w:r>
      <w:r w:rsidR="00426333" w:rsidRPr="00F37376">
        <w:rPr>
          <w:rFonts w:ascii="Verdana" w:hAnsi="Verdana"/>
          <w:sz w:val="20"/>
          <w:szCs w:val="20"/>
        </w:rPr>
        <w:tab/>
        <w:t>Section 175 provides that a curr</w:t>
      </w:r>
      <w:r w:rsidR="00F37376" w:rsidRPr="00F37376">
        <w:rPr>
          <w:rFonts w:ascii="Verdana" w:hAnsi="Verdana"/>
          <w:sz w:val="20"/>
          <w:szCs w:val="20"/>
        </w:rPr>
        <w:t>ent or former Tribunal member or</w:t>
      </w:r>
      <w:r w:rsidR="00426333" w:rsidRPr="00F37376">
        <w:rPr>
          <w:rFonts w:ascii="Verdana" w:hAnsi="Verdana"/>
          <w:sz w:val="20"/>
          <w:szCs w:val="20"/>
        </w:rPr>
        <w:t xml:space="preserve"> member of staff of the Tribunal must not disclose any information which may identify a person acquired in the performance of functions or duties or the exercise of powers under the Act. The penalty for disclosure is 60 penalty units. Section 175</w:t>
      </w:r>
      <w:r w:rsidR="00F37376" w:rsidRPr="00F37376">
        <w:rPr>
          <w:rFonts w:ascii="Verdana" w:hAnsi="Verdana"/>
          <w:sz w:val="20"/>
          <w:szCs w:val="20"/>
        </w:rPr>
        <w:t xml:space="preserve"> contains exemptions.</w:t>
      </w:r>
    </w:p>
    <w:p w14:paraId="10487861" w14:textId="77777777" w:rsidR="00426333" w:rsidRPr="00F37376" w:rsidRDefault="00426333" w:rsidP="006259E7">
      <w:pPr>
        <w:pStyle w:val="ListParagraph"/>
        <w:spacing w:after="0" w:line="240" w:lineRule="auto"/>
        <w:ind w:left="709"/>
        <w:rPr>
          <w:rFonts w:ascii="Verdana" w:hAnsi="Verdana"/>
          <w:b/>
          <w:sz w:val="20"/>
          <w:szCs w:val="20"/>
        </w:rPr>
      </w:pPr>
    </w:p>
    <w:p w14:paraId="473EE3A0" w14:textId="77777777" w:rsidR="00260E94" w:rsidRPr="00F37376" w:rsidRDefault="00D02BD3" w:rsidP="00057AC3">
      <w:pPr>
        <w:pStyle w:val="ListParagraph"/>
        <w:spacing w:after="0" w:line="240" w:lineRule="auto"/>
        <w:ind w:left="1418" w:hanging="709"/>
        <w:rPr>
          <w:rFonts w:ascii="Verdana" w:hAnsi="Verdana"/>
          <w:sz w:val="20"/>
          <w:szCs w:val="20"/>
        </w:rPr>
      </w:pPr>
      <w:r>
        <w:rPr>
          <w:rFonts w:ascii="Verdana" w:hAnsi="Verdana"/>
          <w:sz w:val="20"/>
          <w:szCs w:val="20"/>
        </w:rPr>
        <w:t>20</w:t>
      </w:r>
      <w:r w:rsidR="00F37376">
        <w:rPr>
          <w:rFonts w:ascii="Verdana" w:hAnsi="Verdana"/>
          <w:sz w:val="20"/>
          <w:szCs w:val="20"/>
        </w:rPr>
        <w:t>.2</w:t>
      </w:r>
      <w:r w:rsidR="00260E94" w:rsidRPr="00F37376">
        <w:rPr>
          <w:rFonts w:ascii="Verdana" w:hAnsi="Verdana"/>
          <w:sz w:val="20"/>
          <w:szCs w:val="20"/>
        </w:rPr>
        <w:tab/>
        <w:t xml:space="preserve">Section 194 provides that the name and other identifying details of a </w:t>
      </w:r>
      <w:r w:rsidR="00FA3575" w:rsidRPr="00F37376">
        <w:rPr>
          <w:rFonts w:ascii="Verdana" w:hAnsi="Verdana"/>
          <w:sz w:val="20"/>
          <w:szCs w:val="20"/>
        </w:rPr>
        <w:t>patient</w:t>
      </w:r>
      <w:r w:rsidR="00260E94" w:rsidRPr="00F37376">
        <w:rPr>
          <w:rFonts w:ascii="Verdana" w:hAnsi="Verdana"/>
          <w:sz w:val="20"/>
          <w:szCs w:val="20"/>
        </w:rPr>
        <w:t xml:space="preserve"> must not be published unless the written consent of the President </w:t>
      </w:r>
      <w:r w:rsidR="009D6898">
        <w:rPr>
          <w:rFonts w:ascii="Verdana" w:hAnsi="Verdana"/>
          <w:sz w:val="20"/>
          <w:szCs w:val="20"/>
        </w:rPr>
        <w:t xml:space="preserve">of the Tribunal </w:t>
      </w:r>
      <w:r w:rsidR="00260E94" w:rsidRPr="00F37376">
        <w:rPr>
          <w:rFonts w:ascii="Verdana" w:hAnsi="Verdana"/>
          <w:sz w:val="20"/>
          <w:szCs w:val="20"/>
        </w:rPr>
        <w:t>has been obtained.</w:t>
      </w:r>
    </w:p>
    <w:p w14:paraId="52AF486A" w14:textId="77777777" w:rsidR="00260E94" w:rsidRPr="00B7700B" w:rsidRDefault="00260E94" w:rsidP="00057AC3">
      <w:pPr>
        <w:pStyle w:val="ListParagraph"/>
        <w:spacing w:after="0" w:line="240" w:lineRule="auto"/>
        <w:ind w:left="1418" w:hanging="709"/>
        <w:rPr>
          <w:rFonts w:ascii="Verdana" w:hAnsi="Verdana"/>
          <w:sz w:val="20"/>
          <w:szCs w:val="20"/>
        </w:rPr>
      </w:pPr>
    </w:p>
    <w:p w14:paraId="2979FBCD" w14:textId="77777777" w:rsidR="00AA6C43" w:rsidRPr="00B7700B" w:rsidRDefault="00D02BD3" w:rsidP="00057AC3">
      <w:pPr>
        <w:pStyle w:val="ListParagraph"/>
        <w:spacing w:after="0" w:line="240" w:lineRule="auto"/>
        <w:ind w:left="1418" w:hanging="709"/>
        <w:rPr>
          <w:rFonts w:ascii="Verdana" w:hAnsi="Verdana"/>
          <w:sz w:val="20"/>
          <w:szCs w:val="20"/>
        </w:rPr>
      </w:pPr>
      <w:r>
        <w:rPr>
          <w:rFonts w:ascii="Verdana" w:hAnsi="Verdana"/>
          <w:sz w:val="20"/>
          <w:szCs w:val="20"/>
        </w:rPr>
        <w:t>20</w:t>
      </w:r>
      <w:r w:rsidR="00F37376">
        <w:rPr>
          <w:rFonts w:ascii="Verdana" w:hAnsi="Verdana"/>
          <w:sz w:val="20"/>
          <w:szCs w:val="20"/>
        </w:rPr>
        <w:t>.3</w:t>
      </w:r>
      <w:r w:rsidR="00260E94" w:rsidRPr="00B7700B">
        <w:rPr>
          <w:rFonts w:ascii="Verdana" w:hAnsi="Verdana"/>
          <w:sz w:val="20"/>
          <w:szCs w:val="20"/>
        </w:rPr>
        <w:tab/>
        <w:t>Section 346(1)</w:t>
      </w:r>
      <w:r w:rsidR="00AA6C43" w:rsidRPr="00B7700B">
        <w:rPr>
          <w:rFonts w:ascii="Verdana" w:hAnsi="Verdana"/>
          <w:sz w:val="20"/>
          <w:szCs w:val="20"/>
        </w:rPr>
        <w:t xml:space="preserve"> </w:t>
      </w:r>
      <w:r w:rsidR="00260E94" w:rsidRPr="00B7700B">
        <w:rPr>
          <w:rFonts w:ascii="Verdana" w:hAnsi="Verdana"/>
          <w:sz w:val="20"/>
          <w:szCs w:val="20"/>
        </w:rPr>
        <w:t>provides that any member of staff or former member of staff of a mental health service provide</w:t>
      </w:r>
      <w:r w:rsidR="00AA6C43" w:rsidRPr="00B7700B">
        <w:rPr>
          <w:rFonts w:ascii="Verdana" w:hAnsi="Verdana"/>
          <w:sz w:val="20"/>
          <w:szCs w:val="20"/>
        </w:rPr>
        <w:t>r</w:t>
      </w:r>
      <w:r w:rsidR="00260E94" w:rsidRPr="00B7700B">
        <w:rPr>
          <w:rFonts w:ascii="Verdana" w:hAnsi="Verdana"/>
          <w:sz w:val="20"/>
          <w:szCs w:val="20"/>
        </w:rPr>
        <w:t xml:space="preserve"> must not disclose health information about a consumer. </w:t>
      </w:r>
      <w:r w:rsidR="00982C15">
        <w:rPr>
          <w:rFonts w:ascii="Verdana" w:hAnsi="Verdana"/>
          <w:sz w:val="20"/>
          <w:szCs w:val="20"/>
        </w:rPr>
        <w:t xml:space="preserve">The penalty for disclosure is 60 penalty units. </w:t>
      </w:r>
      <w:r w:rsidR="00260E94" w:rsidRPr="00B7700B">
        <w:rPr>
          <w:rFonts w:ascii="Verdana" w:hAnsi="Verdana"/>
          <w:sz w:val="20"/>
          <w:szCs w:val="20"/>
        </w:rPr>
        <w:t>Section 346(2) contains exemptions.</w:t>
      </w:r>
    </w:p>
    <w:p w14:paraId="47BDB386" w14:textId="77777777" w:rsidR="00260E94" w:rsidRPr="00B7700B" w:rsidRDefault="00260E94" w:rsidP="00260E94">
      <w:pPr>
        <w:pStyle w:val="ListParagraph"/>
        <w:spacing w:after="0" w:line="240" w:lineRule="auto"/>
        <w:ind w:left="709"/>
        <w:rPr>
          <w:rFonts w:ascii="Verdana" w:hAnsi="Verdana"/>
          <w:sz w:val="20"/>
          <w:szCs w:val="20"/>
        </w:rPr>
      </w:pPr>
    </w:p>
    <w:p w14:paraId="539D0388" w14:textId="77777777" w:rsidR="00027066" w:rsidRPr="00B7700B" w:rsidRDefault="00027066" w:rsidP="00F576D9">
      <w:pPr>
        <w:pStyle w:val="ListParagraph"/>
        <w:numPr>
          <w:ilvl w:val="0"/>
          <w:numId w:val="15"/>
        </w:numPr>
        <w:spacing w:after="0" w:line="240" w:lineRule="auto"/>
        <w:ind w:left="709" w:hanging="709"/>
        <w:rPr>
          <w:rFonts w:ascii="Verdana" w:hAnsi="Verdana"/>
          <w:sz w:val="20"/>
          <w:szCs w:val="20"/>
        </w:rPr>
      </w:pPr>
      <w:r w:rsidRPr="00B7700B">
        <w:rPr>
          <w:rFonts w:ascii="Verdana" w:hAnsi="Verdana"/>
          <w:sz w:val="20"/>
          <w:szCs w:val="20"/>
        </w:rPr>
        <w:t xml:space="preserve">The presiding </w:t>
      </w:r>
      <w:r w:rsidR="009D6898">
        <w:rPr>
          <w:rFonts w:ascii="Verdana" w:hAnsi="Verdana"/>
          <w:sz w:val="20"/>
          <w:szCs w:val="20"/>
        </w:rPr>
        <w:t xml:space="preserve">Tribunal </w:t>
      </w:r>
      <w:r w:rsidRPr="00B7700B">
        <w:rPr>
          <w:rFonts w:ascii="Verdana" w:hAnsi="Verdana"/>
          <w:sz w:val="20"/>
          <w:szCs w:val="20"/>
        </w:rPr>
        <w:t xml:space="preserve">member shall </w:t>
      </w:r>
      <w:r w:rsidR="00260E94" w:rsidRPr="00B7700B">
        <w:rPr>
          <w:rFonts w:ascii="Verdana" w:hAnsi="Verdana"/>
          <w:sz w:val="20"/>
          <w:szCs w:val="20"/>
        </w:rPr>
        <w:t xml:space="preserve">confirm </w:t>
      </w:r>
      <w:r w:rsidR="00AA6C43" w:rsidRPr="00B7700B">
        <w:rPr>
          <w:rFonts w:ascii="Verdana" w:hAnsi="Verdana"/>
          <w:sz w:val="20"/>
          <w:szCs w:val="20"/>
        </w:rPr>
        <w:t>the observer’s obligations under the Act with the observer.</w:t>
      </w:r>
    </w:p>
    <w:p w14:paraId="499D48CE" w14:textId="77777777" w:rsidR="008438CF" w:rsidRPr="00B7700B" w:rsidRDefault="008438CF" w:rsidP="00BB1D34">
      <w:pPr>
        <w:spacing w:after="0" w:line="240" w:lineRule="auto"/>
        <w:rPr>
          <w:rFonts w:ascii="Verdana" w:hAnsi="Verdana"/>
          <w:sz w:val="20"/>
          <w:szCs w:val="20"/>
        </w:rPr>
      </w:pPr>
    </w:p>
    <w:p w14:paraId="31FEDCDB" w14:textId="77777777" w:rsidR="000839AF" w:rsidRPr="0040169C" w:rsidRDefault="00057AC3" w:rsidP="00F576D9">
      <w:pPr>
        <w:pStyle w:val="ListParagraph"/>
        <w:numPr>
          <w:ilvl w:val="0"/>
          <w:numId w:val="15"/>
        </w:numPr>
        <w:spacing w:after="0" w:line="240" w:lineRule="auto"/>
        <w:ind w:left="709" w:hanging="709"/>
        <w:rPr>
          <w:rFonts w:ascii="Verdana" w:hAnsi="Verdana"/>
          <w:sz w:val="20"/>
          <w:szCs w:val="20"/>
        </w:rPr>
      </w:pPr>
      <w:r w:rsidRPr="0040169C">
        <w:rPr>
          <w:rFonts w:ascii="Verdana" w:hAnsi="Verdana"/>
          <w:sz w:val="20"/>
          <w:szCs w:val="20"/>
        </w:rPr>
        <w:t>T</w:t>
      </w:r>
      <w:r w:rsidR="008438CF" w:rsidRPr="0040169C">
        <w:rPr>
          <w:rFonts w:ascii="Verdana" w:hAnsi="Verdana"/>
          <w:sz w:val="20"/>
          <w:szCs w:val="20"/>
        </w:rPr>
        <w:t>he observe</w:t>
      </w:r>
      <w:r w:rsidR="00AC7F5E" w:rsidRPr="0040169C">
        <w:rPr>
          <w:rFonts w:ascii="Verdana" w:hAnsi="Verdana"/>
          <w:sz w:val="20"/>
          <w:szCs w:val="20"/>
        </w:rPr>
        <w:t>r</w:t>
      </w:r>
      <w:r w:rsidR="008438CF" w:rsidRPr="0040169C">
        <w:rPr>
          <w:rFonts w:ascii="Verdana" w:hAnsi="Verdana"/>
          <w:sz w:val="20"/>
          <w:szCs w:val="20"/>
        </w:rPr>
        <w:t xml:space="preserve"> must not participate in the hearing</w:t>
      </w:r>
      <w:r w:rsidR="00AD7207" w:rsidRPr="0040169C">
        <w:rPr>
          <w:rFonts w:ascii="Verdana" w:hAnsi="Verdana"/>
          <w:sz w:val="20"/>
          <w:szCs w:val="20"/>
        </w:rPr>
        <w:t xml:space="preserve"> or take notes</w:t>
      </w:r>
      <w:r w:rsidR="008438CF" w:rsidRPr="0040169C">
        <w:rPr>
          <w:rFonts w:ascii="Verdana" w:hAnsi="Verdana"/>
          <w:sz w:val="20"/>
          <w:szCs w:val="20"/>
        </w:rPr>
        <w:t>.</w:t>
      </w:r>
      <w:r w:rsidR="001C2960" w:rsidRPr="0040169C">
        <w:rPr>
          <w:rFonts w:ascii="Verdana" w:hAnsi="Verdana"/>
          <w:sz w:val="20"/>
          <w:szCs w:val="20"/>
        </w:rPr>
        <w:t xml:space="preserve"> </w:t>
      </w:r>
    </w:p>
    <w:p w14:paraId="196B851E" w14:textId="77777777" w:rsidR="00027066" w:rsidRPr="0040169C" w:rsidRDefault="00027066" w:rsidP="00027066">
      <w:pPr>
        <w:spacing w:after="0" w:line="240" w:lineRule="auto"/>
        <w:rPr>
          <w:rFonts w:ascii="Verdana" w:hAnsi="Verdana"/>
          <w:sz w:val="20"/>
          <w:szCs w:val="20"/>
        </w:rPr>
      </w:pPr>
    </w:p>
    <w:p w14:paraId="4CDE9548" w14:textId="77777777" w:rsidR="00027066" w:rsidRPr="00B7700B" w:rsidRDefault="00027066" w:rsidP="00027066">
      <w:pPr>
        <w:spacing w:after="0" w:line="240" w:lineRule="auto"/>
        <w:rPr>
          <w:rFonts w:ascii="Verdana" w:hAnsi="Verdana"/>
          <w:b/>
          <w:sz w:val="20"/>
          <w:szCs w:val="20"/>
        </w:rPr>
      </w:pPr>
      <w:r w:rsidRPr="0040169C">
        <w:rPr>
          <w:rFonts w:ascii="Verdana" w:hAnsi="Verdana"/>
          <w:b/>
          <w:sz w:val="20"/>
          <w:szCs w:val="20"/>
        </w:rPr>
        <w:t>Video hearings</w:t>
      </w:r>
    </w:p>
    <w:p w14:paraId="1211CCA4" w14:textId="77777777" w:rsidR="00027066" w:rsidRPr="00B7700B" w:rsidRDefault="00027066" w:rsidP="00027066">
      <w:pPr>
        <w:spacing w:after="0" w:line="240" w:lineRule="auto"/>
        <w:rPr>
          <w:rFonts w:ascii="Verdana" w:hAnsi="Verdana"/>
          <w:b/>
          <w:sz w:val="20"/>
          <w:szCs w:val="20"/>
        </w:rPr>
      </w:pPr>
    </w:p>
    <w:p w14:paraId="4FE46F1E" w14:textId="77777777" w:rsidR="00027066" w:rsidRDefault="00027066" w:rsidP="00F576D9">
      <w:pPr>
        <w:pStyle w:val="ListParagraph"/>
        <w:numPr>
          <w:ilvl w:val="0"/>
          <w:numId w:val="15"/>
        </w:numPr>
        <w:spacing w:after="0" w:line="240" w:lineRule="auto"/>
        <w:ind w:left="709" w:hanging="709"/>
        <w:rPr>
          <w:rFonts w:ascii="Verdana" w:hAnsi="Verdana"/>
          <w:sz w:val="20"/>
          <w:szCs w:val="20"/>
        </w:rPr>
      </w:pPr>
      <w:r w:rsidRPr="00B7700B">
        <w:rPr>
          <w:rFonts w:ascii="Verdana" w:hAnsi="Verdana"/>
          <w:sz w:val="20"/>
          <w:szCs w:val="20"/>
        </w:rPr>
        <w:t xml:space="preserve">During hearings conducted by video-link, </w:t>
      </w:r>
      <w:r w:rsidR="0024119E">
        <w:rPr>
          <w:rFonts w:ascii="Verdana" w:hAnsi="Verdana"/>
          <w:sz w:val="20"/>
          <w:szCs w:val="20"/>
        </w:rPr>
        <w:t>where the observer is not in the same room as the patient</w:t>
      </w:r>
      <w:r w:rsidR="00A83140">
        <w:rPr>
          <w:rFonts w:ascii="Verdana" w:hAnsi="Verdana"/>
          <w:sz w:val="20"/>
          <w:szCs w:val="20"/>
        </w:rPr>
        <w:t xml:space="preserve"> or the Tribunal</w:t>
      </w:r>
      <w:r w:rsidR="0024119E">
        <w:rPr>
          <w:rFonts w:ascii="Verdana" w:hAnsi="Verdana"/>
          <w:sz w:val="20"/>
          <w:szCs w:val="20"/>
        </w:rPr>
        <w:t xml:space="preserve">, </w:t>
      </w:r>
      <w:r w:rsidRPr="00B7700B">
        <w:rPr>
          <w:rFonts w:ascii="Verdana" w:hAnsi="Verdana"/>
          <w:sz w:val="20"/>
          <w:szCs w:val="20"/>
        </w:rPr>
        <w:t xml:space="preserve">the observer </w:t>
      </w:r>
      <w:proofErr w:type="gramStart"/>
      <w:r w:rsidRPr="00B7700B">
        <w:rPr>
          <w:rFonts w:ascii="Verdana" w:hAnsi="Verdana"/>
          <w:sz w:val="20"/>
          <w:szCs w:val="20"/>
        </w:rPr>
        <w:t>shall remain on-screen at all times</w:t>
      </w:r>
      <w:proofErr w:type="gramEnd"/>
      <w:r w:rsidRPr="00B7700B">
        <w:rPr>
          <w:rFonts w:ascii="Verdana" w:hAnsi="Verdana"/>
          <w:sz w:val="20"/>
          <w:szCs w:val="20"/>
        </w:rPr>
        <w:t>.</w:t>
      </w:r>
    </w:p>
    <w:p w14:paraId="0987ACF1" w14:textId="77777777" w:rsidR="00E435E3" w:rsidRPr="00B7700B" w:rsidRDefault="00E435E3" w:rsidP="00E435E3">
      <w:pPr>
        <w:pStyle w:val="ListParagraph"/>
        <w:spacing w:after="0" w:line="240" w:lineRule="auto"/>
        <w:ind w:left="709"/>
        <w:rPr>
          <w:rFonts w:ascii="Verdana" w:hAnsi="Verdana"/>
          <w:sz w:val="20"/>
          <w:szCs w:val="20"/>
        </w:rPr>
      </w:pPr>
      <w:bookmarkStart w:id="0" w:name="_GoBack"/>
      <w:bookmarkEnd w:id="0"/>
    </w:p>
    <w:p w14:paraId="35024144" w14:textId="77777777" w:rsidR="00027066" w:rsidRPr="00B7700B" w:rsidRDefault="00027066" w:rsidP="00027066">
      <w:pPr>
        <w:pStyle w:val="ListParagraph"/>
        <w:spacing w:after="0" w:line="240" w:lineRule="auto"/>
        <w:ind w:left="0"/>
        <w:rPr>
          <w:rFonts w:ascii="Verdana" w:hAnsi="Verdana"/>
          <w:b/>
          <w:sz w:val="20"/>
          <w:szCs w:val="20"/>
        </w:rPr>
      </w:pPr>
      <w:r w:rsidRPr="00B7700B">
        <w:rPr>
          <w:rFonts w:ascii="Verdana" w:hAnsi="Verdana"/>
          <w:b/>
          <w:sz w:val="20"/>
          <w:szCs w:val="20"/>
        </w:rPr>
        <w:t>Written material</w:t>
      </w:r>
    </w:p>
    <w:p w14:paraId="328E8B85" w14:textId="77777777" w:rsidR="00027066" w:rsidRPr="00B7700B" w:rsidRDefault="00027066" w:rsidP="00027066">
      <w:pPr>
        <w:pStyle w:val="ListParagraph"/>
        <w:spacing w:after="0" w:line="240" w:lineRule="auto"/>
        <w:ind w:left="0"/>
        <w:rPr>
          <w:rFonts w:ascii="Verdana" w:hAnsi="Verdana"/>
          <w:sz w:val="20"/>
          <w:szCs w:val="20"/>
        </w:rPr>
      </w:pPr>
    </w:p>
    <w:p w14:paraId="218B418A" w14:textId="77777777" w:rsidR="00027066" w:rsidRPr="00B7700B" w:rsidRDefault="00027066" w:rsidP="00F576D9">
      <w:pPr>
        <w:pStyle w:val="ListParagraph"/>
        <w:numPr>
          <w:ilvl w:val="0"/>
          <w:numId w:val="15"/>
        </w:numPr>
        <w:spacing w:after="0" w:line="240" w:lineRule="auto"/>
        <w:ind w:left="709" w:hanging="709"/>
        <w:rPr>
          <w:rFonts w:ascii="Verdana" w:hAnsi="Verdana"/>
          <w:sz w:val="20"/>
          <w:szCs w:val="20"/>
        </w:rPr>
      </w:pPr>
      <w:r w:rsidRPr="00B7700B">
        <w:rPr>
          <w:rFonts w:ascii="Verdana" w:hAnsi="Verdana"/>
          <w:sz w:val="20"/>
          <w:szCs w:val="20"/>
        </w:rPr>
        <w:t xml:space="preserve">Access </w:t>
      </w:r>
      <w:r w:rsidR="005B27E5">
        <w:rPr>
          <w:rFonts w:ascii="Verdana" w:hAnsi="Verdana"/>
          <w:sz w:val="20"/>
          <w:szCs w:val="20"/>
        </w:rPr>
        <w:t xml:space="preserve">by the observer </w:t>
      </w:r>
      <w:r w:rsidRPr="00B7700B">
        <w:rPr>
          <w:rFonts w:ascii="Verdana" w:hAnsi="Verdana"/>
          <w:sz w:val="20"/>
          <w:szCs w:val="20"/>
        </w:rPr>
        <w:t xml:space="preserve">to the written material </w:t>
      </w:r>
      <w:r w:rsidR="003A76C9">
        <w:rPr>
          <w:rFonts w:ascii="Verdana" w:hAnsi="Verdana"/>
          <w:sz w:val="20"/>
          <w:szCs w:val="20"/>
        </w:rPr>
        <w:t>prepared</w:t>
      </w:r>
      <w:r w:rsidRPr="00B7700B">
        <w:rPr>
          <w:rFonts w:ascii="Verdana" w:hAnsi="Verdana"/>
          <w:sz w:val="20"/>
          <w:szCs w:val="20"/>
        </w:rPr>
        <w:t xml:space="preserve"> by the designated mental health service </w:t>
      </w:r>
      <w:r w:rsidR="003A76C9">
        <w:rPr>
          <w:rFonts w:ascii="Verdana" w:hAnsi="Verdana"/>
          <w:sz w:val="20"/>
          <w:szCs w:val="20"/>
        </w:rPr>
        <w:t xml:space="preserve">for the purpose of the hearing </w:t>
      </w:r>
      <w:r w:rsidRPr="00B7700B">
        <w:rPr>
          <w:rFonts w:ascii="Verdana" w:hAnsi="Verdana"/>
          <w:sz w:val="20"/>
          <w:szCs w:val="20"/>
        </w:rPr>
        <w:t xml:space="preserve">is at the discretion of the </w:t>
      </w:r>
      <w:r w:rsidR="00665EE5">
        <w:rPr>
          <w:rFonts w:ascii="Verdana" w:hAnsi="Verdana"/>
          <w:sz w:val="20"/>
          <w:szCs w:val="20"/>
        </w:rPr>
        <w:t xml:space="preserve">designated </w:t>
      </w:r>
      <w:r w:rsidRPr="00B7700B">
        <w:rPr>
          <w:rFonts w:ascii="Verdana" w:hAnsi="Verdana"/>
          <w:sz w:val="20"/>
          <w:szCs w:val="20"/>
        </w:rPr>
        <w:t>mental health service.</w:t>
      </w:r>
    </w:p>
    <w:p w14:paraId="765E04E6" w14:textId="77777777" w:rsidR="00027066" w:rsidRPr="00B7700B" w:rsidRDefault="00027066" w:rsidP="00C8633D">
      <w:pPr>
        <w:pStyle w:val="ListParagraph"/>
        <w:spacing w:after="0" w:line="240" w:lineRule="auto"/>
        <w:ind w:left="0"/>
        <w:rPr>
          <w:rFonts w:ascii="Verdana" w:hAnsi="Verdana"/>
          <w:sz w:val="20"/>
          <w:szCs w:val="20"/>
        </w:rPr>
      </w:pPr>
    </w:p>
    <w:p w14:paraId="0FEEED7C" w14:textId="77777777" w:rsidR="006B046E" w:rsidRPr="00B7700B" w:rsidRDefault="006B046E" w:rsidP="00C8633D">
      <w:pPr>
        <w:pStyle w:val="ListParagraph"/>
        <w:spacing w:after="0" w:line="240" w:lineRule="auto"/>
        <w:ind w:left="0"/>
        <w:rPr>
          <w:rFonts w:ascii="Verdana" w:hAnsi="Verdana"/>
          <w:b/>
          <w:sz w:val="20"/>
          <w:szCs w:val="20"/>
        </w:rPr>
      </w:pPr>
      <w:r w:rsidRPr="00B7700B">
        <w:rPr>
          <w:rFonts w:ascii="Verdana" w:hAnsi="Verdana"/>
          <w:b/>
          <w:sz w:val="20"/>
          <w:szCs w:val="20"/>
        </w:rPr>
        <w:t>Tribunal’s deliberations</w:t>
      </w:r>
      <w:r w:rsidR="00AA6C43" w:rsidRPr="00B7700B">
        <w:rPr>
          <w:rFonts w:ascii="Verdana" w:hAnsi="Verdana"/>
          <w:b/>
          <w:sz w:val="20"/>
          <w:szCs w:val="20"/>
        </w:rPr>
        <w:t xml:space="preserve"> and decision</w:t>
      </w:r>
    </w:p>
    <w:p w14:paraId="5C196053" w14:textId="77777777" w:rsidR="006B046E" w:rsidRPr="00B7700B" w:rsidRDefault="006B046E" w:rsidP="00C8633D">
      <w:pPr>
        <w:pStyle w:val="ListParagraph"/>
        <w:spacing w:after="0" w:line="240" w:lineRule="auto"/>
        <w:ind w:left="0"/>
        <w:rPr>
          <w:rFonts w:ascii="Verdana" w:hAnsi="Verdana"/>
          <w:b/>
          <w:sz w:val="20"/>
          <w:szCs w:val="20"/>
        </w:rPr>
      </w:pPr>
    </w:p>
    <w:p w14:paraId="5491256B" w14:textId="77777777" w:rsidR="006B046E" w:rsidRDefault="006B046E" w:rsidP="00F576D9">
      <w:pPr>
        <w:pStyle w:val="ListParagraph"/>
        <w:numPr>
          <w:ilvl w:val="0"/>
          <w:numId w:val="15"/>
        </w:numPr>
        <w:spacing w:after="0" w:line="240" w:lineRule="auto"/>
        <w:ind w:left="709" w:hanging="709"/>
        <w:rPr>
          <w:rFonts w:ascii="Verdana" w:hAnsi="Verdana"/>
          <w:sz w:val="20"/>
          <w:szCs w:val="20"/>
        </w:rPr>
      </w:pPr>
      <w:r w:rsidRPr="00B7700B">
        <w:rPr>
          <w:rFonts w:ascii="Verdana" w:hAnsi="Verdana"/>
          <w:sz w:val="20"/>
          <w:szCs w:val="20"/>
        </w:rPr>
        <w:t xml:space="preserve">An observer should not remain in the hearing room while the </w:t>
      </w:r>
      <w:r w:rsidR="00B22155">
        <w:rPr>
          <w:rFonts w:ascii="Verdana" w:hAnsi="Verdana"/>
          <w:sz w:val="20"/>
          <w:szCs w:val="20"/>
        </w:rPr>
        <w:t xml:space="preserve">Tribunal members are </w:t>
      </w:r>
      <w:r w:rsidRPr="00B7700B">
        <w:rPr>
          <w:rFonts w:ascii="Verdana" w:hAnsi="Verdana"/>
          <w:sz w:val="20"/>
          <w:szCs w:val="20"/>
        </w:rPr>
        <w:t xml:space="preserve">deliberating and discussing </w:t>
      </w:r>
      <w:r w:rsidR="00B22155">
        <w:rPr>
          <w:rFonts w:ascii="Verdana" w:hAnsi="Verdana"/>
          <w:sz w:val="20"/>
          <w:szCs w:val="20"/>
        </w:rPr>
        <w:t>their</w:t>
      </w:r>
      <w:r w:rsidRPr="00B7700B">
        <w:rPr>
          <w:rFonts w:ascii="Verdana" w:hAnsi="Verdana"/>
          <w:sz w:val="20"/>
          <w:szCs w:val="20"/>
        </w:rPr>
        <w:t xml:space="preserve"> decision.</w:t>
      </w:r>
    </w:p>
    <w:p w14:paraId="5F556ED5" w14:textId="77777777" w:rsidR="00A24342" w:rsidRPr="00B7700B" w:rsidRDefault="00A24342" w:rsidP="00A24342">
      <w:pPr>
        <w:pStyle w:val="ListParagraph"/>
        <w:spacing w:after="0" w:line="240" w:lineRule="auto"/>
        <w:ind w:left="709"/>
        <w:rPr>
          <w:rFonts w:ascii="Verdana" w:hAnsi="Verdana"/>
          <w:sz w:val="20"/>
          <w:szCs w:val="20"/>
        </w:rPr>
      </w:pPr>
    </w:p>
    <w:p w14:paraId="6B89CFF9" w14:textId="77777777" w:rsidR="00B6562C" w:rsidRPr="00B7700B" w:rsidRDefault="00B6562C" w:rsidP="00C8633D">
      <w:pPr>
        <w:spacing w:after="0" w:line="240" w:lineRule="auto"/>
        <w:rPr>
          <w:rFonts w:ascii="Verdana" w:hAnsi="Verdana"/>
          <w:vanish/>
          <w:sz w:val="20"/>
          <w:szCs w:val="20"/>
        </w:rPr>
      </w:pPr>
    </w:p>
    <w:p w14:paraId="20FC6132" w14:textId="77777777" w:rsidR="006B046E" w:rsidRPr="00F576D9" w:rsidRDefault="006B046E" w:rsidP="00F576D9">
      <w:pPr>
        <w:pStyle w:val="ListParagraph"/>
        <w:numPr>
          <w:ilvl w:val="0"/>
          <w:numId w:val="15"/>
        </w:numPr>
        <w:spacing w:after="0" w:line="240" w:lineRule="auto"/>
        <w:ind w:left="709" w:hanging="709"/>
        <w:rPr>
          <w:rFonts w:ascii="Verdana" w:hAnsi="Verdana"/>
          <w:sz w:val="20"/>
          <w:szCs w:val="20"/>
        </w:rPr>
      </w:pPr>
      <w:r w:rsidRPr="00F576D9">
        <w:rPr>
          <w:rFonts w:ascii="Verdana" w:hAnsi="Verdana"/>
          <w:sz w:val="20"/>
          <w:szCs w:val="20"/>
        </w:rPr>
        <w:t xml:space="preserve">The observer may be present when the </w:t>
      </w:r>
      <w:r w:rsidR="00B22155">
        <w:rPr>
          <w:rFonts w:ascii="Verdana" w:hAnsi="Verdana"/>
          <w:sz w:val="20"/>
          <w:szCs w:val="20"/>
        </w:rPr>
        <w:t xml:space="preserve">Tribunal </w:t>
      </w:r>
      <w:r w:rsidRPr="00F576D9">
        <w:rPr>
          <w:rFonts w:ascii="Verdana" w:hAnsi="Verdana"/>
          <w:sz w:val="20"/>
          <w:szCs w:val="20"/>
        </w:rPr>
        <w:t>delivers its oral decision.</w:t>
      </w:r>
    </w:p>
    <w:p w14:paraId="0D2977A2" w14:textId="77777777" w:rsidR="00A81A40" w:rsidRPr="00B7700B" w:rsidRDefault="00A81A40" w:rsidP="00C8633D">
      <w:pPr>
        <w:pStyle w:val="ListParagraph"/>
        <w:spacing w:after="0" w:line="240" w:lineRule="auto"/>
        <w:ind w:left="0"/>
        <w:rPr>
          <w:rFonts w:ascii="Verdana" w:hAnsi="Verdana"/>
          <w:sz w:val="20"/>
          <w:szCs w:val="20"/>
        </w:rPr>
      </w:pPr>
    </w:p>
    <w:p w14:paraId="0ADF4BBC" w14:textId="77777777" w:rsidR="008B6582" w:rsidRDefault="008B6582" w:rsidP="00C8633D">
      <w:pPr>
        <w:pStyle w:val="ListParagraph"/>
        <w:spacing w:after="0" w:line="240" w:lineRule="auto"/>
        <w:ind w:left="0"/>
        <w:jc w:val="center"/>
        <w:rPr>
          <w:rFonts w:ascii="Verdana" w:hAnsi="Verdana"/>
          <w:sz w:val="20"/>
          <w:szCs w:val="20"/>
        </w:rPr>
      </w:pPr>
      <w:r w:rsidRPr="00B7700B">
        <w:rPr>
          <w:rFonts w:ascii="Verdana" w:hAnsi="Verdana"/>
          <w:sz w:val="20"/>
          <w:szCs w:val="20"/>
        </w:rPr>
        <w:t>END OF PRACTICE NOTE</w:t>
      </w:r>
    </w:p>
    <w:p w14:paraId="33692285" w14:textId="77777777" w:rsidR="00873E6C" w:rsidRDefault="00873E6C" w:rsidP="00C8633D">
      <w:pPr>
        <w:pStyle w:val="ListParagraph"/>
        <w:spacing w:after="0" w:line="240" w:lineRule="auto"/>
        <w:ind w:left="0"/>
        <w:jc w:val="center"/>
        <w:rPr>
          <w:rFonts w:ascii="Verdana" w:hAnsi="Verdana"/>
          <w:sz w:val="20"/>
          <w:szCs w:val="20"/>
        </w:rPr>
      </w:pPr>
    </w:p>
    <w:p w14:paraId="635E1D22" w14:textId="77777777" w:rsidR="00C25114" w:rsidRDefault="00873E6C" w:rsidP="00CF1B28">
      <w:pPr>
        <w:ind w:left="-142"/>
        <w:rPr>
          <w:rFonts w:ascii="Verdana" w:hAnsi="Verdana"/>
          <w:sz w:val="20"/>
          <w:szCs w:val="20"/>
        </w:rPr>
      </w:pPr>
      <w:r>
        <w:rPr>
          <w:rFonts w:ascii="Verdana" w:hAnsi="Verdana"/>
          <w:sz w:val="20"/>
          <w:szCs w:val="20"/>
        </w:rPr>
        <w:br w:type="page"/>
      </w:r>
      <w:r w:rsidR="00F416D6">
        <w:rPr>
          <w:noProof/>
        </w:rPr>
        <w:lastRenderedPageBreak/>
        <w:pict w14:anchorId="1ED16F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left:0;text-align:left;margin-left:381.3pt;margin-top:40.25pt;width:161pt;height:73.1pt;z-index:-251659776;visibility:visible;mso-position-horizontal-relative:page;mso-position-vertical-relative:page">
            <v:imagedata r:id="rId8" o:title=""/>
            <w10:wrap type="square" anchorx="page" anchory="page"/>
          </v:shape>
        </w:pict>
      </w:r>
      <w:r w:rsidR="00C25114">
        <w:rPr>
          <w:rFonts w:ascii="Verdana" w:hAnsi="Verdana"/>
          <w:sz w:val="20"/>
          <w:szCs w:val="20"/>
        </w:rPr>
        <w:t>APPENDIX 1</w:t>
      </w:r>
    </w:p>
    <w:p w14:paraId="2C9092DF" w14:textId="77777777" w:rsidR="00873E6C" w:rsidRPr="00CF1B28" w:rsidRDefault="00CF1B28" w:rsidP="00CF1B28">
      <w:pPr>
        <w:spacing w:after="0" w:line="240" w:lineRule="auto"/>
        <w:ind w:left="-142"/>
        <w:rPr>
          <w:rFonts w:ascii="Verdana" w:hAnsi="Verdana"/>
          <w:sz w:val="20"/>
          <w:szCs w:val="20"/>
        </w:rPr>
      </w:pPr>
      <w:r>
        <w:rPr>
          <w:noProof/>
        </w:rPr>
        <w:pict w14:anchorId="63B3596F">
          <v:shape id="Picture 42" o:spid="_x0000_s1027" type="#_x0000_t75" style="position:absolute;left:0;text-align:left;margin-left:-46pt;margin-top:-22.45pt;width:29.85pt;height:70.6pt;z-index:-251658752;visibility:visible">
            <v:imagedata r:id="rId9" o:title=""/>
          </v:shape>
        </w:pict>
      </w:r>
      <w:r>
        <w:rPr>
          <w:rFonts w:ascii="Verdana" w:hAnsi="Verdana"/>
          <w:b/>
          <w:noProof/>
          <w:sz w:val="20"/>
          <w:szCs w:val="20"/>
          <w:lang w:eastAsia="en-AU"/>
        </w:rPr>
        <w:pict w14:anchorId="727AE624">
          <v:shapetype id="_x0000_t202" coordsize="21600,21600" o:spt="202" path="m,l,21600r21600,l21600,xe">
            <v:stroke joinstyle="miter"/>
            <v:path gradientshapeok="t" o:connecttype="rect"/>
          </v:shapetype>
          <v:shape id="_x0000_s1028" type="#_x0000_t202" style="position:absolute;left:0;text-align:left;margin-left:552.95pt;margin-top:509.2pt;width:30.6pt;height:280.75pt;z-index:-251657728;mso-position-horizontal-relative:page;mso-position-vertical-relative:page" stroked="f">
            <v:textbox style="layout-flow:vertical;mso-next-textbox:#_x0000_s1028">
              <w:txbxContent>
                <w:p w14:paraId="27371195" w14:textId="77777777" w:rsidR="00CF1B28" w:rsidRPr="00846E79" w:rsidRDefault="00CF1B28" w:rsidP="00CF1B28">
                  <w:pPr>
                    <w:rPr>
                      <w:rFonts w:ascii="Arial" w:hAnsi="Arial" w:cs="Arial"/>
                      <w:b/>
                      <w:sz w:val="20"/>
                      <w:szCs w:val="20"/>
                    </w:rPr>
                  </w:pPr>
                  <w:r>
                    <w:rPr>
                      <w:rFonts w:ascii="Arial" w:hAnsi="Arial" w:cs="Arial"/>
                      <w:b/>
                      <w:sz w:val="20"/>
                      <w:szCs w:val="20"/>
                    </w:rPr>
                    <w:t>Request to observe Tribunal hearings</w:t>
                  </w:r>
                  <w:r>
                    <w:rPr>
                      <w:rFonts w:ascii="Arial" w:hAnsi="Arial" w:cs="Arial"/>
                      <w:b/>
                      <w:sz w:val="20"/>
                      <w:szCs w:val="20"/>
                    </w:rPr>
                    <w:tab/>
                  </w:r>
                  <w:r>
                    <w:rPr>
                      <w:rFonts w:ascii="Arial" w:hAnsi="Arial" w:cs="Arial"/>
                      <w:b/>
                      <w:sz w:val="20"/>
                      <w:szCs w:val="20"/>
                    </w:rPr>
                    <w:tab/>
                    <w:t>MHT 35</w:t>
                  </w:r>
                </w:p>
                <w:p w14:paraId="06AA4BC3" w14:textId="77777777" w:rsidR="00CF1B28" w:rsidRPr="00846E79" w:rsidRDefault="00CF1B28" w:rsidP="00CF1B28">
                  <w:pPr>
                    <w:rPr>
                      <w:rFonts w:ascii="Arial" w:hAnsi="Arial" w:cs="Arial"/>
                      <w:b/>
                      <w:sz w:val="20"/>
                      <w:szCs w:val="20"/>
                    </w:rPr>
                  </w:pPr>
                </w:p>
              </w:txbxContent>
            </v:textbox>
            <w10:wrap anchorx="page" anchory="page"/>
            <w10:anchorlock/>
          </v:shape>
        </w:pict>
      </w:r>
      <w:r w:rsidR="00C25114" w:rsidRPr="00C25114">
        <w:rPr>
          <w:rFonts w:ascii="Verdana" w:hAnsi="Verdana"/>
          <w:b/>
          <w:sz w:val="20"/>
          <w:szCs w:val="20"/>
        </w:rPr>
        <w:t>REQUEST</w:t>
      </w:r>
      <w:r w:rsidR="00873E6C" w:rsidRPr="00C25114">
        <w:rPr>
          <w:rFonts w:ascii="Verdana" w:hAnsi="Verdana"/>
          <w:b/>
          <w:sz w:val="20"/>
          <w:szCs w:val="20"/>
        </w:rPr>
        <w:t xml:space="preserve"> </w:t>
      </w:r>
      <w:r w:rsidR="007D77DB">
        <w:rPr>
          <w:rFonts w:ascii="Verdana" w:hAnsi="Verdana"/>
          <w:b/>
          <w:sz w:val="20"/>
          <w:szCs w:val="20"/>
        </w:rPr>
        <w:t>TO OBSERVE</w:t>
      </w:r>
      <w:r w:rsidR="00492793">
        <w:rPr>
          <w:rFonts w:ascii="Verdana" w:hAnsi="Verdana"/>
          <w:b/>
          <w:sz w:val="20"/>
          <w:szCs w:val="20"/>
        </w:rPr>
        <w:t xml:space="preserve"> HEARING</w:t>
      </w:r>
      <w:r w:rsidR="00F13DB1">
        <w:rPr>
          <w:rFonts w:ascii="Verdana" w:hAnsi="Verdana"/>
          <w:b/>
          <w:sz w:val="20"/>
          <w:szCs w:val="20"/>
        </w:rPr>
        <w:t>S</w:t>
      </w:r>
    </w:p>
    <w:p w14:paraId="415F2F9B" w14:textId="77777777" w:rsidR="0054204B" w:rsidRDefault="0054204B" w:rsidP="00C25114">
      <w:pPr>
        <w:pStyle w:val="ListParagraph"/>
        <w:spacing w:after="0" w:line="240" w:lineRule="auto"/>
        <w:ind w:left="0"/>
        <w:rPr>
          <w:rFonts w:ascii="Verdana" w:hAnsi="Verdana"/>
          <w:sz w:val="20"/>
          <w:szCs w:val="20"/>
        </w:rPr>
      </w:pPr>
    </w:p>
    <w:p w14:paraId="7BB228CB" w14:textId="77777777" w:rsidR="00751269" w:rsidRDefault="00751269" w:rsidP="00C25114">
      <w:pPr>
        <w:pStyle w:val="ListParagraph"/>
        <w:spacing w:after="0" w:line="240" w:lineRule="auto"/>
        <w:ind w:left="0"/>
        <w:rPr>
          <w:rFonts w:ascii="Verdana" w:hAnsi="Verdana"/>
          <w:sz w:val="20"/>
          <w:szCs w:val="2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15"/>
        <w:gridCol w:w="123"/>
        <w:gridCol w:w="4424"/>
        <w:gridCol w:w="1221"/>
        <w:gridCol w:w="1603"/>
      </w:tblGrid>
      <w:tr w:rsidR="008E3D59" w:rsidRPr="00F416D6" w14:paraId="441E93E1" w14:textId="77777777" w:rsidTr="000619CB">
        <w:trPr>
          <w:trHeight w:val="192"/>
        </w:trPr>
        <w:tc>
          <w:tcPr>
            <w:tcW w:w="1985" w:type="dxa"/>
            <w:gridSpan w:val="2"/>
          </w:tcPr>
          <w:p w14:paraId="7CD3EBA1" w14:textId="77777777" w:rsidR="008E3D59" w:rsidRPr="00F416D6" w:rsidRDefault="008E3D59" w:rsidP="00492793">
            <w:pPr>
              <w:pStyle w:val="ListParagraph"/>
              <w:spacing w:before="60" w:after="60" w:line="240" w:lineRule="auto"/>
              <w:ind w:left="0"/>
              <w:contextualSpacing w:val="0"/>
              <w:rPr>
                <w:rFonts w:ascii="Verdana" w:hAnsi="Verdana"/>
                <w:sz w:val="20"/>
                <w:szCs w:val="20"/>
              </w:rPr>
            </w:pPr>
            <w:r w:rsidRPr="00F416D6">
              <w:rPr>
                <w:rFonts w:ascii="Verdana" w:hAnsi="Verdana"/>
                <w:b/>
                <w:sz w:val="20"/>
                <w:szCs w:val="20"/>
              </w:rPr>
              <w:t>Name</w:t>
            </w:r>
          </w:p>
        </w:tc>
        <w:tc>
          <w:tcPr>
            <w:tcW w:w="7371" w:type="dxa"/>
            <w:gridSpan w:val="4"/>
          </w:tcPr>
          <w:p w14:paraId="6903714D" w14:textId="77777777" w:rsidR="008E3D59" w:rsidRPr="00F416D6" w:rsidRDefault="008E3D59" w:rsidP="00492793">
            <w:pPr>
              <w:pStyle w:val="ListParagraph"/>
              <w:spacing w:before="60" w:after="60" w:line="240" w:lineRule="auto"/>
              <w:ind w:left="0"/>
              <w:contextualSpacing w:val="0"/>
              <w:rPr>
                <w:rFonts w:ascii="Verdana" w:hAnsi="Verdana"/>
                <w:sz w:val="20"/>
                <w:szCs w:val="20"/>
              </w:rPr>
            </w:pPr>
          </w:p>
        </w:tc>
      </w:tr>
      <w:tr w:rsidR="008E3D59" w:rsidRPr="00F416D6" w14:paraId="35DA8E8F" w14:textId="77777777" w:rsidTr="000619CB">
        <w:trPr>
          <w:trHeight w:val="224"/>
        </w:trPr>
        <w:tc>
          <w:tcPr>
            <w:tcW w:w="1985" w:type="dxa"/>
            <w:gridSpan w:val="2"/>
          </w:tcPr>
          <w:p w14:paraId="641BF0B5" w14:textId="77777777" w:rsidR="008E3D59" w:rsidRPr="00F416D6" w:rsidRDefault="008E3D59" w:rsidP="00492793">
            <w:pPr>
              <w:pStyle w:val="ListParagraph"/>
              <w:spacing w:before="60" w:after="60" w:line="240" w:lineRule="auto"/>
              <w:ind w:left="0"/>
              <w:contextualSpacing w:val="0"/>
              <w:rPr>
                <w:rFonts w:ascii="Verdana" w:hAnsi="Verdana"/>
                <w:sz w:val="20"/>
                <w:szCs w:val="20"/>
              </w:rPr>
            </w:pPr>
            <w:r w:rsidRPr="00F416D6">
              <w:rPr>
                <w:rFonts w:ascii="Verdana" w:hAnsi="Verdana"/>
                <w:b/>
                <w:sz w:val="20"/>
                <w:szCs w:val="20"/>
              </w:rPr>
              <w:t>Address</w:t>
            </w:r>
          </w:p>
        </w:tc>
        <w:tc>
          <w:tcPr>
            <w:tcW w:w="7371" w:type="dxa"/>
            <w:gridSpan w:val="4"/>
          </w:tcPr>
          <w:p w14:paraId="1EEE4505" w14:textId="77777777" w:rsidR="008E3D59" w:rsidRPr="00F416D6" w:rsidRDefault="008E3D59" w:rsidP="00492793">
            <w:pPr>
              <w:pStyle w:val="ListParagraph"/>
              <w:spacing w:before="60" w:after="60" w:line="240" w:lineRule="auto"/>
              <w:ind w:left="0"/>
              <w:contextualSpacing w:val="0"/>
              <w:rPr>
                <w:rFonts w:ascii="Verdana" w:hAnsi="Verdana"/>
                <w:sz w:val="20"/>
                <w:szCs w:val="20"/>
              </w:rPr>
            </w:pPr>
          </w:p>
        </w:tc>
      </w:tr>
      <w:tr w:rsidR="008E3D59" w:rsidRPr="00F416D6" w14:paraId="6C7454D7" w14:textId="77777777" w:rsidTr="000619CB">
        <w:trPr>
          <w:trHeight w:val="397"/>
        </w:trPr>
        <w:tc>
          <w:tcPr>
            <w:tcW w:w="1985" w:type="dxa"/>
            <w:gridSpan w:val="2"/>
          </w:tcPr>
          <w:p w14:paraId="1C9BD134" w14:textId="77777777" w:rsidR="008E3D59" w:rsidRPr="00F416D6" w:rsidRDefault="008E3D59" w:rsidP="00492793">
            <w:pPr>
              <w:pStyle w:val="ListParagraph"/>
              <w:spacing w:before="60" w:after="60" w:line="240" w:lineRule="auto"/>
              <w:ind w:left="0"/>
              <w:contextualSpacing w:val="0"/>
              <w:rPr>
                <w:rFonts w:ascii="Verdana" w:hAnsi="Verdana"/>
                <w:sz w:val="20"/>
                <w:szCs w:val="20"/>
              </w:rPr>
            </w:pPr>
            <w:r w:rsidRPr="00F416D6">
              <w:rPr>
                <w:rFonts w:ascii="Verdana" w:hAnsi="Verdana"/>
                <w:b/>
                <w:sz w:val="20"/>
                <w:szCs w:val="20"/>
              </w:rPr>
              <w:t>Position/ occupation</w:t>
            </w:r>
          </w:p>
        </w:tc>
        <w:tc>
          <w:tcPr>
            <w:tcW w:w="7371" w:type="dxa"/>
            <w:gridSpan w:val="4"/>
          </w:tcPr>
          <w:p w14:paraId="20B575C9" w14:textId="77777777" w:rsidR="008E3D59" w:rsidRPr="00F416D6" w:rsidRDefault="008E3D59" w:rsidP="00492793">
            <w:pPr>
              <w:pStyle w:val="ListParagraph"/>
              <w:spacing w:before="60" w:after="60" w:line="240" w:lineRule="auto"/>
              <w:ind w:left="0"/>
              <w:contextualSpacing w:val="0"/>
              <w:rPr>
                <w:rFonts w:ascii="Verdana" w:hAnsi="Verdana"/>
                <w:sz w:val="20"/>
                <w:szCs w:val="20"/>
              </w:rPr>
            </w:pPr>
          </w:p>
        </w:tc>
      </w:tr>
      <w:tr w:rsidR="008E3D59" w:rsidRPr="00F416D6" w14:paraId="56B8B8BB" w14:textId="77777777" w:rsidTr="000619CB">
        <w:trPr>
          <w:trHeight w:val="333"/>
        </w:trPr>
        <w:tc>
          <w:tcPr>
            <w:tcW w:w="1985" w:type="dxa"/>
            <w:gridSpan w:val="2"/>
          </w:tcPr>
          <w:p w14:paraId="45E7BE7B" w14:textId="77777777" w:rsidR="008E3D59" w:rsidRPr="00F416D6" w:rsidRDefault="008E3D59" w:rsidP="00492793">
            <w:pPr>
              <w:pStyle w:val="ListParagraph"/>
              <w:spacing w:before="60" w:after="60" w:line="240" w:lineRule="auto"/>
              <w:ind w:left="0"/>
              <w:contextualSpacing w:val="0"/>
              <w:rPr>
                <w:rFonts w:ascii="Verdana" w:hAnsi="Verdana"/>
                <w:sz w:val="20"/>
                <w:szCs w:val="20"/>
              </w:rPr>
            </w:pPr>
            <w:r w:rsidRPr="00F416D6">
              <w:rPr>
                <w:rFonts w:ascii="Verdana" w:hAnsi="Verdana"/>
                <w:b/>
                <w:sz w:val="20"/>
                <w:szCs w:val="20"/>
              </w:rPr>
              <w:t>Employer/ place of study</w:t>
            </w:r>
          </w:p>
        </w:tc>
        <w:tc>
          <w:tcPr>
            <w:tcW w:w="7371" w:type="dxa"/>
            <w:gridSpan w:val="4"/>
          </w:tcPr>
          <w:p w14:paraId="6683509E" w14:textId="77777777" w:rsidR="008E3D59" w:rsidRPr="00F416D6" w:rsidRDefault="008E3D59" w:rsidP="00492793">
            <w:pPr>
              <w:pStyle w:val="ListParagraph"/>
              <w:spacing w:before="60" w:after="60" w:line="240" w:lineRule="auto"/>
              <w:ind w:left="0"/>
              <w:contextualSpacing w:val="0"/>
              <w:rPr>
                <w:rFonts w:ascii="Verdana" w:hAnsi="Verdana"/>
                <w:sz w:val="20"/>
                <w:szCs w:val="20"/>
              </w:rPr>
            </w:pPr>
          </w:p>
        </w:tc>
      </w:tr>
      <w:tr w:rsidR="008E3D59" w:rsidRPr="00F416D6" w14:paraId="36A7E240" w14:textId="77777777" w:rsidTr="000619CB">
        <w:trPr>
          <w:trHeight w:val="599"/>
        </w:trPr>
        <w:tc>
          <w:tcPr>
            <w:tcW w:w="9356" w:type="dxa"/>
            <w:gridSpan w:val="6"/>
          </w:tcPr>
          <w:p w14:paraId="0793B707" w14:textId="77777777" w:rsidR="008E3D59" w:rsidRPr="00F416D6" w:rsidRDefault="008E3D59" w:rsidP="00A5772A">
            <w:pPr>
              <w:pStyle w:val="ListParagraph"/>
              <w:spacing w:before="60" w:after="60"/>
              <w:ind w:left="0"/>
              <w:contextualSpacing w:val="0"/>
              <w:jc w:val="both"/>
              <w:rPr>
                <w:rFonts w:ascii="Verdana" w:hAnsi="Verdana"/>
                <w:sz w:val="20"/>
                <w:szCs w:val="20"/>
              </w:rPr>
            </w:pPr>
            <w:r w:rsidRPr="00F416D6">
              <w:rPr>
                <w:rFonts w:ascii="Verdana" w:hAnsi="Verdana"/>
                <w:sz w:val="20"/>
                <w:szCs w:val="20"/>
              </w:rPr>
              <w:t>I request to observe a Mental Health Tribunal hearing. The reason I seek to be an observer is:</w:t>
            </w:r>
          </w:p>
          <w:p w14:paraId="48E139E5" w14:textId="77777777" w:rsidR="008E3D59" w:rsidRPr="00F416D6" w:rsidRDefault="008E3D59" w:rsidP="00492793">
            <w:pPr>
              <w:pStyle w:val="ListParagraph"/>
              <w:spacing w:before="60" w:after="60"/>
              <w:ind w:left="0"/>
              <w:contextualSpacing w:val="0"/>
              <w:rPr>
                <w:rFonts w:ascii="Verdana" w:hAnsi="Verdana"/>
                <w:sz w:val="20"/>
                <w:szCs w:val="20"/>
              </w:rPr>
            </w:pPr>
          </w:p>
          <w:p w14:paraId="0376E26F" w14:textId="77777777" w:rsidR="008E3D59" w:rsidRPr="00F416D6" w:rsidRDefault="008E3D59" w:rsidP="00492793">
            <w:pPr>
              <w:pStyle w:val="ListParagraph"/>
              <w:spacing w:before="60" w:after="60"/>
              <w:ind w:left="0"/>
              <w:contextualSpacing w:val="0"/>
              <w:rPr>
                <w:rFonts w:ascii="Verdana" w:hAnsi="Verdana"/>
                <w:sz w:val="20"/>
                <w:szCs w:val="20"/>
              </w:rPr>
            </w:pPr>
          </w:p>
          <w:p w14:paraId="02D96072" w14:textId="77777777" w:rsidR="008E3D59" w:rsidRPr="00F416D6" w:rsidRDefault="008E3D59" w:rsidP="00492793">
            <w:pPr>
              <w:pStyle w:val="ListParagraph"/>
              <w:spacing w:before="60" w:after="60"/>
              <w:ind w:left="0"/>
              <w:contextualSpacing w:val="0"/>
              <w:rPr>
                <w:rFonts w:ascii="Verdana" w:hAnsi="Verdana"/>
                <w:sz w:val="20"/>
                <w:szCs w:val="20"/>
              </w:rPr>
            </w:pPr>
          </w:p>
          <w:p w14:paraId="685597A7" w14:textId="77777777" w:rsidR="008E3D59" w:rsidRPr="00F416D6" w:rsidRDefault="008E3D59" w:rsidP="00492793">
            <w:pPr>
              <w:pStyle w:val="ListParagraph"/>
              <w:spacing w:before="60" w:after="60" w:line="240" w:lineRule="auto"/>
              <w:ind w:left="0"/>
              <w:contextualSpacing w:val="0"/>
              <w:rPr>
                <w:rFonts w:ascii="Verdana" w:hAnsi="Verdana"/>
                <w:sz w:val="20"/>
                <w:szCs w:val="20"/>
              </w:rPr>
            </w:pPr>
          </w:p>
        </w:tc>
      </w:tr>
      <w:tr w:rsidR="008E3D59" w:rsidRPr="00F416D6" w14:paraId="3C9A11B7" w14:textId="77777777" w:rsidTr="000619CB">
        <w:trPr>
          <w:trHeight w:val="166"/>
        </w:trPr>
        <w:tc>
          <w:tcPr>
            <w:tcW w:w="9356" w:type="dxa"/>
            <w:gridSpan w:val="6"/>
          </w:tcPr>
          <w:p w14:paraId="619F700A" w14:textId="77777777" w:rsidR="008E3D59" w:rsidRPr="00F416D6" w:rsidRDefault="008E3D59" w:rsidP="00492793">
            <w:pPr>
              <w:pStyle w:val="ListParagraph"/>
              <w:spacing w:before="60" w:after="60" w:line="240" w:lineRule="auto"/>
              <w:ind w:left="0"/>
              <w:contextualSpacing w:val="0"/>
              <w:rPr>
                <w:rFonts w:ascii="Verdana" w:hAnsi="Verdana"/>
                <w:sz w:val="20"/>
                <w:szCs w:val="20"/>
              </w:rPr>
            </w:pPr>
            <w:r w:rsidRPr="00F416D6">
              <w:rPr>
                <w:rFonts w:ascii="Verdana" w:hAnsi="Verdana"/>
                <w:sz w:val="20"/>
                <w:szCs w:val="20"/>
              </w:rPr>
              <w:t>I request to observe the following hearing</w:t>
            </w:r>
            <w:r w:rsidR="00846954" w:rsidRPr="00F416D6">
              <w:rPr>
                <w:rFonts w:ascii="Verdana" w:hAnsi="Verdana"/>
                <w:sz w:val="20"/>
                <w:szCs w:val="20"/>
              </w:rPr>
              <w:t>s</w:t>
            </w:r>
            <w:r w:rsidRPr="00F416D6">
              <w:rPr>
                <w:rFonts w:ascii="Verdana" w:hAnsi="Verdana"/>
                <w:sz w:val="20"/>
                <w:szCs w:val="20"/>
              </w:rPr>
              <w:t>:</w:t>
            </w:r>
          </w:p>
        </w:tc>
      </w:tr>
      <w:tr w:rsidR="008E3D59" w:rsidRPr="00F416D6" w14:paraId="421B6958" w14:textId="77777777" w:rsidTr="000619CB">
        <w:trPr>
          <w:trHeight w:val="247"/>
        </w:trPr>
        <w:tc>
          <w:tcPr>
            <w:tcW w:w="2108" w:type="dxa"/>
            <w:gridSpan w:val="3"/>
          </w:tcPr>
          <w:p w14:paraId="7DA66A66" w14:textId="77777777" w:rsidR="008E3D59" w:rsidRPr="00F416D6" w:rsidRDefault="008E3D59" w:rsidP="00492793">
            <w:pPr>
              <w:pStyle w:val="ListParagraph"/>
              <w:spacing w:before="60" w:after="60" w:line="240" w:lineRule="auto"/>
              <w:ind w:left="0"/>
              <w:contextualSpacing w:val="0"/>
              <w:rPr>
                <w:rFonts w:ascii="Verdana" w:hAnsi="Verdana"/>
                <w:b/>
                <w:sz w:val="20"/>
                <w:szCs w:val="20"/>
              </w:rPr>
            </w:pPr>
            <w:r w:rsidRPr="00F416D6">
              <w:rPr>
                <w:rFonts w:ascii="Verdana" w:hAnsi="Verdana"/>
                <w:b/>
                <w:sz w:val="20"/>
                <w:szCs w:val="20"/>
              </w:rPr>
              <w:t>Date of hearing</w:t>
            </w:r>
          </w:p>
        </w:tc>
        <w:tc>
          <w:tcPr>
            <w:tcW w:w="7248" w:type="dxa"/>
            <w:gridSpan w:val="3"/>
          </w:tcPr>
          <w:p w14:paraId="744CD1D9" w14:textId="77777777" w:rsidR="008E3D59" w:rsidRPr="00F416D6" w:rsidRDefault="008E3D59" w:rsidP="00492793">
            <w:pPr>
              <w:pStyle w:val="ListParagraph"/>
              <w:spacing w:before="60" w:after="60" w:line="240" w:lineRule="auto"/>
              <w:ind w:left="0"/>
              <w:contextualSpacing w:val="0"/>
              <w:rPr>
                <w:rFonts w:ascii="Verdana" w:hAnsi="Verdana"/>
                <w:sz w:val="20"/>
                <w:szCs w:val="20"/>
              </w:rPr>
            </w:pPr>
          </w:p>
        </w:tc>
      </w:tr>
      <w:tr w:rsidR="008E3D59" w:rsidRPr="00F416D6" w14:paraId="6AEA9025" w14:textId="77777777" w:rsidTr="00A5772A">
        <w:trPr>
          <w:trHeight w:val="137"/>
        </w:trPr>
        <w:tc>
          <w:tcPr>
            <w:tcW w:w="2108" w:type="dxa"/>
            <w:gridSpan w:val="3"/>
            <w:tcBorders>
              <w:bottom w:val="single" w:sz="4" w:space="0" w:color="auto"/>
            </w:tcBorders>
          </w:tcPr>
          <w:p w14:paraId="30A52405" w14:textId="77777777" w:rsidR="008E3D59" w:rsidRPr="00F416D6" w:rsidRDefault="00CC1F43" w:rsidP="00492793">
            <w:pPr>
              <w:pStyle w:val="ListParagraph"/>
              <w:spacing w:before="60" w:after="60" w:line="240" w:lineRule="auto"/>
              <w:ind w:left="0"/>
              <w:contextualSpacing w:val="0"/>
              <w:rPr>
                <w:rFonts w:ascii="Verdana" w:hAnsi="Verdana"/>
                <w:b/>
                <w:sz w:val="20"/>
                <w:szCs w:val="20"/>
              </w:rPr>
            </w:pPr>
            <w:r w:rsidRPr="00F416D6">
              <w:rPr>
                <w:rFonts w:ascii="Verdana" w:hAnsi="Verdana"/>
                <w:b/>
                <w:sz w:val="20"/>
                <w:szCs w:val="20"/>
              </w:rPr>
              <w:t>Hearing venue</w:t>
            </w:r>
          </w:p>
        </w:tc>
        <w:tc>
          <w:tcPr>
            <w:tcW w:w="7248" w:type="dxa"/>
            <w:gridSpan w:val="3"/>
            <w:tcBorders>
              <w:bottom w:val="single" w:sz="4" w:space="0" w:color="auto"/>
            </w:tcBorders>
          </w:tcPr>
          <w:p w14:paraId="4A639F7E" w14:textId="77777777" w:rsidR="008E3D59" w:rsidRPr="00F416D6" w:rsidRDefault="008E3D59" w:rsidP="00492793">
            <w:pPr>
              <w:pStyle w:val="ListParagraph"/>
              <w:spacing w:before="60" w:after="60" w:line="240" w:lineRule="auto"/>
              <w:ind w:left="0"/>
              <w:contextualSpacing w:val="0"/>
              <w:rPr>
                <w:rFonts w:ascii="Verdana" w:hAnsi="Verdana"/>
                <w:sz w:val="20"/>
                <w:szCs w:val="20"/>
              </w:rPr>
            </w:pPr>
          </w:p>
        </w:tc>
      </w:tr>
      <w:tr w:rsidR="008E3D59" w:rsidRPr="00F416D6" w14:paraId="082199B9" w14:textId="77777777" w:rsidTr="00A5772A">
        <w:trPr>
          <w:trHeight w:val="599"/>
        </w:trPr>
        <w:tc>
          <w:tcPr>
            <w:tcW w:w="9356" w:type="dxa"/>
            <w:gridSpan w:val="6"/>
            <w:tcBorders>
              <w:left w:val="single" w:sz="4" w:space="0" w:color="auto"/>
              <w:right w:val="single" w:sz="4" w:space="0" w:color="auto"/>
            </w:tcBorders>
          </w:tcPr>
          <w:p w14:paraId="43A8C072" w14:textId="77777777" w:rsidR="00052CDB" w:rsidRPr="00F416D6" w:rsidRDefault="00052CDB" w:rsidP="00A5772A">
            <w:pPr>
              <w:pStyle w:val="ListParagraph"/>
              <w:spacing w:before="60" w:after="60" w:line="240" w:lineRule="auto"/>
              <w:ind w:left="0"/>
              <w:contextualSpacing w:val="0"/>
              <w:jc w:val="both"/>
              <w:rPr>
                <w:rFonts w:ascii="Verdana" w:hAnsi="Verdana"/>
                <w:sz w:val="20"/>
                <w:szCs w:val="20"/>
              </w:rPr>
            </w:pPr>
            <w:r w:rsidRPr="00F416D6">
              <w:rPr>
                <w:rFonts w:ascii="Verdana" w:hAnsi="Verdana"/>
                <w:sz w:val="20"/>
                <w:szCs w:val="20"/>
              </w:rPr>
              <w:t>I have read and understood Practice Note 7 and have undertaken the steps outlined in the Practice Note.</w:t>
            </w:r>
            <w:r w:rsidR="00F13DB1" w:rsidRPr="00F416D6">
              <w:rPr>
                <w:rFonts w:ascii="Verdana" w:hAnsi="Verdana"/>
                <w:sz w:val="20"/>
                <w:szCs w:val="20"/>
              </w:rPr>
              <w:t xml:space="preserve"> </w:t>
            </w:r>
            <w:r w:rsidRPr="00F416D6">
              <w:rPr>
                <w:rFonts w:ascii="Verdana" w:hAnsi="Verdana"/>
                <w:sz w:val="20"/>
                <w:szCs w:val="20"/>
              </w:rPr>
              <w:t xml:space="preserve">I understand </w:t>
            </w:r>
            <w:r w:rsidR="003E10E9" w:rsidRPr="00F416D6">
              <w:rPr>
                <w:rFonts w:ascii="Verdana" w:hAnsi="Verdana"/>
                <w:sz w:val="20"/>
                <w:szCs w:val="20"/>
              </w:rPr>
              <w:t xml:space="preserve">that </w:t>
            </w:r>
            <w:r w:rsidRPr="00F416D6">
              <w:rPr>
                <w:rFonts w:ascii="Verdana" w:hAnsi="Verdana"/>
                <w:sz w:val="20"/>
                <w:szCs w:val="20"/>
              </w:rPr>
              <w:t xml:space="preserve">even though I have complied with each step in Practice Note 7, the patient’s </w:t>
            </w:r>
            <w:r w:rsidR="00C92D9E">
              <w:rPr>
                <w:rFonts w:ascii="Verdana" w:hAnsi="Verdana"/>
                <w:sz w:val="20"/>
                <w:szCs w:val="20"/>
              </w:rPr>
              <w:t>views and preferences</w:t>
            </w:r>
            <w:r w:rsidRPr="00F416D6">
              <w:rPr>
                <w:rFonts w:ascii="Verdana" w:hAnsi="Verdana"/>
                <w:sz w:val="20"/>
                <w:szCs w:val="20"/>
              </w:rPr>
              <w:t xml:space="preserve"> are the Tribunal’s primary consideration.</w:t>
            </w:r>
          </w:p>
          <w:p w14:paraId="3BEBA98F" w14:textId="77777777" w:rsidR="00052CDB" w:rsidRPr="00F416D6" w:rsidRDefault="00052CDB" w:rsidP="00A5772A">
            <w:pPr>
              <w:pStyle w:val="ListParagraph"/>
              <w:spacing w:before="60" w:after="60" w:line="240" w:lineRule="auto"/>
              <w:ind w:left="0"/>
              <w:contextualSpacing w:val="0"/>
              <w:jc w:val="both"/>
              <w:rPr>
                <w:rFonts w:ascii="Verdana" w:hAnsi="Verdana"/>
                <w:sz w:val="20"/>
                <w:szCs w:val="20"/>
              </w:rPr>
            </w:pPr>
          </w:p>
          <w:p w14:paraId="5AD4AC1D" w14:textId="77777777" w:rsidR="008E3D59" w:rsidRPr="00F416D6" w:rsidRDefault="008E3D59" w:rsidP="00A5772A">
            <w:pPr>
              <w:pStyle w:val="ListParagraph"/>
              <w:spacing w:before="60" w:after="60" w:line="240" w:lineRule="auto"/>
              <w:ind w:left="0"/>
              <w:contextualSpacing w:val="0"/>
              <w:jc w:val="both"/>
              <w:rPr>
                <w:rFonts w:ascii="Verdana" w:hAnsi="Verdana"/>
                <w:sz w:val="20"/>
                <w:szCs w:val="20"/>
              </w:rPr>
            </w:pPr>
            <w:r w:rsidRPr="00F416D6">
              <w:rPr>
                <w:rFonts w:ascii="Verdana" w:hAnsi="Verdana"/>
                <w:sz w:val="20"/>
                <w:szCs w:val="20"/>
              </w:rPr>
              <w:t xml:space="preserve">I have read and understood the secrecy provisions contained in sections 194 and 346 of the </w:t>
            </w:r>
            <w:r w:rsidRPr="00F416D6">
              <w:rPr>
                <w:rFonts w:ascii="Verdana" w:hAnsi="Verdana"/>
                <w:i/>
                <w:sz w:val="20"/>
                <w:szCs w:val="20"/>
              </w:rPr>
              <w:t>Mental Health Act 2014</w:t>
            </w:r>
            <w:r w:rsidRPr="00F416D6">
              <w:rPr>
                <w:rFonts w:ascii="Verdana" w:hAnsi="Verdana"/>
                <w:sz w:val="20"/>
                <w:szCs w:val="20"/>
              </w:rPr>
              <w:t>. I have taken note of the penalties that apply pursuant to those sections.</w:t>
            </w:r>
          </w:p>
          <w:p w14:paraId="2BDBB438" w14:textId="77777777" w:rsidR="008E3D59" w:rsidRPr="00F416D6" w:rsidRDefault="008E3D59" w:rsidP="00A5772A">
            <w:pPr>
              <w:pStyle w:val="ListParagraph"/>
              <w:spacing w:before="60" w:after="60" w:line="240" w:lineRule="auto"/>
              <w:ind w:left="0"/>
              <w:contextualSpacing w:val="0"/>
              <w:jc w:val="both"/>
              <w:rPr>
                <w:rFonts w:ascii="Verdana" w:hAnsi="Verdana"/>
                <w:sz w:val="20"/>
                <w:szCs w:val="20"/>
              </w:rPr>
            </w:pPr>
          </w:p>
          <w:p w14:paraId="269DA076" w14:textId="77777777" w:rsidR="008E3D59" w:rsidRPr="00F416D6" w:rsidRDefault="008E3D59" w:rsidP="00A5772A">
            <w:pPr>
              <w:pStyle w:val="ListParagraph"/>
              <w:spacing w:before="60" w:after="60" w:line="240" w:lineRule="auto"/>
              <w:ind w:left="0"/>
              <w:contextualSpacing w:val="0"/>
              <w:jc w:val="both"/>
              <w:rPr>
                <w:rFonts w:ascii="Verdana" w:hAnsi="Verdana"/>
                <w:sz w:val="20"/>
                <w:szCs w:val="20"/>
              </w:rPr>
            </w:pPr>
            <w:r w:rsidRPr="00F416D6">
              <w:rPr>
                <w:rFonts w:ascii="Verdana" w:hAnsi="Verdana"/>
                <w:sz w:val="20"/>
                <w:szCs w:val="20"/>
              </w:rPr>
              <w:t>In the event that section 346 does not apply to me, I undertake not to publish or cause to be published any report of the Tribunal hearing that may contain any particulars that may lead to the identification of the person who is subject of the proceeding or any other person concerned in the proceedings.</w:t>
            </w:r>
          </w:p>
        </w:tc>
      </w:tr>
      <w:tr w:rsidR="008E3D59" w:rsidRPr="00F416D6" w14:paraId="0A027309" w14:textId="77777777" w:rsidTr="00491604">
        <w:trPr>
          <w:trHeight w:val="445"/>
        </w:trPr>
        <w:tc>
          <w:tcPr>
            <w:tcW w:w="1970" w:type="dxa"/>
            <w:tcBorders>
              <w:bottom w:val="single" w:sz="4" w:space="0" w:color="auto"/>
            </w:tcBorders>
          </w:tcPr>
          <w:p w14:paraId="0C13134B" w14:textId="77777777" w:rsidR="008E3D59" w:rsidRPr="00F416D6" w:rsidRDefault="008E3D59" w:rsidP="00492793">
            <w:pPr>
              <w:pStyle w:val="ListParagraph"/>
              <w:spacing w:before="60" w:after="60" w:line="240" w:lineRule="auto"/>
              <w:ind w:left="0"/>
              <w:contextualSpacing w:val="0"/>
              <w:rPr>
                <w:rFonts w:ascii="Verdana" w:hAnsi="Verdana"/>
                <w:b/>
                <w:sz w:val="20"/>
                <w:szCs w:val="20"/>
              </w:rPr>
            </w:pPr>
            <w:r w:rsidRPr="00F416D6">
              <w:rPr>
                <w:rFonts w:ascii="Verdana" w:hAnsi="Verdana"/>
                <w:b/>
                <w:sz w:val="20"/>
                <w:szCs w:val="20"/>
              </w:rPr>
              <w:t>Signed</w:t>
            </w:r>
          </w:p>
        </w:tc>
        <w:tc>
          <w:tcPr>
            <w:tcW w:w="4562" w:type="dxa"/>
            <w:gridSpan w:val="3"/>
            <w:tcBorders>
              <w:bottom w:val="single" w:sz="4" w:space="0" w:color="auto"/>
            </w:tcBorders>
          </w:tcPr>
          <w:p w14:paraId="52D7E9DB" w14:textId="77777777" w:rsidR="008E3D59" w:rsidRPr="00F416D6" w:rsidRDefault="008E3D59" w:rsidP="00492793">
            <w:pPr>
              <w:pStyle w:val="ListParagraph"/>
              <w:spacing w:before="60" w:after="60" w:line="240" w:lineRule="auto"/>
              <w:ind w:left="0"/>
              <w:contextualSpacing w:val="0"/>
              <w:rPr>
                <w:rFonts w:ascii="Verdana" w:hAnsi="Verdana"/>
                <w:sz w:val="20"/>
                <w:szCs w:val="20"/>
              </w:rPr>
            </w:pPr>
          </w:p>
          <w:p w14:paraId="40334695" w14:textId="77777777" w:rsidR="00492793" w:rsidRPr="00F416D6" w:rsidRDefault="00492793" w:rsidP="00492793">
            <w:pPr>
              <w:pStyle w:val="ListParagraph"/>
              <w:spacing w:before="60" w:after="60" w:line="240" w:lineRule="auto"/>
              <w:ind w:left="0"/>
              <w:contextualSpacing w:val="0"/>
              <w:rPr>
                <w:rFonts w:ascii="Verdana" w:hAnsi="Verdana"/>
                <w:sz w:val="20"/>
                <w:szCs w:val="20"/>
              </w:rPr>
            </w:pPr>
          </w:p>
        </w:tc>
        <w:tc>
          <w:tcPr>
            <w:tcW w:w="1221" w:type="dxa"/>
            <w:tcBorders>
              <w:bottom w:val="single" w:sz="4" w:space="0" w:color="auto"/>
            </w:tcBorders>
          </w:tcPr>
          <w:p w14:paraId="0A279BAC" w14:textId="77777777" w:rsidR="008E3D59" w:rsidRPr="00F416D6" w:rsidRDefault="008E3D59" w:rsidP="00492793">
            <w:pPr>
              <w:pStyle w:val="ListParagraph"/>
              <w:spacing w:before="60" w:after="60" w:line="240" w:lineRule="auto"/>
              <w:ind w:left="0"/>
              <w:contextualSpacing w:val="0"/>
              <w:rPr>
                <w:rFonts w:ascii="Verdana" w:hAnsi="Verdana"/>
                <w:b/>
                <w:sz w:val="20"/>
                <w:szCs w:val="20"/>
              </w:rPr>
            </w:pPr>
            <w:r w:rsidRPr="00F416D6">
              <w:rPr>
                <w:rFonts w:ascii="Verdana" w:hAnsi="Verdana"/>
                <w:b/>
                <w:sz w:val="20"/>
                <w:szCs w:val="20"/>
              </w:rPr>
              <w:t>Date</w:t>
            </w:r>
          </w:p>
        </w:tc>
        <w:tc>
          <w:tcPr>
            <w:tcW w:w="1603" w:type="dxa"/>
            <w:tcBorders>
              <w:bottom w:val="single" w:sz="4" w:space="0" w:color="auto"/>
            </w:tcBorders>
          </w:tcPr>
          <w:p w14:paraId="2C8BCB49" w14:textId="77777777" w:rsidR="008E3D59" w:rsidRPr="00F416D6" w:rsidRDefault="008E3D59" w:rsidP="00492793">
            <w:pPr>
              <w:pStyle w:val="ListParagraph"/>
              <w:spacing w:before="60" w:after="60" w:line="240" w:lineRule="auto"/>
              <w:ind w:left="0"/>
              <w:contextualSpacing w:val="0"/>
              <w:rPr>
                <w:rFonts w:ascii="Verdana" w:hAnsi="Verdana"/>
                <w:sz w:val="20"/>
                <w:szCs w:val="20"/>
              </w:rPr>
            </w:pPr>
          </w:p>
        </w:tc>
      </w:tr>
      <w:tr w:rsidR="000619CB" w:rsidRPr="00F416D6" w14:paraId="7AE80EB0" w14:textId="77777777" w:rsidTr="00491604">
        <w:trPr>
          <w:trHeight w:val="267"/>
        </w:trPr>
        <w:tc>
          <w:tcPr>
            <w:tcW w:w="9356" w:type="dxa"/>
            <w:gridSpan w:val="6"/>
            <w:tcBorders>
              <w:left w:val="nil"/>
              <w:bottom w:val="nil"/>
              <w:right w:val="nil"/>
            </w:tcBorders>
          </w:tcPr>
          <w:p w14:paraId="1B03C6A3" w14:textId="77777777" w:rsidR="000619CB" w:rsidRPr="00F416D6" w:rsidRDefault="00491604" w:rsidP="00492793">
            <w:pPr>
              <w:pStyle w:val="ListParagraph"/>
              <w:spacing w:before="60" w:after="60" w:line="240" w:lineRule="auto"/>
              <w:ind w:left="34"/>
              <w:contextualSpacing w:val="0"/>
              <w:rPr>
                <w:rFonts w:ascii="Verdana" w:hAnsi="Verdana"/>
                <w:b/>
                <w:sz w:val="20"/>
                <w:szCs w:val="20"/>
              </w:rPr>
            </w:pPr>
            <w:r w:rsidRPr="00F416D6">
              <w:rPr>
                <w:rFonts w:ascii="Verdana" w:hAnsi="Verdana"/>
                <w:b/>
                <w:sz w:val="20"/>
                <w:szCs w:val="20"/>
              </w:rPr>
              <w:t>**</w:t>
            </w:r>
            <w:r w:rsidR="000619CB" w:rsidRPr="00F416D6">
              <w:rPr>
                <w:rFonts w:ascii="Verdana" w:hAnsi="Verdana"/>
                <w:b/>
                <w:sz w:val="20"/>
                <w:szCs w:val="20"/>
              </w:rPr>
              <w:t>Please hand this completed form to the Tribunal members at the hearing.</w:t>
            </w:r>
          </w:p>
        </w:tc>
      </w:tr>
    </w:tbl>
    <w:p w14:paraId="33886DF9" w14:textId="77777777" w:rsidR="00766D1A" w:rsidRPr="006E0D79" w:rsidRDefault="00766D1A" w:rsidP="00A16EBC">
      <w:pPr>
        <w:pStyle w:val="ListParagraph"/>
        <w:spacing w:after="0" w:line="240" w:lineRule="auto"/>
        <w:ind w:left="0"/>
        <w:rPr>
          <w:rFonts w:ascii="Verdana" w:hAnsi="Verdana"/>
          <w:sz w:val="16"/>
          <w:szCs w:val="16"/>
        </w:rPr>
      </w:pPr>
    </w:p>
    <w:p w14:paraId="13EFC300" w14:textId="77777777" w:rsidR="00F13DB1" w:rsidRPr="006E0D79" w:rsidRDefault="00F13DB1" w:rsidP="00A16EBC">
      <w:pPr>
        <w:pStyle w:val="ListParagraph"/>
        <w:spacing w:after="0" w:line="240" w:lineRule="auto"/>
        <w:ind w:left="0"/>
        <w:rPr>
          <w:rFonts w:ascii="Verdana" w:hAnsi="Verdana"/>
          <w:sz w:val="16"/>
          <w:szCs w:val="1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4678"/>
        <w:gridCol w:w="4678"/>
      </w:tblGrid>
      <w:tr w:rsidR="00F416D6" w:rsidRPr="00F416D6" w14:paraId="78DE57FB" w14:textId="77777777" w:rsidTr="00F416D6">
        <w:trPr>
          <w:trHeight w:val="276"/>
        </w:trPr>
        <w:tc>
          <w:tcPr>
            <w:tcW w:w="9356" w:type="dxa"/>
            <w:gridSpan w:val="2"/>
            <w:shd w:val="clear" w:color="auto" w:fill="D9D9D9"/>
          </w:tcPr>
          <w:p w14:paraId="70188CCC" w14:textId="77777777" w:rsidR="00F13DB1" w:rsidRPr="00F416D6" w:rsidRDefault="003C3FCB" w:rsidP="00F13DB1">
            <w:pPr>
              <w:pStyle w:val="ListParagraph"/>
              <w:spacing w:after="0" w:line="240" w:lineRule="auto"/>
              <w:ind w:left="23"/>
              <w:rPr>
                <w:rFonts w:ascii="Verdana" w:hAnsi="Verdana"/>
                <w:sz w:val="20"/>
                <w:szCs w:val="20"/>
              </w:rPr>
            </w:pPr>
            <w:r w:rsidRPr="00F416D6">
              <w:rPr>
                <w:rFonts w:ascii="Verdana" w:hAnsi="Verdana"/>
                <w:b/>
                <w:sz w:val="20"/>
                <w:szCs w:val="20"/>
              </w:rPr>
              <w:t>Tribunal member use only</w:t>
            </w:r>
            <w:r w:rsidR="00445C96" w:rsidRPr="00F416D6">
              <w:rPr>
                <w:rFonts w:ascii="Verdana" w:hAnsi="Verdana"/>
                <w:b/>
                <w:sz w:val="20"/>
                <w:szCs w:val="20"/>
              </w:rPr>
              <w:t>:</w:t>
            </w:r>
            <w:r w:rsidRPr="00F416D6">
              <w:rPr>
                <w:rFonts w:ascii="Verdana" w:hAnsi="Verdana"/>
                <w:b/>
                <w:sz w:val="20"/>
                <w:szCs w:val="20"/>
              </w:rPr>
              <w:t xml:space="preserve"> </w:t>
            </w:r>
            <w:r w:rsidRPr="00F416D6">
              <w:rPr>
                <w:rFonts w:ascii="Verdana" w:hAnsi="Verdana"/>
                <w:sz w:val="20"/>
                <w:szCs w:val="20"/>
              </w:rPr>
              <w:t>(tick as applicable and list relevant patient</w:t>
            </w:r>
            <w:r w:rsidR="00445C96" w:rsidRPr="00F416D6">
              <w:rPr>
                <w:rFonts w:ascii="Verdana" w:hAnsi="Verdana"/>
                <w:sz w:val="20"/>
                <w:szCs w:val="20"/>
              </w:rPr>
              <w:t>s</w:t>
            </w:r>
            <w:r w:rsidRPr="00F416D6">
              <w:rPr>
                <w:rFonts w:ascii="Verdana" w:hAnsi="Verdana"/>
                <w:sz w:val="20"/>
                <w:szCs w:val="20"/>
              </w:rPr>
              <w:t>)</w:t>
            </w:r>
            <w:r w:rsidR="00F13DB1" w:rsidRPr="00F416D6">
              <w:rPr>
                <w:rFonts w:ascii="Verdana" w:hAnsi="Verdana"/>
                <w:sz w:val="20"/>
                <w:szCs w:val="20"/>
              </w:rPr>
              <w:t xml:space="preserve"> </w:t>
            </w:r>
          </w:p>
        </w:tc>
      </w:tr>
      <w:tr w:rsidR="00D107FC" w:rsidRPr="00F416D6" w14:paraId="3C17D080" w14:textId="77777777" w:rsidTr="00F416D6">
        <w:trPr>
          <w:trHeight w:val="243"/>
        </w:trPr>
        <w:tc>
          <w:tcPr>
            <w:tcW w:w="4678" w:type="dxa"/>
            <w:tcBorders>
              <w:right w:val="single" w:sz="4" w:space="0" w:color="auto"/>
            </w:tcBorders>
            <w:shd w:val="clear" w:color="auto" w:fill="D9D9D9"/>
          </w:tcPr>
          <w:p w14:paraId="04E22B5A" w14:textId="77777777" w:rsidR="003C3FCB" w:rsidRPr="00F416D6" w:rsidRDefault="003C3FCB" w:rsidP="009D7A8A">
            <w:pPr>
              <w:pStyle w:val="ListParagraph"/>
              <w:spacing w:after="0" w:line="240" w:lineRule="auto"/>
              <w:ind w:left="23"/>
              <w:rPr>
                <w:rFonts w:ascii="Courier New" w:hAnsi="Courier New" w:cs="Courier New"/>
                <w:sz w:val="24"/>
                <w:szCs w:val="24"/>
              </w:rPr>
            </w:pPr>
          </w:p>
        </w:tc>
        <w:tc>
          <w:tcPr>
            <w:tcW w:w="4678" w:type="dxa"/>
            <w:tcBorders>
              <w:left w:val="single" w:sz="4" w:space="0" w:color="auto"/>
            </w:tcBorders>
            <w:shd w:val="clear" w:color="auto" w:fill="D9D9D9"/>
          </w:tcPr>
          <w:p w14:paraId="73A5D636" w14:textId="77777777" w:rsidR="003C3FCB" w:rsidRPr="00F416D6" w:rsidRDefault="00445C96" w:rsidP="00445C96">
            <w:pPr>
              <w:pStyle w:val="ListParagraph"/>
              <w:spacing w:after="0" w:line="240" w:lineRule="auto"/>
              <w:ind w:left="23"/>
              <w:rPr>
                <w:rFonts w:ascii="Courier New" w:hAnsi="Courier New" w:cs="Courier New"/>
                <w:sz w:val="24"/>
                <w:szCs w:val="24"/>
              </w:rPr>
            </w:pPr>
            <w:r w:rsidRPr="00F416D6">
              <w:rPr>
                <w:rFonts w:ascii="Verdana" w:hAnsi="Verdana"/>
                <w:sz w:val="20"/>
                <w:szCs w:val="20"/>
              </w:rPr>
              <w:t>Patient name</w:t>
            </w:r>
            <w:r w:rsidR="00085362">
              <w:rPr>
                <w:rFonts w:ascii="Verdana" w:hAnsi="Verdana"/>
                <w:sz w:val="20"/>
                <w:szCs w:val="20"/>
              </w:rPr>
              <w:t>s</w:t>
            </w:r>
            <w:r w:rsidRPr="00F416D6">
              <w:rPr>
                <w:rFonts w:ascii="Verdana" w:hAnsi="Verdana"/>
                <w:sz w:val="20"/>
                <w:szCs w:val="20"/>
              </w:rPr>
              <w:t xml:space="preserve"> and state-wide UR number</w:t>
            </w:r>
            <w:r w:rsidR="00085362">
              <w:rPr>
                <w:rFonts w:ascii="Verdana" w:hAnsi="Verdana"/>
                <w:sz w:val="20"/>
                <w:szCs w:val="20"/>
              </w:rPr>
              <w:t>s</w:t>
            </w:r>
            <w:r w:rsidR="003C3FCB" w:rsidRPr="00F416D6">
              <w:rPr>
                <w:rFonts w:ascii="Verdana" w:hAnsi="Verdana"/>
                <w:sz w:val="20"/>
                <w:szCs w:val="20"/>
              </w:rPr>
              <w:t>:</w:t>
            </w:r>
          </w:p>
        </w:tc>
      </w:tr>
      <w:tr w:rsidR="00F416D6" w:rsidRPr="00F416D6" w14:paraId="6F5F65D7" w14:textId="77777777" w:rsidTr="00F416D6">
        <w:trPr>
          <w:trHeight w:val="545"/>
        </w:trPr>
        <w:tc>
          <w:tcPr>
            <w:tcW w:w="4678" w:type="dxa"/>
            <w:shd w:val="clear" w:color="auto" w:fill="D9D9D9"/>
          </w:tcPr>
          <w:p w14:paraId="78A69424" w14:textId="77777777" w:rsidR="003C3FCB" w:rsidRPr="00F416D6" w:rsidRDefault="003C3FCB" w:rsidP="009D7A8A">
            <w:pPr>
              <w:pStyle w:val="ListParagraph"/>
              <w:spacing w:after="0" w:line="240" w:lineRule="auto"/>
              <w:ind w:left="23"/>
              <w:rPr>
                <w:rFonts w:ascii="Verdana" w:hAnsi="Verdana"/>
                <w:sz w:val="20"/>
                <w:szCs w:val="20"/>
              </w:rPr>
            </w:pPr>
            <w:r w:rsidRPr="00F416D6">
              <w:rPr>
                <w:rFonts w:ascii="Courier New" w:hAnsi="Courier New" w:cs="Courier New"/>
                <w:sz w:val="24"/>
                <w:szCs w:val="24"/>
              </w:rPr>
              <w:t>□</w:t>
            </w:r>
            <w:r w:rsidRPr="00F416D6">
              <w:rPr>
                <w:rFonts w:ascii="Verdana" w:hAnsi="Verdana" w:cs="Courier New"/>
                <w:sz w:val="20"/>
                <w:szCs w:val="20"/>
              </w:rPr>
              <w:t xml:space="preserve"> </w:t>
            </w:r>
            <w:r w:rsidRPr="00F416D6">
              <w:rPr>
                <w:rFonts w:ascii="Verdana" w:hAnsi="Verdana"/>
                <w:sz w:val="20"/>
                <w:szCs w:val="20"/>
              </w:rPr>
              <w:t>Patient did not attend hearing and the Tribunal consented to the observer</w:t>
            </w:r>
          </w:p>
        </w:tc>
        <w:tc>
          <w:tcPr>
            <w:tcW w:w="4678" w:type="dxa"/>
            <w:shd w:val="clear" w:color="auto" w:fill="D9D9D9"/>
          </w:tcPr>
          <w:p w14:paraId="298E1A85" w14:textId="77777777" w:rsidR="003C3FCB" w:rsidRPr="00F416D6" w:rsidRDefault="003C3FCB" w:rsidP="009D7A8A">
            <w:pPr>
              <w:pStyle w:val="ListParagraph"/>
              <w:spacing w:after="0" w:line="240" w:lineRule="auto"/>
              <w:ind w:left="23"/>
              <w:rPr>
                <w:rFonts w:ascii="Courier New" w:hAnsi="Courier New" w:cs="Courier New"/>
                <w:sz w:val="24"/>
                <w:szCs w:val="24"/>
              </w:rPr>
            </w:pPr>
          </w:p>
          <w:p w14:paraId="4B9C3A74" w14:textId="77777777" w:rsidR="003C3FCB" w:rsidRPr="00F416D6" w:rsidRDefault="003C3FCB" w:rsidP="009D7A8A">
            <w:pPr>
              <w:pStyle w:val="ListParagraph"/>
              <w:spacing w:after="0" w:line="240" w:lineRule="auto"/>
              <w:ind w:left="23"/>
              <w:rPr>
                <w:rFonts w:ascii="Courier New" w:hAnsi="Courier New" w:cs="Courier New"/>
                <w:sz w:val="24"/>
                <w:szCs w:val="24"/>
              </w:rPr>
            </w:pPr>
          </w:p>
          <w:p w14:paraId="437B61B0" w14:textId="77777777" w:rsidR="003C3FCB" w:rsidRPr="00F416D6" w:rsidRDefault="003C3FCB" w:rsidP="009D7A8A">
            <w:pPr>
              <w:pStyle w:val="ListParagraph"/>
              <w:spacing w:after="0" w:line="240" w:lineRule="auto"/>
              <w:ind w:left="23"/>
              <w:rPr>
                <w:rFonts w:ascii="Courier New" w:hAnsi="Courier New" w:cs="Courier New"/>
                <w:sz w:val="24"/>
                <w:szCs w:val="24"/>
              </w:rPr>
            </w:pPr>
          </w:p>
        </w:tc>
      </w:tr>
      <w:tr w:rsidR="00F416D6" w:rsidRPr="00F416D6" w14:paraId="6BF1FE61" w14:textId="77777777" w:rsidTr="00F416D6">
        <w:trPr>
          <w:trHeight w:val="545"/>
        </w:trPr>
        <w:tc>
          <w:tcPr>
            <w:tcW w:w="4678" w:type="dxa"/>
            <w:shd w:val="clear" w:color="auto" w:fill="D9D9D9"/>
          </w:tcPr>
          <w:p w14:paraId="39D2DF31" w14:textId="77777777" w:rsidR="003C3FCB" w:rsidRPr="00F416D6" w:rsidRDefault="003C3FCB" w:rsidP="00A83140">
            <w:pPr>
              <w:pStyle w:val="ListParagraph"/>
              <w:spacing w:after="0" w:line="240" w:lineRule="auto"/>
              <w:ind w:left="23"/>
              <w:rPr>
                <w:rFonts w:ascii="Verdana" w:hAnsi="Verdana" w:cs="Courier New"/>
                <w:sz w:val="20"/>
                <w:szCs w:val="20"/>
              </w:rPr>
            </w:pPr>
            <w:r w:rsidRPr="00F416D6">
              <w:rPr>
                <w:rFonts w:ascii="Courier New" w:hAnsi="Courier New" w:cs="Courier New"/>
                <w:sz w:val="24"/>
                <w:szCs w:val="24"/>
              </w:rPr>
              <w:t>□</w:t>
            </w:r>
            <w:r w:rsidRPr="00F416D6">
              <w:rPr>
                <w:rFonts w:ascii="Verdana" w:hAnsi="Verdana" w:cs="Courier New"/>
                <w:sz w:val="20"/>
                <w:szCs w:val="20"/>
              </w:rPr>
              <w:t xml:space="preserve"> Patient gave consent (at the hearing) to the attendance of the observer</w:t>
            </w:r>
          </w:p>
        </w:tc>
        <w:tc>
          <w:tcPr>
            <w:tcW w:w="4678" w:type="dxa"/>
            <w:shd w:val="clear" w:color="auto" w:fill="D9D9D9"/>
          </w:tcPr>
          <w:p w14:paraId="69C93ED4" w14:textId="77777777" w:rsidR="003C3FCB" w:rsidRPr="00F416D6" w:rsidRDefault="003C3FCB" w:rsidP="009D7A8A">
            <w:pPr>
              <w:pStyle w:val="ListParagraph"/>
              <w:spacing w:after="0" w:line="240" w:lineRule="auto"/>
              <w:ind w:left="23"/>
              <w:rPr>
                <w:rFonts w:ascii="Courier New" w:hAnsi="Courier New" w:cs="Courier New"/>
                <w:sz w:val="24"/>
                <w:szCs w:val="24"/>
              </w:rPr>
            </w:pPr>
          </w:p>
          <w:p w14:paraId="687C37A9" w14:textId="77777777" w:rsidR="003C3FCB" w:rsidRPr="00F416D6" w:rsidRDefault="003C3FCB" w:rsidP="009D7A8A">
            <w:pPr>
              <w:pStyle w:val="ListParagraph"/>
              <w:spacing w:after="0" w:line="240" w:lineRule="auto"/>
              <w:ind w:left="23"/>
              <w:rPr>
                <w:rFonts w:ascii="Courier New" w:hAnsi="Courier New" w:cs="Courier New"/>
                <w:sz w:val="24"/>
                <w:szCs w:val="24"/>
              </w:rPr>
            </w:pPr>
          </w:p>
          <w:p w14:paraId="007036C6" w14:textId="77777777" w:rsidR="003C3FCB" w:rsidRPr="00F416D6" w:rsidRDefault="003C3FCB" w:rsidP="009D7A8A">
            <w:pPr>
              <w:pStyle w:val="ListParagraph"/>
              <w:spacing w:after="0" w:line="240" w:lineRule="auto"/>
              <w:ind w:left="23"/>
              <w:rPr>
                <w:rFonts w:ascii="Courier New" w:hAnsi="Courier New" w:cs="Courier New"/>
                <w:sz w:val="24"/>
                <w:szCs w:val="24"/>
              </w:rPr>
            </w:pPr>
          </w:p>
        </w:tc>
      </w:tr>
      <w:tr w:rsidR="00F13DB1" w:rsidRPr="00F416D6" w14:paraId="7115B7B8" w14:textId="77777777" w:rsidTr="00F416D6">
        <w:trPr>
          <w:trHeight w:val="300"/>
        </w:trPr>
        <w:tc>
          <w:tcPr>
            <w:tcW w:w="9356" w:type="dxa"/>
            <w:gridSpan w:val="2"/>
            <w:shd w:val="clear" w:color="auto" w:fill="D9D9D9"/>
          </w:tcPr>
          <w:p w14:paraId="3DB8AEC6" w14:textId="77777777" w:rsidR="00F13DB1" w:rsidRPr="00F416D6" w:rsidRDefault="000D2AD2" w:rsidP="00445C96">
            <w:pPr>
              <w:pStyle w:val="ListParagraph"/>
              <w:spacing w:after="0" w:line="240" w:lineRule="auto"/>
              <w:ind w:left="0"/>
              <w:rPr>
                <w:rFonts w:ascii="Verdana" w:hAnsi="Verdana"/>
                <w:b/>
                <w:sz w:val="20"/>
                <w:szCs w:val="20"/>
              </w:rPr>
            </w:pPr>
            <w:r>
              <w:rPr>
                <w:rFonts w:ascii="Verdana" w:hAnsi="Verdana"/>
                <w:b/>
                <w:sz w:val="20"/>
                <w:szCs w:val="20"/>
              </w:rPr>
              <w:t xml:space="preserve">TRIBUNAL MEMBERS TO </w:t>
            </w:r>
            <w:r w:rsidR="00F13DB1" w:rsidRPr="00F416D6">
              <w:rPr>
                <w:rFonts w:ascii="Verdana" w:hAnsi="Verdana"/>
                <w:b/>
                <w:sz w:val="20"/>
                <w:szCs w:val="20"/>
              </w:rPr>
              <w:t>RETURN COMPLETED FORM IN RED COURIER BAG</w:t>
            </w:r>
          </w:p>
        </w:tc>
      </w:tr>
      <w:tr w:rsidR="00F416D6" w:rsidRPr="00F416D6" w14:paraId="59A61574" w14:textId="77777777" w:rsidTr="00F416D6">
        <w:trPr>
          <w:trHeight w:val="300"/>
        </w:trPr>
        <w:tc>
          <w:tcPr>
            <w:tcW w:w="9356" w:type="dxa"/>
            <w:gridSpan w:val="2"/>
            <w:shd w:val="clear" w:color="auto" w:fill="D9D9D9"/>
          </w:tcPr>
          <w:p w14:paraId="69360D38" w14:textId="77777777" w:rsidR="003C3FCB" w:rsidRPr="00F416D6" w:rsidRDefault="003C3FCB" w:rsidP="00445C96">
            <w:pPr>
              <w:pStyle w:val="ListParagraph"/>
              <w:spacing w:after="0" w:line="240" w:lineRule="auto"/>
              <w:ind w:left="0"/>
              <w:rPr>
                <w:rFonts w:ascii="Verdana" w:hAnsi="Verdana"/>
                <w:sz w:val="20"/>
                <w:szCs w:val="20"/>
              </w:rPr>
            </w:pPr>
            <w:r w:rsidRPr="00F416D6">
              <w:rPr>
                <w:rFonts w:ascii="Verdana" w:hAnsi="Verdana"/>
                <w:b/>
                <w:sz w:val="20"/>
                <w:szCs w:val="20"/>
              </w:rPr>
              <w:t>Registry use:</w:t>
            </w:r>
            <w:r w:rsidRPr="00F416D6">
              <w:rPr>
                <w:rFonts w:ascii="Verdana" w:hAnsi="Verdana"/>
                <w:sz w:val="20"/>
                <w:szCs w:val="20"/>
              </w:rPr>
              <w:t xml:space="preserve"> upload to CMS with determination for the above </w:t>
            </w:r>
            <w:r w:rsidR="00445C96" w:rsidRPr="00F416D6">
              <w:rPr>
                <w:rFonts w:ascii="Verdana" w:hAnsi="Verdana"/>
                <w:sz w:val="20"/>
                <w:szCs w:val="20"/>
              </w:rPr>
              <w:t>patients</w:t>
            </w:r>
          </w:p>
        </w:tc>
      </w:tr>
    </w:tbl>
    <w:p w14:paraId="5391E37F" w14:textId="77777777" w:rsidR="003C3FCB" w:rsidRPr="003C3FCB" w:rsidRDefault="003C3FCB" w:rsidP="00A16EBC">
      <w:pPr>
        <w:pStyle w:val="ListParagraph"/>
        <w:spacing w:after="0" w:line="240" w:lineRule="auto"/>
        <w:ind w:left="0"/>
        <w:rPr>
          <w:rFonts w:ascii="Verdana" w:hAnsi="Verdana"/>
          <w:sz w:val="16"/>
          <w:szCs w:val="16"/>
        </w:rPr>
      </w:pPr>
    </w:p>
    <w:sectPr w:rsidR="003C3FCB" w:rsidRPr="003C3FCB" w:rsidSect="003C3FC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5B3EA" w14:textId="77777777" w:rsidR="001A76EA" w:rsidRDefault="001A76EA" w:rsidP="0046218A">
      <w:pPr>
        <w:spacing w:after="0" w:line="240" w:lineRule="auto"/>
      </w:pPr>
      <w:r>
        <w:separator/>
      </w:r>
    </w:p>
  </w:endnote>
  <w:endnote w:type="continuationSeparator" w:id="0">
    <w:p w14:paraId="147B98BC" w14:textId="77777777" w:rsidR="001A76EA" w:rsidRDefault="001A76EA" w:rsidP="00462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EA924" w14:textId="77777777" w:rsidR="001A76EA" w:rsidRDefault="001A76EA" w:rsidP="0046218A">
      <w:pPr>
        <w:spacing w:after="0" w:line="240" w:lineRule="auto"/>
      </w:pPr>
      <w:r>
        <w:separator/>
      </w:r>
    </w:p>
  </w:footnote>
  <w:footnote w:type="continuationSeparator" w:id="0">
    <w:p w14:paraId="00AE9F4A" w14:textId="77777777" w:rsidR="001A76EA" w:rsidRDefault="001A76EA" w:rsidP="00462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62F0"/>
    <w:multiLevelType w:val="multilevel"/>
    <w:tmpl w:val="CDFCD708"/>
    <w:lvl w:ilvl="0">
      <w:start w:val="14"/>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DAC342E"/>
    <w:multiLevelType w:val="multilevel"/>
    <w:tmpl w:val="90188028"/>
    <w:lvl w:ilvl="0">
      <w:start w:val="13"/>
      <w:numFmt w:val="decimal"/>
      <w:lvlText w:val="%1."/>
      <w:lvlJc w:val="left"/>
      <w:pPr>
        <w:ind w:left="360" w:hanging="360"/>
      </w:pPr>
      <w:rPr>
        <w:rFonts w:hint="default"/>
      </w:rPr>
    </w:lvl>
    <w:lvl w:ilvl="1">
      <w:start w:val="1"/>
      <w:numFmt w:val="decimal"/>
      <w:isLgl/>
      <w:lvlText w:val="%1.%2"/>
      <w:lvlJc w:val="left"/>
      <w:pPr>
        <w:ind w:left="1444" w:hanging="735"/>
      </w:pPr>
      <w:rPr>
        <w:rFonts w:hint="default"/>
      </w:rPr>
    </w:lvl>
    <w:lvl w:ilvl="2">
      <w:start w:val="1"/>
      <w:numFmt w:val="decimal"/>
      <w:isLgl/>
      <w:lvlText w:val="%1.%2.%3"/>
      <w:lvlJc w:val="left"/>
      <w:pPr>
        <w:ind w:left="2153" w:hanging="735"/>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7123" w:hanging="2160"/>
      </w:pPr>
      <w:rPr>
        <w:rFonts w:hint="default"/>
      </w:rPr>
    </w:lvl>
    <w:lvl w:ilvl="8">
      <w:start w:val="1"/>
      <w:numFmt w:val="decimal"/>
      <w:isLgl/>
      <w:lvlText w:val="%1.%2.%3.%4.%5.%6.%7.%8.%9"/>
      <w:lvlJc w:val="left"/>
      <w:pPr>
        <w:ind w:left="7832" w:hanging="2160"/>
      </w:pPr>
      <w:rPr>
        <w:rFonts w:hint="default"/>
      </w:rPr>
    </w:lvl>
  </w:abstractNum>
  <w:abstractNum w:abstractNumId="2" w15:restartNumberingAfterBreak="0">
    <w:nsid w:val="120F7DA9"/>
    <w:multiLevelType w:val="hybridMultilevel"/>
    <w:tmpl w:val="1AB29BDE"/>
    <w:lvl w:ilvl="0" w:tplc="2ECCA010">
      <w:start w:val="2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7843DE"/>
    <w:multiLevelType w:val="hybridMultilevel"/>
    <w:tmpl w:val="83CC99C4"/>
    <w:lvl w:ilvl="0" w:tplc="41F8345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9EC2207"/>
    <w:multiLevelType w:val="hybridMultilevel"/>
    <w:tmpl w:val="4C90A7F6"/>
    <w:lvl w:ilvl="0" w:tplc="561C06E0">
      <w:start w:val="1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D84463"/>
    <w:multiLevelType w:val="multilevel"/>
    <w:tmpl w:val="8976D99A"/>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EF857DF"/>
    <w:multiLevelType w:val="hybridMultilevel"/>
    <w:tmpl w:val="E5ACB52A"/>
    <w:lvl w:ilvl="0" w:tplc="CAE4199C">
      <w:start w:val="3"/>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271878E4"/>
    <w:multiLevelType w:val="hybridMultilevel"/>
    <w:tmpl w:val="221E2848"/>
    <w:lvl w:ilvl="0" w:tplc="96944908">
      <w:start w:val="1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6C722BF"/>
    <w:multiLevelType w:val="hybridMultilevel"/>
    <w:tmpl w:val="0834FD02"/>
    <w:lvl w:ilvl="0" w:tplc="B510A226">
      <w:start w:val="1"/>
      <w:numFmt w:val="lowerLetter"/>
      <w:lvlText w:val="(%1)"/>
      <w:lvlJc w:val="left"/>
      <w:pPr>
        <w:ind w:left="1804" w:hanging="360"/>
      </w:pPr>
      <w:rPr>
        <w:rFonts w:hint="default"/>
      </w:rPr>
    </w:lvl>
    <w:lvl w:ilvl="1" w:tplc="0C090019" w:tentative="1">
      <w:start w:val="1"/>
      <w:numFmt w:val="lowerLetter"/>
      <w:lvlText w:val="%2."/>
      <w:lvlJc w:val="left"/>
      <w:pPr>
        <w:ind w:left="2524" w:hanging="360"/>
      </w:pPr>
    </w:lvl>
    <w:lvl w:ilvl="2" w:tplc="0C09001B" w:tentative="1">
      <w:start w:val="1"/>
      <w:numFmt w:val="lowerRoman"/>
      <w:lvlText w:val="%3."/>
      <w:lvlJc w:val="right"/>
      <w:pPr>
        <w:ind w:left="3244" w:hanging="180"/>
      </w:pPr>
    </w:lvl>
    <w:lvl w:ilvl="3" w:tplc="0C09000F" w:tentative="1">
      <w:start w:val="1"/>
      <w:numFmt w:val="decimal"/>
      <w:lvlText w:val="%4."/>
      <w:lvlJc w:val="left"/>
      <w:pPr>
        <w:ind w:left="3964" w:hanging="360"/>
      </w:pPr>
    </w:lvl>
    <w:lvl w:ilvl="4" w:tplc="0C090019" w:tentative="1">
      <w:start w:val="1"/>
      <w:numFmt w:val="lowerLetter"/>
      <w:lvlText w:val="%5."/>
      <w:lvlJc w:val="left"/>
      <w:pPr>
        <w:ind w:left="4684" w:hanging="360"/>
      </w:pPr>
    </w:lvl>
    <w:lvl w:ilvl="5" w:tplc="0C09001B" w:tentative="1">
      <w:start w:val="1"/>
      <w:numFmt w:val="lowerRoman"/>
      <w:lvlText w:val="%6."/>
      <w:lvlJc w:val="right"/>
      <w:pPr>
        <w:ind w:left="5404" w:hanging="180"/>
      </w:pPr>
    </w:lvl>
    <w:lvl w:ilvl="6" w:tplc="0C09000F" w:tentative="1">
      <w:start w:val="1"/>
      <w:numFmt w:val="decimal"/>
      <w:lvlText w:val="%7."/>
      <w:lvlJc w:val="left"/>
      <w:pPr>
        <w:ind w:left="6124" w:hanging="360"/>
      </w:pPr>
    </w:lvl>
    <w:lvl w:ilvl="7" w:tplc="0C090019" w:tentative="1">
      <w:start w:val="1"/>
      <w:numFmt w:val="lowerLetter"/>
      <w:lvlText w:val="%8."/>
      <w:lvlJc w:val="left"/>
      <w:pPr>
        <w:ind w:left="6844" w:hanging="360"/>
      </w:pPr>
    </w:lvl>
    <w:lvl w:ilvl="8" w:tplc="0C09001B" w:tentative="1">
      <w:start w:val="1"/>
      <w:numFmt w:val="lowerRoman"/>
      <w:lvlText w:val="%9."/>
      <w:lvlJc w:val="right"/>
      <w:pPr>
        <w:ind w:left="7564" w:hanging="180"/>
      </w:pPr>
    </w:lvl>
  </w:abstractNum>
  <w:abstractNum w:abstractNumId="9" w15:restartNumberingAfterBreak="0">
    <w:nsid w:val="39924567"/>
    <w:multiLevelType w:val="hybridMultilevel"/>
    <w:tmpl w:val="DE9EFBDE"/>
    <w:lvl w:ilvl="0" w:tplc="13F0507A">
      <w:start w:val="1"/>
      <w:numFmt w:val="lowerLetter"/>
      <w:lvlText w:val="(%1)"/>
      <w:lvlJc w:val="left"/>
      <w:pPr>
        <w:ind w:left="1804" w:hanging="360"/>
      </w:pPr>
      <w:rPr>
        <w:rFonts w:hint="default"/>
      </w:rPr>
    </w:lvl>
    <w:lvl w:ilvl="1" w:tplc="0C090019" w:tentative="1">
      <w:start w:val="1"/>
      <w:numFmt w:val="lowerLetter"/>
      <w:lvlText w:val="%2."/>
      <w:lvlJc w:val="left"/>
      <w:pPr>
        <w:ind w:left="2524" w:hanging="360"/>
      </w:pPr>
    </w:lvl>
    <w:lvl w:ilvl="2" w:tplc="0C09001B" w:tentative="1">
      <w:start w:val="1"/>
      <w:numFmt w:val="lowerRoman"/>
      <w:lvlText w:val="%3."/>
      <w:lvlJc w:val="right"/>
      <w:pPr>
        <w:ind w:left="3244" w:hanging="180"/>
      </w:pPr>
    </w:lvl>
    <w:lvl w:ilvl="3" w:tplc="0C09000F" w:tentative="1">
      <w:start w:val="1"/>
      <w:numFmt w:val="decimal"/>
      <w:lvlText w:val="%4."/>
      <w:lvlJc w:val="left"/>
      <w:pPr>
        <w:ind w:left="3964" w:hanging="360"/>
      </w:pPr>
    </w:lvl>
    <w:lvl w:ilvl="4" w:tplc="0C090019" w:tentative="1">
      <w:start w:val="1"/>
      <w:numFmt w:val="lowerLetter"/>
      <w:lvlText w:val="%5."/>
      <w:lvlJc w:val="left"/>
      <w:pPr>
        <w:ind w:left="4684" w:hanging="360"/>
      </w:pPr>
    </w:lvl>
    <w:lvl w:ilvl="5" w:tplc="0C09001B" w:tentative="1">
      <w:start w:val="1"/>
      <w:numFmt w:val="lowerRoman"/>
      <w:lvlText w:val="%6."/>
      <w:lvlJc w:val="right"/>
      <w:pPr>
        <w:ind w:left="5404" w:hanging="180"/>
      </w:pPr>
    </w:lvl>
    <w:lvl w:ilvl="6" w:tplc="0C09000F" w:tentative="1">
      <w:start w:val="1"/>
      <w:numFmt w:val="decimal"/>
      <w:lvlText w:val="%7."/>
      <w:lvlJc w:val="left"/>
      <w:pPr>
        <w:ind w:left="6124" w:hanging="360"/>
      </w:pPr>
    </w:lvl>
    <w:lvl w:ilvl="7" w:tplc="0C090019" w:tentative="1">
      <w:start w:val="1"/>
      <w:numFmt w:val="lowerLetter"/>
      <w:lvlText w:val="%8."/>
      <w:lvlJc w:val="left"/>
      <w:pPr>
        <w:ind w:left="6844" w:hanging="360"/>
      </w:pPr>
    </w:lvl>
    <w:lvl w:ilvl="8" w:tplc="0C09001B" w:tentative="1">
      <w:start w:val="1"/>
      <w:numFmt w:val="lowerRoman"/>
      <w:lvlText w:val="%9."/>
      <w:lvlJc w:val="right"/>
      <w:pPr>
        <w:ind w:left="7564" w:hanging="180"/>
      </w:pPr>
    </w:lvl>
  </w:abstractNum>
  <w:abstractNum w:abstractNumId="10" w15:restartNumberingAfterBreak="0">
    <w:nsid w:val="3D594AEB"/>
    <w:multiLevelType w:val="hybridMultilevel"/>
    <w:tmpl w:val="9AA674D6"/>
    <w:lvl w:ilvl="0" w:tplc="89E82CF8">
      <w:start w:val="15"/>
      <w:numFmt w:val="decimal"/>
      <w:lvlText w:val="%1."/>
      <w:lvlJc w:val="left"/>
      <w:pPr>
        <w:ind w:left="360" w:hanging="360"/>
      </w:pPr>
      <w:rPr>
        <w:rFonts w:hint="default"/>
      </w:r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11" w15:restartNumberingAfterBreak="0">
    <w:nsid w:val="41E66782"/>
    <w:multiLevelType w:val="multilevel"/>
    <w:tmpl w:val="4118A45A"/>
    <w:lvl w:ilvl="0">
      <w:start w:val="12"/>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466B4186"/>
    <w:multiLevelType w:val="hybridMultilevel"/>
    <w:tmpl w:val="C13239FC"/>
    <w:lvl w:ilvl="0" w:tplc="FE24589A">
      <w:start w:val="16"/>
      <w:numFmt w:val="decimal"/>
      <w:lvlText w:val="%1."/>
      <w:lvlJc w:val="left"/>
      <w:pPr>
        <w:ind w:left="360" w:hanging="360"/>
      </w:pPr>
      <w:rPr>
        <w:rFonts w:hint="default"/>
      </w:r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13" w15:restartNumberingAfterBreak="0">
    <w:nsid w:val="493F3933"/>
    <w:multiLevelType w:val="hybridMultilevel"/>
    <w:tmpl w:val="74D44C9A"/>
    <w:lvl w:ilvl="0" w:tplc="B59225E6">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52358ED"/>
    <w:multiLevelType w:val="hybridMultilevel"/>
    <w:tmpl w:val="E90AAA3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61D502E"/>
    <w:multiLevelType w:val="multilevel"/>
    <w:tmpl w:val="333ABDA6"/>
    <w:lvl w:ilvl="0">
      <w:start w:val="20"/>
      <w:numFmt w:val="decimal"/>
      <w:lvlText w:val="%1."/>
      <w:lvlJc w:val="left"/>
      <w:pPr>
        <w:ind w:left="360" w:hanging="360"/>
      </w:pPr>
      <w:rPr>
        <w:rFonts w:hint="default"/>
      </w:rPr>
    </w:lvl>
    <w:lvl w:ilvl="1">
      <w:start w:val="1"/>
      <w:numFmt w:val="decimal"/>
      <w:isLgl/>
      <w:lvlText w:val="%1.%2"/>
      <w:lvlJc w:val="left"/>
      <w:pPr>
        <w:ind w:left="1444" w:hanging="735"/>
      </w:pPr>
      <w:rPr>
        <w:rFonts w:hint="default"/>
      </w:rPr>
    </w:lvl>
    <w:lvl w:ilvl="2">
      <w:start w:val="1"/>
      <w:numFmt w:val="decimal"/>
      <w:isLgl/>
      <w:lvlText w:val="%1.%2.%3"/>
      <w:lvlJc w:val="left"/>
      <w:pPr>
        <w:ind w:left="2153" w:hanging="735"/>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7123" w:hanging="2160"/>
      </w:pPr>
      <w:rPr>
        <w:rFonts w:hint="default"/>
      </w:rPr>
    </w:lvl>
    <w:lvl w:ilvl="8">
      <w:start w:val="1"/>
      <w:numFmt w:val="decimal"/>
      <w:isLgl/>
      <w:lvlText w:val="%1.%2.%3.%4.%5.%6.%7.%8.%9"/>
      <w:lvlJc w:val="left"/>
      <w:pPr>
        <w:ind w:left="7832" w:hanging="2160"/>
      </w:pPr>
      <w:rPr>
        <w:rFonts w:hint="default"/>
      </w:rPr>
    </w:lvl>
  </w:abstractNum>
  <w:abstractNum w:abstractNumId="16" w15:restartNumberingAfterBreak="0">
    <w:nsid w:val="5C8D6702"/>
    <w:multiLevelType w:val="hybridMultilevel"/>
    <w:tmpl w:val="9C62001E"/>
    <w:lvl w:ilvl="0" w:tplc="41F8345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62EC47FD"/>
    <w:multiLevelType w:val="hybridMultilevel"/>
    <w:tmpl w:val="8C505F64"/>
    <w:lvl w:ilvl="0" w:tplc="6A20C8E4">
      <w:start w:val="15"/>
      <w:numFmt w:val="decimal"/>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0">
    <w:nsid w:val="671B3572"/>
    <w:multiLevelType w:val="multilevel"/>
    <w:tmpl w:val="0F440D72"/>
    <w:lvl w:ilvl="0">
      <w:start w:val="3"/>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6EE401C7"/>
    <w:multiLevelType w:val="hybridMultilevel"/>
    <w:tmpl w:val="9C62001E"/>
    <w:lvl w:ilvl="0" w:tplc="41F8345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7A75404B"/>
    <w:multiLevelType w:val="hybridMultilevel"/>
    <w:tmpl w:val="A03E11C8"/>
    <w:lvl w:ilvl="0" w:tplc="3BACC3DE">
      <w:start w:val="1"/>
      <w:numFmt w:val="lowerLetter"/>
      <w:lvlText w:val="(%1)"/>
      <w:lvlJc w:val="left"/>
      <w:pPr>
        <w:ind w:left="1804" w:hanging="360"/>
      </w:pPr>
      <w:rPr>
        <w:rFonts w:hint="default"/>
      </w:rPr>
    </w:lvl>
    <w:lvl w:ilvl="1" w:tplc="0C090019" w:tentative="1">
      <w:start w:val="1"/>
      <w:numFmt w:val="lowerLetter"/>
      <w:lvlText w:val="%2."/>
      <w:lvlJc w:val="left"/>
      <w:pPr>
        <w:ind w:left="2524" w:hanging="360"/>
      </w:pPr>
    </w:lvl>
    <w:lvl w:ilvl="2" w:tplc="0C09001B" w:tentative="1">
      <w:start w:val="1"/>
      <w:numFmt w:val="lowerRoman"/>
      <w:lvlText w:val="%3."/>
      <w:lvlJc w:val="right"/>
      <w:pPr>
        <w:ind w:left="3244" w:hanging="180"/>
      </w:pPr>
    </w:lvl>
    <w:lvl w:ilvl="3" w:tplc="0C09000F" w:tentative="1">
      <w:start w:val="1"/>
      <w:numFmt w:val="decimal"/>
      <w:lvlText w:val="%4."/>
      <w:lvlJc w:val="left"/>
      <w:pPr>
        <w:ind w:left="3964" w:hanging="360"/>
      </w:pPr>
    </w:lvl>
    <w:lvl w:ilvl="4" w:tplc="0C090019" w:tentative="1">
      <w:start w:val="1"/>
      <w:numFmt w:val="lowerLetter"/>
      <w:lvlText w:val="%5."/>
      <w:lvlJc w:val="left"/>
      <w:pPr>
        <w:ind w:left="4684" w:hanging="360"/>
      </w:pPr>
    </w:lvl>
    <w:lvl w:ilvl="5" w:tplc="0C09001B" w:tentative="1">
      <w:start w:val="1"/>
      <w:numFmt w:val="lowerRoman"/>
      <w:lvlText w:val="%6."/>
      <w:lvlJc w:val="right"/>
      <w:pPr>
        <w:ind w:left="5404" w:hanging="180"/>
      </w:pPr>
    </w:lvl>
    <w:lvl w:ilvl="6" w:tplc="0C09000F" w:tentative="1">
      <w:start w:val="1"/>
      <w:numFmt w:val="decimal"/>
      <w:lvlText w:val="%7."/>
      <w:lvlJc w:val="left"/>
      <w:pPr>
        <w:ind w:left="6124" w:hanging="360"/>
      </w:pPr>
    </w:lvl>
    <w:lvl w:ilvl="7" w:tplc="0C090019" w:tentative="1">
      <w:start w:val="1"/>
      <w:numFmt w:val="lowerLetter"/>
      <w:lvlText w:val="%8."/>
      <w:lvlJc w:val="left"/>
      <w:pPr>
        <w:ind w:left="6844" w:hanging="360"/>
      </w:pPr>
    </w:lvl>
    <w:lvl w:ilvl="8" w:tplc="0C09001B" w:tentative="1">
      <w:start w:val="1"/>
      <w:numFmt w:val="lowerRoman"/>
      <w:lvlText w:val="%9."/>
      <w:lvlJc w:val="right"/>
      <w:pPr>
        <w:ind w:left="7564" w:hanging="180"/>
      </w:pPr>
    </w:lvl>
  </w:abstractNum>
  <w:num w:numId="1">
    <w:abstractNumId w:val="13"/>
  </w:num>
  <w:num w:numId="2">
    <w:abstractNumId w:val="14"/>
  </w:num>
  <w:num w:numId="3">
    <w:abstractNumId w:val="11"/>
  </w:num>
  <w:num w:numId="4">
    <w:abstractNumId w:val="3"/>
  </w:num>
  <w:num w:numId="5">
    <w:abstractNumId w:val="1"/>
  </w:num>
  <w:num w:numId="6">
    <w:abstractNumId w:val="4"/>
  </w:num>
  <w:num w:numId="7">
    <w:abstractNumId w:val="9"/>
  </w:num>
  <w:num w:numId="8">
    <w:abstractNumId w:val="0"/>
  </w:num>
  <w:num w:numId="9">
    <w:abstractNumId w:val="10"/>
  </w:num>
  <w:num w:numId="10">
    <w:abstractNumId w:val="8"/>
  </w:num>
  <w:num w:numId="11">
    <w:abstractNumId w:val="6"/>
  </w:num>
  <w:num w:numId="12">
    <w:abstractNumId w:val="16"/>
  </w:num>
  <w:num w:numId="13">
    <w:abstractNumId w:val="7"/>
  </w:num>
  <w:num w:numId="14">
    <w:abstractNumId w:val="12"/>
  </w:num>
  <w:num w:numId="15">
    <w:abstractNumId w:val="15"/>
  </w:num>
  <w:num w:numId="16">
    <w:abstractNumId w:val="2"/>
  </w:num>
  <w:num w:numId="17">
    <w:abstractNumId w:val="19"/>
  </w:num>
  <w:num w:numId="18">
    <w:abstractNumId w:val="20"/>
  </w:num>
  <w:num w:numId="19">
    <w:abstractNumId w:val="18"/>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45E8"/>
    <w:rsid w:val="00020431"/>
    <w:rsid w:val="00027066"/>
    <w:rsid w:val="0003710D"/>
    <w:rsid w:val="00040DF8"/>
    <w:rsid w:val="0004785F"/>
    <w:rsid w:val="00052B48"/>
    <w:rsid w:val="00052CDB"/>
    <w:rsid w:val="000549FC"/>
    <w:rsid w:val="00057AC3"/>
    <w:rsid w:val="000619CB"/>
    <w:rsid w:val="00063832"/>
    <w:rsid w:val="00081005"/>
    <w:rsid w:val="000839AF"/>
    <w:rsid w:val="00085362"/>
    <w:rsid w:val="00097B08"/>
    <w:rsid w:val="000A7648"/>
    <w:rsid w:val="000C2FF9"/>
    <w:rsid w:val="000D2AD2"/>
    <w:rsid w:val="000D613E"/>
    <w:rsid w:val="000F040B"/>
    <w:rsid w:val="00127214"/>
    <w:rsid w:val="00127E54"/>
    <w:rsid w:val="0014162F"/>
    <w:rsid w:val="0014566B"/>
    <w:rsid w:val="001810BC"/>
    <w:rsid w:val="001845C9"/>
    <w:rsid w:val="001A76EA"/>
    <w:rsid w:val="001C2960"/>
    <w:rsid w:val="001D081A"/>
    <w:rsid w:val="00206552"/>
    <w:rsid w:val="00212ACC"/>
    <w:rsid w:val="0022534D"/>
    <w:rsid w:val="002254CE"/>
    <w:rsid w:val="002372DD"/>
    <w:rsid w:val="00240385"/>
    <w:rsid w:val="0024119E"/>
    <w:rsid w:val="00260408"/>
    <w:rsid w:val="00260E94"/>
    <w:rsid w:val="00296CE5"/>
    <w:rsid w:val="002A08F9"/>
    <w:rsid w:val="002D4105"/>
    <w:rsid w:val="002D7ADF"/>
    <w:rsid w:val="002E346B"/>
    <w:rsid w:val="002F3FB4"/>
    <w:rsid w:val="002F3FEF"/>
    <w:rsid w:val="002F5C9D"/>
    <w:rsid w:val="00352469"/>
    <w:rsid w:val="00365631"/>
    <w:rsid w:val="0038738B"/>
    <w:rsid w:val="003A58C2"/>
    <w:rsid w:val="003A76C9"/>
    <w:rsid w:val="003C3FCB"/>
    <w:rsid w:val="003D0C2E"/>
    <w:rsid w:val="003D1238"/>
    <w:rsid w:val="003D24E7"/>
    <w:rsid w:val="003E10E9"/>
    <w:rsid w:val="003F4AF5"/>
    <w:rsid w:val="003F5CAD"/>
    <w:rsid w:val="003F5D2F"/>
    <w:rsid w:val="0040169C"/>
    <w:rsid w:val="0040456B"/>
    <w:rsid w:val="004231DD"/>
    <w:rsid w:val="00426333"/>
    <w:rsid w:val="00437A86"/>
    <w:rsid w:val="004401AF"/>
    <w:rsid w:val="00441B1D"/>
    <w:rsid w:val="00445C96"/>
    <w:rsid w:val="00446D2B"/>
    <w:rsid w:val="0046218A"/>
    <w:rsid w:val="00472075"/>
    <w:rsid w:val="00491604"/>
    <w:rsid w:val="00492793"/>
    <w:rsid w:val="004936B5"/>
    <w:rsid w:val="004A0181"/>
    <w:rsid w:val="004B0AE8"/>
    <w:rsid w:val="004D26AD"/>
    <w:rsid w:val="004D46D7"/>
    <w:rsid w:val="004F5678"/>
    <w:rsid w:val="004F6216"/>
    <w:rsid w:val="00507D6B"/>
    <w:rsid w:val="0051198E"/>
    <w:rsid w:val="005237AE"/>
    <w:rsid w:val="0053375E"/>
    <w:rsid w:val="005405A6"/>
    <w:rsid w:val="0054204B"/>
    <w:rsid w:val="005474E0"/>
    <w:rsid w:val="00556CED"/>
    <w:rsid w:val="00561C9C"/>
    <w:rsid w:val="005A05CC"/>
    <w:rsid w:val="005B27E5"/>
    <w:rsid w:val="005B5E75"/>
    <w:rsid w:val="005D0E69"/>
    <w:rsid w:val="005E5ABA"/>
    <w:rsid w:val="005F6A79"/>
    <w:rsid w:val="0060265D"/>
    <w:rsid w:val="00610D85"/>
    <w:rsid w:val="00617D38"/>
    <w:rsid w:val="006259E7"/>
    <w:rsid w:val="006374FB"/>
    <w:rsid w:val="006451B2"/>
    <w:rsid w:val="006556B0"/>
    <w:rsid w:val="00665EE5"/>
    <w:rsid w:val="00694920"/>
    <w:rsid w:val="006B046E"/>
    <w:rsid w:val="006D6AF7"/>
    <w:rsid w:val="006E0D79"/>
    <w:rsid w:val="006E657F"/>
    <w:rsid w:val="00717673"/>
    <w:rsid w:val="00730C07"/>
    <w:rsid w:val="00751269"/>
    <w:rsid w:val="00754FBA"/>
    <w:rsid w:val="00764C2E"/>
    <w:rsid w:val="00766D1A"/>
    <w:rsid w:val="00767C90"/>
    <w:rsid w:val="00774357"/>
    <w:rsid w:val="0077481E"/>
    <w:rsid w:val="00792E9B"/>
    <w:rsid w:val="007A0384"/>
    <w:rsid w:val="007C098F"/>
    <w:rsid w:val="007C2053"/>
    <w:rsid w:val="007D77DB"/>
    <w:rsid w:val="007E06ED"/>
    <w:rsid w:val="007F18B9"/>
    <w:rsid w:val="007F5C12"/>
    <w:rsid w:val="008109C7"/>
    <w:rsid w:val="00815777"/>
    <w:rsid w:val="008212E6"/>
    <w:rsid w:val="008438CF"/>
    <w:rsid w:val="0084403A"/>
    <w:rsid w:val="00846954"/>
    <w:rsid w:val="00855D92"/>
    <w:rsid w:val="00873E6C"/>
    <w:rsid w:val="00885239"/>
    <w:rsid w:val="008862EC"/>
    <w:rsid w:val="00897BEF"/>
    <w:rsid w:val="008A68FF"/>
    <w:rsid w:val="008B16AB"/>
    <w:rsid w:val="008B6582"/>
    <w:rsid w:val="008D17E7"/>
    <w:rsid w:val="008E0F72"/>
    <w:rsid w:val="008E3D59"/>
    <w:rsid w:val="008F3A90"/>
    <w:rsid w:val="008F6B6B"/>
    <w:rsid w:val="0091656C"/>
    <w:rsid w:val="00927FC8"/>
    <w:rsid w:val="00931DC6"/>
    <w:rsid w:val="00982C15"/>
    <w:rsid w:val="009B4E8C"/>
    <w:rsid w:val="009D6898"/>
    <w:rsid w:val="009D7A8A"/>
    <w:rsid w:val="009E3BE0"/>
    <w:rsid w:val="009F7F15"/>
    <w:rsid w:val="00A16EBC"/>
    <w:rsid w:val="00A24342"/>
    <w:rsid w:val="00A37D93"/>
    <w:rsid w:val="00A5772A"/>
    <w:rsid w:val="00A63AB1"/>
    <w:rsid w:val="00A76067"/>
    <w:rsid w:val="00A81A40"/>
    <w:rsid w:val="00A83140"/>
    <w:rsid w:val="00A951D8"/>
    <w:rsid w:val="00AA244B"/>
    <w:rsid w:val="00AA6B2A"/>
    <w:rsid w:val="00AA6C43"/>
    <w:rsid w:val="00AC5637"/>
    <w:rsid w:val="00AC7E29"/>
    <w:rsid w:val="00AC7F5E"/>
    <w:rsid w:val="00AD7207"/>
    <w:rsid w:val="00AE1214"/>
    <w:rsid w:val="00AF3D4F"/>
    <w:rsid w:val="00B22155"/>
    <w:rsid w:val="00B3296C"/>
    <w:rsid w:val="00B364A5"/>
    <w:rsid w:val="00B62DAB"/>
    <w:rsid w:val="00B6562C"/>
    <w:rsid w:val="00B7700B"/>
    <w:rsid w:val="00B924E6"/>
    <w:rsid w:val="00BA1128"/>
    <w:rsid w:val="00BA60C2"/>
    <w:rsid w:val="00BB1D34"/>
    <w:rsid w:val="00BC34CB"/>
    <w:rsid w:val="00BC593D"/>
    <w:rsid w:val="00BE3630"/>
    <w:rsid w:val="00BF501E"/>
    <w:rsid w:val="00C065C5"/>
    <w:rsid w:val="00C13D17"/>
    <w:rsid w:val="00C168E5"/>
    <w:rsid w:val="00C17E0F"/>
    <w:rsid w:val="00C25114"/>
    <w:rsid w:val="00C43910"/>
    <w:rsid w:val="00C51489"/>
    <w:rsid w:val="00C66137"/>
    <w:rsid w:val="00C8633D"/>
    <w:rsid w:val="00C92D9E"/>
    <w:rsid w:val="00C96F8F"/>
    <w:rsid w:val="00CB1AE4"/>
    <w:rsid w:val="00CB6A63"/>
    <w:rsid w:val="00CC1F43"/>
    <w:rsid w:val="00CF1B28"/>
    <w:rsid w:val="00CF5FDE"/>
    <w:rsid w:val="00D02BD3"/>
    <w:rsid w:val="00D107FC"/>
    <w:rsid w:val="00D65EC5"/>
    <w:rsid w:val="00D82D75"/>
    <w:rsid w:val="00D906CE"/>
    <w:rsid w:val="00DD03E3"/>
    <w:rsid w:val="00DF4C51"/>
    <w:rsid w:val="00E16BCC"/>
    <w:rsid w:val="00E32448"/>
    <w:rsid w:val="00E4259C"/>
    <w:rsid w:val="00E42FCC"/>
    <w:rsid w:val="00E435E3"/>
    <w:rsid w:val="00E80B6E"/>
    <w:rsid w:val="00E87360"/>
    <w:rsid w:val="00EC2908"/>
    <w:rsid w:val="00F13DB1"/>
    <w:rsid w:val="00F2076C"/>
    <w:rsid w:val="00F2776A"/>
    <w:rsid w:val="00F37376"/>
    <w:rsid w:val="00F416D6"/>
    <w:rsid w:val="00F5724C"/>
    <w:rsid w:val="00F576D9"/>
    <w:rsid w:val="00F758E8"/>
    <w:rsid w:val="00F85E7E"/>
    <w:rsid w:val="00F90395"/>
    <w:rsid w:val="00FA3575"/>
    <w:rsid w:val="00FA7981"/>
    <w:rsid w:val="00FB1E2B"/>
    <w:rsid w:val="00FC45E8"/>
    <w:rsid w:val="00FF1099"/>
    <w:rsid w:val="00FF6379"/>
    <w:rsid w:val="00FF70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5779342"/>
  <w15:chartTrackingRefBased/>
  <w15:docId w15:val="{B0486DE3-BEBA-4496-8DAC-44AF144D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582"/>
    <w:pPr>
      <w:ind w:left="720"/>
      <w:contextualSpacing/>
    </w:pPr>
  </w:style>
  <w:style w:type="character" w:styleId="CommentReference">
    <w:name w:val="annotation reference"/>
    <w:uiPriority w:val="99"/>
    <w:semiHidden/>
    <w:unhideWhenUsed/>
    <w:rsid w:val="00C51489"/>
    <w:rPr>
      <w:sz w:val="16"/>
      <w:szCs w:val="16"/>
    </w:rPr>
  </w:style>
  <w:style w:type="paragraph" w:styleId="CommentText">
    <w:name w:val="annotation text"/>
    <w:basedOn w:val="Normal"/>
    <w:link w:val="CommentTextChar"/>
    <w:uiPriority w:val="99"/>
    <w:unhideWhenUsed/>
    <w:rsid w:val="00C51489"/>
    <w:pPr>
      <w:spacing w:line="240" w:lineRule="auto"/>
    </w:pPr>
    <w:rPr>
      <w:sz w:val="20"/>
      <w:szCs w:val="20"/>
    </w:rPr>
  </w:style>
  <w:style w:type="character" w:customStyle="1" w:styleId="CommentTextChar">
    <w:name w:val="Comment Text Char"/>
    <w:link w:val="CommentText"/>
    <w:uiPriority w:val="99"/>
    <w:rsid w:val="00C51489"/>
    <w:rPr>
      <w:sz w:val="20"/>
      <w:szCs w:val="20"/>
    </w:rPr>
  </w:style>
  <w:style w:type="paragraph" w:styleId="CommentSubject">
    <w:name w:val="annotation subject"/>
    <w:basedOn w:val="CommentText"/>
    <w:next w:val="CommentText"/>
    <w:link w:val="CommentSubjectChar"/>
    <w:uiPriority w:val="99"/>
    <w:semiHidden/>
    <w:unhideWhenUsed/>
    <w:rsid w:val="00C51489"/>
    <w:rPr>
      <w:b/>
      <w:bCs/>
    </w:rPr>
  </w:style>
  <w:style w:type="character" w:customStyle="1" w:styleId="CommentSubjectChar">
    <w:name w:val="Comment Subject Char"/>
    <w:link w:val="CommentSubject"/>
    <w:uiPriority w:val="99"/>
    <w:semiHidden/>
    <w:rsid w:val="00C51489"/>
    <w:rPr>
      <w:b/>
      <w:bCs/>
      <w:sz w:val="20"/>
      <w:szCs w:val="20"/>
    </w:rPr>
  </w:style>
  <w:style w:type="paragraph" w:styleId="BalloonText">
    <w:name w:val="Balloon Text"/>
    <w:basedOn w:val="Normal"/>
    <w:link w:val="BalloonTextChar"/>
    <w:uiPriority w:val="99"/>
    <w:semiHidden/>
    <w:unhideWhenUsed/>
    <w:rsid w:val="00C514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1489"/>
    <w:rPr>
      <w:rFonts w:ascii="Tahoma" w:hAnsi="Tahoma" w:cs="Tahoma"/>
      <w:sz w:val="16"/>
      <w:szCs w:val="16"/>
    </w:rPr>
  </w:style>
  <w:style w:type="character" w:styleId="Hyperlink">
    <w:name w:val="Hyperlink"/>
    <w:uiPriority w:val="99"/>
    <w:unhideWhenUsed/>
    <w:rsid w:val="008212E6"/>
    <w:rPr>
      <w:color w:val="0000FF"/>
      <w:u w:val="single"/>
    </w:rPr>
  </w:style>
  <w:style w:type="paragraph" w:styleId="Header">
    <w:name w:val="header"/>
    <w:basedOn w:val="Normal"/>
    <w:link w:val="HeaderChar"/>
    <w:uiPriority w:val="99"/>
    <w:unhideWhenUsed/>
    <w:rsid w:val="00462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18A"/>
  </w:style>
  <w:style w:type="paragraph" w:styleId="Footer">
    <w:name w:val="footer"/>
    <w:basedOn w:val="Normal"/>
    <w:link w:val="FooterChar"/>
    <w:uiPriority w:val="99"/>
    <w:unhideWhenUsed/>
    <w:rsid w:val="00462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18A"/>
  </w:style>
  <w:style w:type="table" w:styleId="TableGrid">
    <w:name w:val="Table Grid"/>
    <w:basedOn w:val="TableNormal"/>
    <w:uiPriority w:val="59"/>
    <w:rsid w:val="005F6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322910">
      <w:bodyDiv w:val="1"/>
      <w:marLeft w:val="0"/>
      <w:marRight w:val="0"/>
      <w:marTop w:val="0"/>
      <w:marBottom w:val="0"/>
      <w:divBdr>
        <w:top w:val="none" w:sz="0" w:space="0" w:color="auto"/>
        <w:left w:val="none" w:sz="0" w:space="0" w:color="auto"/>
        <w:bottom w:val="none" w:sz="0" w:space="0" w:color="auto"/>
        <w:right w:val="none" w:sz="0" w:space="0" w:color="auto"/>
      </w:divBdr>
      <w:divsChild>
        <w:div w:id="197275834">
          <w:marLeft w:val="0"/>
          <w:marRight w:val="0"/>
          <w:marTop w:val="0"/>
          <w:marBottom w:val="0"/>
          <w:divBdr>
            <w:top w:val="none" w:sz="0" w:space="0" w:color="auto"/>
            <w:left w:val="none" w:sz="0" w:space="0" w:color="auto"/>
            <w:bottom w:val="none" w:sz="0" w:space="0" w:color="auto"/>
            <w:right w:val="none" w:sz="0" w:space="0" w:color="auto"/>
          </w:divBdr>
          <w:divsChild>
            <w:div w:id="193690608">
              <w:marLeft w:val="0"/>
              <w:marRight w:val="0"/>
              <w:marTop w:val="0"/>
              <w:marBottom w:val="0"/>
              <w:divBdr>
                <w:top w:val="none" w:sz="0" w:space="0" w:color="auto"/>
                <w:left w:val="none" w:sz="0" w:space="0" w:color="auto"/>
                <w:bottom w:val="none" w:sz="0" w:space="0" w:color="auto"/>
                <w:right w:val="none" w:sz="0" w:space="0" w:color="auto"/>
              </w:divBdr>
            </w:div>
            <w:div w:id="470169778">
              <w:marLeft w:val="0"/>
              <w:marRight w:val="0"/>
              <w:marTop w:val="0"/>
              <w:marBottom w:val="0"/>
              <w:divBdr>
                <w:top w:val="none" w:sz="0" w:space="0" w:color="auto"/>
                <w:left w:val="none" w:sz="0" w:space="0" w:color="auto"/>
                <w:bottom w:val="none" w:sz="0" w:space="0" w:color="auto"/>
                <w:right w:val="none" w:sz="0" w:space="0" w:color="auto"/>
              </w:divBdr>
            </w:div>
            <w:div w:id="160946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5452">
      <w:bodyDiv w:val="1"/>
      <w:marLeft w:val="0"/>
      <w:marRight w:val="0"/>
      <w:marTop w:val="0"/>
      <w:marBottom w:val="0"/>
      <w:divBdr>
        <w:top w:val="none" w:sz="0" w:space="0" w:color="auto"/>
        <w:left w:val="none" w:sz="0" w:space="0" w:color="auto"/>
        <w:bottom w:val="none" w:sz="0" w:space="0" w:color="auto"/>
        <w:right w:val="none" w:sz="0" w:space="0" w:color="auto"/>
      </w:divBdr>
      <w:divsChild>
        <w:div w:id="1182862253">
          <w:marLeft w:val="0"/>
          <w:marRight w:val="0"/>
          <w:marTop w:val="0"/>
          <w:marBottom w:val="0"/>
          <w:divBdr>
            <w:top w:val="none" w:sz="0" w:space="0" w:color="auto"/>
            <w:left w:val="none" w:sz="0" w:space="0" w:color="auto"/>
            <w:bottom w:val="none" w:sz="0" w:space="0" w:color="auto"/>
            <w:right w:val="none" w:sz="0" w:space="0" w:color="auto"/>
          </w:divBdr>
          <w:divsChild>
            <w:div w:id="15669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7F48A-B878-4CF6-AE85-80CB35A0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Human Services</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Horzitski</dc:creator>
  <cp:keywords/>
  <cp:lastModifiedBy>Evan McGregor</cp:lastModifiedBy>
  <cp:revision>2</cp:revision>
  <cp:lastPrinted>2020-05-18T01:02:00Z</cp:lastPrinted>
  <dcterms:created xsi:type="dcterms:W3CDTF">2020-05-18T01:03:00Z</dcterms:created>
  <dcterms:modified xsi:type="dcterms:W3CDTF">2020-05-18T01:03:00Z</dcterms:modified>
</cp:coreProperties>
</file>