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B98C9" w14:textId="77777777" w:rsidR="009D4F1E" w:rsidRDefault="009D4F1E" w:rsidP="009D4F1E">
      <w:pPr>
        <w:pStyle w:val="MHRCbody"/>
        <w:tabs>
          <w:tab w:val="left" w:pos="3585"/>
        </w:tabs>
      </w:pPr>
      <w:bookmarkStart w:id="0" w:name="_Hlk11920627"/>
      <w:r>
        <w:rPr>
          <w:noProof/>
        </w:rPr>
        <w:drawing>
          <wp:anchor distT="0" distB="0" distL="114300" distR="114300" simplePos="0" relativeHeight="251659264" behindDoc="1" locked="0" layoutInCell="1" allowOverlap="1" wp14:anchorId="530B6C19" wp14:editId="783EE554">
            <wp:simplePos x="0" y="0"/>
            <wp:positionH relativeFrom="page">
              <wp:align>right</wp:align>
            </wp:positionH>
            <wp:positionV relativeFrom="paragraph">
              <wp:posOffset>-1800225</wp:posOffset>
            </wp:positionV>
            <wp:extent cx="7548634"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T Generic Document Cover (June 2019).jpg"/>
                    <pic:cNvPicPr/>
                  </pic:nvPicPr>
                  <pic:blipFill>
                    <a:blip r:embed="rId8"/>
                    <a:stretch>
                      <a:fillRect/>
                    </a:stretch>
                  </pic:blipFill>
                  <pic:spPr>
                    <a:xfrm>
                      <a:off x="0" y="0"/>
                      <a:ext cx="7548634" cy="10677525"/>
                    </a:xfrm>
                    <a:prstGeom prst="rect">
                      <a:avLst/>
                    </a:prstGeom>
                  </pic:spPr>
                </pic:pic>
              </a:graphicData>
            </a:graphic>
            <wp14:sizeRelH relativeFrom="page">
              <wp14:pctWidth>0</wp14:pctWidth>
            </wp14:sizeRelH>
            <wp14:sizeRelV relativeFrom="page">
              <wp14:pctHeight>0</wp14:pctHeight>
            </wp14:sizeRelV>
          </wp:anchor>
        </w:drawing>
      </w:r>
      <w:r>
        <w:tab/>
      </w:r>
    </w:p>
    <w:tbl>
      <w:tblPr>
        <w:tblpPr w:leftFromText="180" w:rightFromText="180" w:vertAnchor="page" w:horzAnchor="margin" w:tblpXSpec="right" w:tblpY="5881"/>
        <w:tblW w:w="7938" w:type="dxa"/>
        <w:tblCellMar>
          <w:left w:w="0" w:type="dxa"/>
          <w:right w:w="0" w:type="dxa"/>
        </w:tblCellMar>
        <w:tblLook w:val="04A0" w:firstRow="1" w:lastRow="0" w:firstColumn="1" w:lastColumn="0" w:noHBand="0" w:noVBand="1"/>
      </w:tblPr>
      <w:tblGrid>
        <w:gridCol w:w="7938"/>
      </w:tblGrid>
      <w:tr w:rsidR="009D4F1E" w:rsidRPr="003072C6" w14:paraId="69DC523F" w14:textId="77777777" w:rsidTr="00D43813">
        <w:trPr>
          <w:trHeight w:val="3988"/>
        </w:trPr>
        <w:tc>
          <w:tcPr>
            <w:tcW w:w="7938" w:type="dxa"/>
            <w:shd w:val="clear" w:color="auto" w:fill="auto"/>
          </w:tcPr>
          <w:p w14:paraId="3FA129E4" w14:textId="40706A8D" w:rsidR="009D4F1E" w:rsidRPr="00AB1E18" w:rsidRDefault="009D4F1E" w:rsidP="00D43813">
            <w:pPr>
              <w:pStyle w:val="MHTreportmaintitleteal"/>
              <w:rPr>
                <w:b/>
                <w:color w:val="FFFFFF" w:themeColor="background1"/>
              </w:rPr>
            </w:pPr>
            <w:r>
              <w:rPr>
                <w:b/>
                <w:color w:val="FFFFFF" w:themeColor="background1"/>
              </w:rPr>
              <w:t>Productivity Commission Mental Health Inquiry</w:t>
            </w:r>
          </w:p>
          <w:p w14:paraId="24D0E59F" w14:textId="77777777" w:rsidR="009D4F1E" w:rsidRPr="00AB1E18" w:rsidRDefault="009D4F1E" w:rsidP="00D43813">
            <w:pPr>
              <w:pStyle w:val="MHTreportmaintitleteal"/>
              <w:rPr>
                <w:b/>
                <w:color w:val="FFFFFF" w:themeColor="background1"/>
              </w:rPr>
            </w:pPr>
          </w:p>
          <w:p w14:paraId="7D05DDC6" w14:textId="7CDEA96C" w:rsidR="009D4F1E" w:rsidRPr="00DC71F4" w:rsidRDefault="009D4F1E" w:rsidP="00D43813">
            <w:pPr>
              <w:pStyle w:val="MHTreportmaintitleteal"/>
              <w:rPr>
                <w:b/>
                <w:color w:val="FFFFFF" w:themeColor="background1"/>
                <w:sz w:val="36"/>
              </w:rPr>
            </w:pPr>
            <w:r>
              <w:rPr>
                <w:b/>
                <w:color w:val="FFFFFF" w:themeColor="background1"/>
                <w:sz w:val="36"/>
              </w:rPr>
              <w:t>S</w:t>
            </w:r>
            <w:r w:rsidRPr="00DC71F4">
              <w:rPr>
                <w:b/>
                <w:color w:val="FFFFFF" w:themeColor="background1"/>
                <w:sz w:val="36"/>
              </w:rPr>
              <w:t xml:space="preserve">ubmission </w:t>
            </w:r>
            <w:r w:rsidR="00E3233F">
              <w:rPr>
                <w:b/>
                <w:color w:val="FFFFFF" w:themeColor="background1"/>
                <w:sz w:val="36"/>
              </w:rPr>
              <w:t>by</w:t>
            </w:r>
            <w:r w:rsidRPr="00DC71F4">
              <w:rPr>
                <w:b/>
                <w:color w:val="FFFFFF" w:themeColor="background1"/>
                <w:sz w:val="36"/>
              </w:rPr>
              <w:t xml:space="preserve"> the Victorian Mental Health Tribunal</w:t>
            </w:r>
            <w:r>
              <w:rPr>
                <w:b/>
                <w:color w:val="FFFFFF" w:themeColor="background1"/>
                <w:sz w:val="36"/>
              </w:rPr>
              <w:t xml:space="preserve"> in response to the draft report</w:t>
            </w:r>
          </w:p>
          <w:p w14:paraId="6519ED0A" w14:textId="77777777" w:rsidR="009D4F1E" w:rsidRPr="00DD28B3" w:rsidRDefault="009D4F1E" w:rsidP="00D43813">
            <w:pPr>
              <w:pStyle w:val="MHTreportmaintitleteal"/>
              <w:rPr>
                <w:color w:val="FFFFFF" w:themeColor="background1"/>
              </w:rPr>
            </w:pPr>
          </w:p>
          <w:p w14:paraId="2EA77911" w14:textId="3EAE4204" w:rsidR="009D4F1E" w:rsidRPr="00655C10" w:rsidRDefault="009D4F1E" w:rsidP="00D43813">
            <w:pPr>
              <w:pStyle w:val="MHTreportsubtitle"/>
              <w:rPr>
                <w:b/>
                <w:color w:val="FFFFFF" w:themeColor="background1"/>
              </w:rPr>
            </w:pPr>
            <w:r>
              <w:rPr>
                <w:b/>
                <w:color w:val="FFFFFF" w:themeColor="background1"/>
              </w:rPr>
              <w:t>January</w:t>
            </w:r>
            <w:r w:rsidRPr="00655C10">
              <w:rPr>
                <w:b/>
                <w:color w:val="FFFFFF" w:themeColor="background1"/>
              </w:rPr>
              <w:t xml:space="preserve"> 20</w:t>
            </w:r>
            <w:r>
              <w:rPr>
                <w:b/>
                <w:color w:val="FFFFFF" w:themeColor="background1"/>
              </w:rPr>
              <w:t>20</w:t>
            </w:r>
          </w:p>
        </w:tc>
      </w:tr>
      <w:tr w:rsidR="009D4F1E" w:rsidRPr="003072C6" w14:paraId="38D791CF" w14:textId="77777777" w:rsidTr="00D43813">
        <w:trPr>
          <w:trHeight w:val="80"/>
        </w:trPr>
        <w:tc>
          <w:tcPr>
            <w:tcW w:w="7938" w:type="dxa"/>
            <w:shd w:val="clear" w:color="auto" w:fill="auto"/>
          </w:tcPr>
          <w:p w14:paraId="444C2942" w14:textId="77777777" w:rsidR="009D4F1E" w:rsidRPr="00DD28B3" w:rsidRDefault="009D4F1E" w:rsidP="00D43813">
            <w:pPr>
              <w:pStyle w:val="Coverinstructions"/>
              <w:rPr>
                <w:color w:val="FFFFFF" w:themeColor="background1"/>
              </w:rPr>
            </w:pPr>
          </w:p>
        </w:tc>
      </w:tr>
    </w:tbl>
    <w:p w14:paraId="41017AF4" w14:textId="77777777" w:rsidR="009D4F1E" w:rsidRDefault="009D4F1E" w:rsidP="009D4F1E">
      <w:pPr>
        <w:pStyle w:val="MHRCbody"/>
        <w:tabs>
          <w:tab w:val="left" w:pos="3585"/>
        </w:tabs>
      </w:pPr>
    </w:p>
    <w:p w14:paraId="70D6CACA" w14:textId="77777777" w:rsidR="009D4F1E" w:rsidRDefault="009D4F1E" w:rsidP="009D4F1E">
      <w:pPr>
        <w:pStyle w:val="MHRCbody"/>
        <w:tabs>
          <w:tab w:val="left" w:pos="2040"/>
        </w:tabs>
      </w:pPr>
      <w:r>
        <w:tab/>
      </w:r>
    </w:p>
    <w:p w14:paraId="7B2E93A7" w14:textId="77777777" w:rsidR="009D4F1E" w:rsidRDefault="009D4F1E" w:rsidP="009D4F1E">
      <w:pPr>
        <w:rPr>
          <w:sz w:val="22"/>
          <w:szCs w:val="22"/>
        </w:rPr>
      </w:pPr>
      <w:r>
        <w:rPr>
          <w:sz w:val="22"/>
          <w:szCs w:val="22"/>
        </w:rPr>
        <w:br w:type="page"/>
      </w:r>
    </w:p>
    <w:p w14:paraId="44E359A4" w14:textId="77777777" w:rsidR="009D4F1E" w:rsidRDefault="009D4F1E" w:rsidP="009D4F1E">
      <w:pPr>
        <w:spacing w:before="240" w:after="240"/>
        <w:rPr>
          <w:sz w:val="22"/>
          <w:szCs w:val="22"/>
        </w:rPr>
        <w:sectPr w:rsidR="009D4F1E" w:rsidSect="00D43813">
          <w:pgSz w:w="11906" w:h="16838" w:code="9"/>
          <w:pgMar w:top="2835" w:right="1191" w:bottom="1418" w:left="2211" w:header="510" w:footer="510" w:gutter="0"/>
          <w:cols w:space="708"/>
          <w:docGrid w:linePitch="360"/>
        </w:sectPr>
      </w:pPr>
    </w:p>
    <w:p w14:paraId="6E336474" w14:textId="078A7B09" w:rsidR="0082623A" w:rsidRPr="0082623A" w:rsidRDefault="0082623A" w:rsidP="0082623A">
      <w:pPr>
        <w:keepNext/>
        <w:keepLines/>
        <w:spacing w:before="240" w:after="90"/>
        <w:contextualSpacing/>
        <w:jc w:val="center"/>
        <w:outlineLvl w:val="1"/>
        <w:rPr>
          <w:rFonts w:ascii="Arial" w:hAnsi="Arial" w:cs="Arial"/>
          <w:b/>
          <w:caps/>
          <w:sz w:val="20"/>
          <w:szCs w:val="20"/>
        </w:rPr>
      </w:pPr>
      <w:r w:rsidRPr="0082623A">
        <w:rPr>
          <w:rFonts w:ascii="Arial" w:hAnsi="Arial" w:cs="Arial"/>
          <w:b/>
          <w:caps/>
          <w:sz w:val="20"/>
          <w:szCs w:val="20"/>
        </w:rPr>
        <w:lastRenderedPageBreak/>
        <w:t>CONTENTS</w:t>
      </w:r>
    </w:p>
    <w:bookmarkEnd w:id="0"/>
    <w:p w14:paraId="44A1AE40" w14:textId="5D2C5580" w:rsidR="0082623A" w:rsidRPr="0082623A" w:rsidRDefault="0082623A" w:rsidP="0082623A">
      <w:pPr>
        <w:keepNext/>
        <w:keepLines/>
        <w:spacing w:before="240" w:after="90"/>
        <w:contextualSpacing/>
        <w:outlineLvl w:val="1"/>
        <w:rPr>
          <w:rFonts w:ascii="Arial" w:hAnsi="Arial" w:cs="Arial"/>
          <w:b/>
          <w:caps/>
          <w:sz w:val="20"/>
          <w:szCs w:val="20"/>
        </w:rPr>
      </w:pPr>
    </w:p>
    <w:p w14:paraId="09A6ADB0" w14:textId="08C3F17E" w:rsidR="0082623A" w:rsidRPr="0082623A" w:rsidRDefault="0082623A" w:rsidP="0082623A">
      <w:pPr>
        <w:keepNext/>
        <w:keepLines/>
        <w:spacing w:before="240" w:after="90"/>
        <w:contextualSpacing/>
        <w:outlineLvl w:val="1"/>
        <w:rPr>
          <w:rFonts w:ascii="Arial" w:hAnsi="Arial" w:cs="Arial"/>
          <w:b/>
          <w:caps/>
          <w:sz w:val="20"/>
          <w:szCs w:val="20"/>
        </w:rPr>
      </w:pPr>
      <w:r w:rsidRPr="0082623A">
        <w:rPr>
          <w:rFonts w:ascii="Arial" w:hAnsi="Arial" w:cs="Arial"/>
          <w:b/>
          <w:caps/>
          <w:sz w:val="20"/>
          <w:szCs w:val="20"/>
        </w:rPr>
        <w:t>Executive Summary</w:t>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Pr="0082623A">
        <w:rPr>
          <w:rFonts w:ascii="Arial" w:hAnsi="Arial" w:cs="Arial"/>
          <w:b/>
          <w:caps/>
          <w:sz w:val="20"/>
          <w:szCs w:val="20"/>
        </w:rPr>
        <w:tab/>
      </w:r>
      <w:r w:rsidR="00E22110">
        <w:rPr>
          <w:rFonts w:ascii="Arial" w:hAnsi="Arial" w:cs="Arial"/>
          <w:b/>
          <w:caps/>
          <w:sz w:val="20"/>
          <w:szCs w:val="20"/>
        </w:rPr>
        <w:tab/>
        <w:t xml:space="preserve">         </w:t>
      </w:r>
      <w:r w:rsidR="009D4F1E">
        <w:rPr>
          <w:rFonts w:ascii="Arial" w:hAnsi="Arial" w:cs="Arial"/>
          <w:b/>
          <w:caps/>
          <w:sz w:val="20"/>
          <w:szCs w:val="20"/>
        </w:rPr>
        <w:t>3</w:t>
      </w:r>
    </w:p>
    <w:p w14:paraId="5A61E3A5" w14:textId="77777777" w:rsidR="0082623A" w:rsidRPr="0082623A" w:rsidRDefault="0082623A" w:rsidP="0082623A">
      <w:pPr>
        <w:spacing w:after="120"/>
        <w:contextualSpacing/>
        <w:jc w:val="both"/>
        <w:rPr>
          <w:rFonts w:ascii="Arial" w:eastAsia="Times" w:hAnsi="Arial" w:cs="Arial"/>
          <w:sz w:val="20"/>
          <w:szCs w:val="20"/>
          <w:highlight w:val="yellow"/>
        </w:rPr>
      </w:pPr>
    </w:p>
    <w:p w14:paraId="6C4701F2" w14:textId="77777777" w:rsidR="0082623A" w:rsidRPr="0082623A" w:rsidRDefault="0082623A" w:rsidP="0082623A">
      <w:pPr>
        <w:spacing w:after="120"/>
        <w:contextualSpacing/>
        <w:jc w:val="both"/>
        <w:rPr>
          <w:rFonts w:ascii="Arial" w:eastAsia="Times" w:hAnsi="Arial" w:cs="Arial"/>
          <w:sz w:val="20"/>
          <w:szCs w:val="20"/>
        </w:rPr>
      </w:pPr>
    </w:p>
    <w:p w14:paraId="7B228910" w14:textId="7F16C70F" w:rsidR="0082623A" w:rsidRPr="0082623A" w:rsidRDefault="0082623A" w:rsidP="0082623A">
      <w:pPr>
        <w:keepNext/>
        <w:keepLines/>
        <w:numPr>
          <w:ilvl w:val="0"/>
          <w:numId w:val="7"/>
        </w:numPr>
        <w:spacing w:before="240" w:after="90"/>
        <w:contextualSpacing/>
        <w:outlineLvl w:val="1"/>
        <w:rPr>
          <w:rFonts w:ascii="Arial" w:hAnsi="Arial" w:cs="Arial"/>
          <w:b/>
          <w:sz w:val="20"/>
          <w:szCs w:val="20"/>
        </w:rPr>
      </w:pPr>
      <w:r>
        <w:rPr>
          <w:rFonts w:ascii="Arial" w:hAnsi="Arial" w:cs="Arial"/>
          <w:b/>
          <w:sz w:val="20"/>
          <w:szCs w:val="20"/>
        </w:rPr>
        <w:t>BACKGROUND</w:t>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r>
      <w:r w:rsidR="00D650F8">
        <w:rPr>
          <w:rFonts w:ascii="Arial" w:hAnsi="Arial" w:cs="Arial"/>
          <w:b/>
          <w:sz w:val="20"/>
          <w:szCs w:val="20"/>
        </w:rPr>
        <w:tab/>
        <w:t xml:space="preserve">         </w:t>
      </w:r>
      <w:r w:rsidR="009D4F1E">
        <w:rPr>
          <w:rFonts w:ascii="Arial" w:hAnsi="Arial" w:cs="Arial"/>
          <w:b/>
          <w:sz w:val="20"/>
          <w:szCs w:val="20"/>
        </w:rPr>
        <w:t>4</w:t>
      </w:r>
    </w:p>
    <w:p w14:paraId="24308F0D" w14:textId="29008E9D" w:rsidR="00D650F8" w:rsidRDefault="00D650F8" w:rsidP="00AC1530">
      <w:pPr>
        <w:pStyle w:val="ListParagraph"/>
        <w:keepNext/>
        <w:keepLines/>
        <w:numPr>
          <w:ilvl w:val="1"/>
          <w:numId w:val="7"/>
        </w:numPr>
        <w:spacing w:before="240" w:after="90"/>
        <w:ind w:left="750"/>
        <w:jc w:val="both"/>
        <w:outlineLvl w:val="1"/>
        <w:rPr>
          <w:rFonts w:ascii="Arial" w:hAnsi="Arial" w:cs="Arial"/>
          <w:sz w:val="20"/>
          <w:szCs w:val="20"/>
        </w:rPr>
      </w:pPr>
      <w:r w:rsidRPr="00D650F8">
        <w:rPr>
          <w:rFonts w:ascii="Arial" w:hAnsi="Arial" w:cs="Arial"/>
          <w:sz w:val="20"/>
          <w:szCs w:val="20"/>
        </w:rPr>
        <w:t xml:space="preserve">The </w:t>
      </w:r>
      <w:r>
        <w:rPr>
          <w:rFonts w:ascii="Arial" w:hAnsi="Arial" w:cs="Arial"/>
          <w:sz w:val="20"/>
          <w:szCs w:val="20"/>
        </w:rPr>
        <w:t>r</w:t>
      </w:r>
      <w:r w:rsidRPr="00D650F8">
        <w:rPr>
          <w:rFonts w:ascii="Arial" w:hAnsi="Arial" w:cs="Arial"/>
          <w:sz w:val="20"/>
          <w:szCs w:val="20"/>
        </w:rPr>
        <w:t>ole of the Mental Health Tribunal</w:t>
      </w:r>
    </w:p>
    <w:p w14:paraId="2257605B" w14:textId="77777777" w:rsidR="00D650F8" w:rsidRPr="00D650F8" w:rsidRDefault="00D650F8" w:rsidP="00AC1530">
      <w:pPr>
        <w:pStyle w:val="ListParagraph"/>
        <w:keepNext/>
        <w:keepLines/>
        <w:spacing w:before="240" w:after="90"/>
        <w:ind w:left="750"/>
        <w:jc w:val="both"/>
        <w:outlineLvl w:val="1"/>
        <w:rPr>
          <w:rFonts w:ascii="Arial" w:hAnsi="Arial" w:cs="Arial"/>
          <w:sz w:val="20"/>
          <w:szCs w:val="20"/>
        </w:rPr>
      </w:pPr>
    </w:p>
    <w:p w14:paraId="1A152C58" w14:textId="4DDCA19B" w:rsidR="0082623A" w:rsidRPr="00D650F8" w:rsidRDefault="0082623A" w:rsidP="00AC1530">
      <w:pPr>
        <w:pStyle w:val="ListParagraph"/>
        <w:keepNext/>
        <w:keepLines/>
        <w:numPr>
          <w:ilvl w:val="1"/>
          <w:numId w:val="7"/>
        </w:numPr>
        <w:spacing w:before="240" w:after="90"/>
        <w:ind w:left="750"/>
        <w:jc w:val="both"/>
        <w:outlineLvl w:val="1"/>
        <w:rPr>
          <w:rFonts w:ascii="Arial" w:hAnsi="Arial" w:cs="Arial"/>
          <w:sz w:val="20"/>
          <w:szCs w:val="20"/>
        </w:rPr>
      </w:pPr>
      <w:r w:rsidRPr="00D650F8">
        <w:rPr>
          <w:rFonts w:ascii="Arial" w:hAnsi="Arial" w:cs="Arial"/>
          <w:sz w:val="20"/>
          <w:szCs w:val="20"/>
        </w:rPr>
        <w:t>Focus of this submission</w:t>
      </w:r>
    </w:p>
    <w:p w14:paraId="2F5B33AF" w14:textId="4289E070" w:rsidR="00D650F8" w:rsidRDefault="0082623A" w:rsidP="0082623A">
      <w:pPr>
        <w:keepNext/>
        <w:keepLines/>
        <w:numPr>
          <w:ilvl w:val="0"/>
          <w:numId w:val="7"/>
        </w:numPr>
        <w:spacing w:before="240" w:after="90"/>
        <w:contextualSpacing/>
        <w:jc w:val="both"/>
        <w:outlineLvl w:val="1"/>
        <w:rPr>
          <w:rFonts w:ascii="Arial" w:hAnsi="Arial" w:cs="Arial"/>
          <w:b/>
          <w:caps/>
          <w:sz w:val="20"/>
          <w:szCs w:val="20"/>
        </w:rPr>
      </w:pPr>
      <w:r w:rsidRPr="0082623A">
        <w:rPr>
          <w:rFonts w:ascii="Arial" w:hAnsi="Arial" w:cs="Arial"/>
          <w:b/>
          <w:caps/>
          <w:sz w:val="20"/>
          <w:szCs w:val="20"/>
        </w:rPr>
        <w:t>The Tribunal’s approach to the performance of its functions</w:t>
      </w:r>
      <w:r w:rsidR="000A5C18">
        <w:rPr>
          <w:rFonts w:ascii="Arial" w:hAnsi="Arial" w:cs="Arial"/>
          <w:b/>
          <w:caps/>
          <w:sz w:val="20"/>
          <w:szCs w:val="20"/>
        </w:rPr>
        <w:tab/>
      </w:r>
      <w:r w:rsidR="000A5C18">
        <w:rPr>
          <w:rFonts w:ascii="Arial" w:hAnsi="Arial" w:cs="Arial"/>
          <w:b/>
          <w:caps/>
          <w:sz w:val="20"/>
          <w:szCs w:val="20"/>
        </w:rPr>
        <w:tab/>
        <w:t xml:space="preserve">         </w:t>
      </w:r>
      <w:r w:rsidR="009D4F1E">
        <w:rPr>
          <w:rFonts w:ascii="Arial" w:hAnsi="Arial" w:cs="Arial"/>
          <w:b/>
          <w:caps/>
          <w:sz w:val="20"/>
          <w:szCs w:val="20"/>
        </w:rPr>
        <w:t>5</w:t>
      </w:r>
    </w:p>
    <w:p w14:paraId="57CC2D4A" w14:textId="77777777" w:rsidR="000A5C18" w:rsidRDefault="000A5C18" w:rsidP="000A5C18">
      <w:pPr>
        <w:keepNext/>
        <w:keepLines/>
        <w:spacing w:before="240" w:after="90"/>
        <w:ind w:left="360"/>
        <w:contextualSpacing/>
        <w:jc w:val="both"/>
        <w:outlineLvl w:val="1"/>
        <w:rPr>
          <w:rFonts w:ascii="Arial" w:hAnsi="Arial" w:cs="Arial"/>
          <w:b/>
          <w:caps/>
          <w:sz w:val="20"/>
          <w:szCs w:val="20"/>
        </w:rPr>
      </w:pPr>
    </w:p>
    <w:p w14:paraId="7628F55F" w14:textId="3964ADC1" w:rsidR="00D650F8" w:rsidRDefault="00D650F8" w:rsidP="00AC1530">
      <w:pPr>
        <w:pStyle w:val="ListParagraph"/>
        <w:numPr>
          <w:ilvl w:val="1"/>
          <w:numId w:val="7"/>
        </w:numPr>
        <w:spacing w:after="120"/>
        <w:ind w:left="750"/>
        <w:jc w:val="both"/>
        <w:rPr>
          <w:rFonts w:ascii="Arial" w:eastAsia="Times" w:hAnsi="Arial" w:cs="Arial"/>
          <w:sz w:val="20"/>
          <w:szCs w:val="20"/>
        </w:rPr>
      </w:pPr>
      <w:r w:rsidRPr="00D650F8">
        <w:rPr>
          <w:rFonts w:ascii="Arial" w:eastAsia="Times" w:hAnsi="Arial" w:cs="Arial"/>
          <w:sz w:val="20"/>
          <w:szCs w:val="20"/>
        </w:rPr>
        <w:t>Solution</w:t>
      </w:r>
      <w:r w:rsidR="00EB07A8">
        <w:rPr>
          <w:rFonts w:ascii="Arial" w:eastAsia="Times" w:hAnsi="Arial" w:cs="Arial"/>
          <w:sz w:val="20"/>
          <w:szCs w:val="20"/>
        </w:rPr>
        <w:t>-</w:t>
      </w:r>
      <w:r w:rsidRPr="00D650F8">
        <w:rPr>
          <w:rFonts w:ascii="Arial" w:eastAsia="Times" w:hAnsi="Arial" w:cs="Arial"/>
          <w:sz w:val="20"/>
          <w:szCs w:val="20"/>
        </w:rPr>
        <w:t>focused hearings</w:t>
      </w:r>
    </w:p>
    <w:p w14:paraId="30EE569B" w14:textId="77777777" w:rsidR="00D650F8" w:rsidRPr="00D650F8" w:rsidRDefault="00D650F8" w:rsidP="00AC1530">
      <w:pPr>
        <w:pStyle w:val="ListParagraph"/>
        <w:spacing w:after="120"/>
        <w:ind w:left="750"/>
        <w:jc w:val="both"/>
        <w:rPr>
          <w:rFonts w:ascii="Arial" w:eastAsia="Times" w:hAnsi="Arial" w:cs="Arial"/>
          <w:sz w:val="20"/>
          <w:szCs w:val="20"/>
        </w:rPr>
      </w:pPr>
    </w:p>
    <w:p w14:paraId="36A74C48" w14:textId="7956E5CB" w:rsidR="00D650F8" w:rsidRPr="00D650F8" w:rsidRDefault="00D650F8" w:rsidP="00AC1530">
      <w:pPr>
        <w:pStyle w:val="ListParagraph"/>
        <w:numPr>
          <w:ilvl w:val="1"/>
          <w:numId w:val="7"/>
        </w:numPr>
        <w:spacing w:after="120"/>
        <w:ind w:left="750"/>
        <w:jc w:val="both"/>
        <w:rPr>
          <w:rFonts w:ascii="Arial" w:eastAsia="Times" w:hAnsi="Arial" w:cs="Arial"/>
          <w:sz w:val="20"/>
          <w:szCs w:val="20"/>
        </w:rPr>
      </w:pPr>
      <w:r>
        <w:rPr>
          <w:rFonts w:ascii="Arial" w:eastAsia="Times" w:hAnsi="Arial" w:cs="Arial"/>
          <w:sz w:val="20"/>
          <w:szCs w:val="20"/>
        </w:rPr>
        <w:t>Legal representation in Tribunal hearings</w:t>
      </w:r>
    </w:p>
    <w:p w14:paraId="5C586AD7" w14:textId="77777777" w:rsidR="0082623A" w:rsidRPr="0082623A" w:rsidRDefault="0082623A" w:rsidP="0082623A">
      <w:pPr>
        <w:spacing w:after="120"/>
        <w:contextualSpacing/>
        <w:jc w:val="both"/>
        <w:rPr>
          <w:rFonts w:ascii="Arial" w:eastAsia="Times" w:hAnsi="Arial" w:cs="Arial"/>
          <w:sz w:val="20"/>
          <w:szCs w:val="20"/>
        </w:rPr>
      </w:pPr>
    </w:p>
    <w:p w14:paraId="1281A1EF" w14:textId="77777777" w:rsidR="00E22110" w:rsidRDefault="00E22110" w:rsidP="0082623A">
      <w:pPr>
        <w:keepNext/>
        <w:keepLines/>
        <w:numPr>
          <w:ilvl w:val="0"/>
          <w:numId w:val="7"/>
        </w:numPr>
        <w:spacing w:before="240" w:after="90"/>
        <w:contextualSpacing/>
        <w:jc w:val="both"/>
        <w:outlineLvl w:val="1"/>
        <w:rPr>
          <w:rFonts w:ascii="Arial" w:hAnsi="Arial" w:cs="Arial"/>
          <w:b/>
          <w:sz w:val="20"/>
          <w:szCs w:val="20"/>
        </w:rPr>
      </w:pPr>
      <w:r>
        <w:rPr>
          <w:rFonts w:ascii="Arial" w:hAnsi="Arial" w:cs="Arial"/>
          <w:b/>
          <w:sz w:val="20"/>
          <w:szCs w:val="20"/>
        </w:rPr>
        <w:t>DATA AND RELATED ANALYSIS OF THE IMPACT OF LEGAL REPRESENTATION</w:t>
      </w:r>
    </w:p>
    <w:p w14:paraId="4707A421" w14:textId="0224B725" w:rsidR="0082623A" w:rsidRPr="0082623A" w:rsidRDefault="00E22110" w:rsidP="00E22110">
      <w:pPr>
        <w:keepNext/>
        <w:keepLines/>
        <w:spacing w:before="240" w:after="90"/>
        <w:ind w:firstLine="360"/>
        <w:contextualSpacing/>
        <w:jc w:val="both"/>
        <w:outlineLvl w:val="1"/>
        <w:rPr>
          <w:rFonts w:ascii="Arial" w:hAnsi="Arial" w:cs="Arial"/>
          <w:b/>
          <w:sz w:val="20"/>
          <w:szCs w:val="20"/>
        </w:rPr>
      </w:pPr>
      <w:r>
        <w:rPr>
          <w:rFonts w:ascii="Arial" w:hAnsi="Arial" w:cs="Arial"/>
          <w:b/>
          <w:sz w:val="20"/>
          <w:szCs w:val="20"/>
        </w:rPr>
        <w:t>IN MENTAL HEALTH TRIBUNAL HEARINGS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D4F1E">
        <w:rPr>
          <w:rFonts w:ascii="Arial" w:hAnsi="Arial" w:cs="Arial"/>
          <w:b/>
          <w:sz w:val="20"/>
          <w:szCs w:val="20"/>
        </w:rPr>
        <w:t>7</w:t>
      </w:r>
    </w:p>
    <w:p w14:paraId="2843CFCE" w14:textId="1F23CF0C" w:rsidR="000A5C18" w:rsidRDefault="000A5C18" w:rsidP="000A5C18">
      <w:pPr>
        <w:pStyle w:val="ListParagraph"/>
        <w:numPr>
          <w:ilvl w:val="1"/>
          <w:numId w:val="7"/>
        </w:numPr>
        <w:spacing w:before="240"/>
        <w:ind w:left="750"/>
        <w:jc w:val="both"/>
        <w:rPr>
          <w:rFonts w:ascii="Arial" w:eastAsiaTheme="minorHAnsi" w:hAnsi="Arial" w:cs="Arial"/>
          <w:sz w:val="20"/>
          <w:szCs w:val="20"/>
        </w:rPr>
      </w:pPr>
      <w:r w:rsidRPr="000A5C18">
        <w:rPr>
          <w:rFonts w:ascii="Arial" w:eastAsiaTheme="minorHAnsi" w:hAnsi="Arial" w:cs="Arial"/>
          <w:sz w:val="20"/>
          <w:szCs w:val="20"/>
        </w:rPr>
        <w:t>Limitations of the current data and analysis</w:t>
      </w:r>
    </w:p>
    <w:p w14:paraId="3BCAC5A5" w14:textId="77777777" w:rsidR="000A5C18" w:rsidRPr="000A5C18" w:rsidRDefault="000A5C18" w:rsidP="000A5C18">
      <w:pPr>
        <w:pStyle w:val="ListParagraph"/>
        <w:spacing w:before="240"/>
        <w:ind w:left="750"/>
        <w:jc w:val="both"/>
        <w:rPr>
          <w:rFonts w:ascii="Arial" w:eastAsiaTheme="minorHAnsi" w:hAnsi="Arial" w:cs="Arial"/>
          <w:sz w:val="20"/>
          <w:szCs w:val="20"/>
        </w:rPr>
      </w:pPr>
    </w:p>
    <w:p w14:paraId="4DDEE64C" w14:textId="2272483D" w:rsidR="000A5C18" w:rsidRPr="00CE6B02" w:rsidRDefault="000A5C18" w:rsidP="00CE6B02">
      <w:pPr>
        <w:pStyle w:val="ListParagraph"/>
        <w:numPr>
          <w:ilvl w:val="1"/>
          <w:numId w:val="7"/>
        </w:numPr>
        <w:spacing w:before="240"/>
        <w:ind w:left="750"/>
        <w:jc w:val="both"/>
        <w:rPr>
          <w:rFonts w:ascii="Arial" w:eastAsiaTheme="minorHAnsi" w:hAnsi="Arial" w:cs="Arial"/>
          <w:sz w:val="20"/>
          <w:szCs w:val="20"/>
        </w:rPr>
      </w:pPr>
      <w:r>
        <w:rPr>
          <w:rFonts w:ascii="Arial" w:eastAsiaTheme="minorHAnsi" w:hAnsi="Arial" w:cs="Arial"/>
          <w:sz w:val="20"/>
          <w:szCs w:val="20"/>
        </w:rPr>
        <w:t>Data for legal representation and hearing outcomes in the Victorian Mental Health</w:t>
      </w:r>
      <w:r w:rsidRPr="00CE6B02">
        <w:rPr>
          <w:rFonts w:ascii="Arial" w:eastAsiaTheme="minorHAnsi" w:hAnsi="Arial" w:cs="Arial"/>
          <w:sz w:val="20"/>
          <w:szCs w:val="20"/>
        </w:rPr>
        <w:t xml:space="preserve"> Tribunal and New South Wales and Queensland Mental Health Review Tribunals</w:t>
      </w:r>
    </w:p>
    <w:p w14:paraId="1930C86C" w14:textId="1C31B5A7" w:rsidR="0082623A" w:rsidRDefault="0082623A" w:rsidP="0082623A">
      <w:pPr>
        <w:spacing w:after="120"/>
        <w:contextualSpacing/>
        <w:jc w:val="both"/>
        <w:rPr>
          <w:rFonts w:ascii="Arial" w:eastAsia="Times" w:hAnsi="Arial" w:cs="Arial"/>
          <w:sz w:val="20"/>
          <w:szCs w:val="20"/>
        </w:rPr>
      </w:pPr>
    </w:p>
    <w:p w14:paraId="3A128AA8" w14:textId="77777777" w:rsidR="000A5C18" w:rsidRPr="0082623A" w:rsidRDefault="000A5C18" w:rsidP="0082623A">
      <w:pPr>
        <w:spacing w:after="120"/>
        <w:contextualSpacing/>
        <w:jc w:val="both"/>
        <w:rPr>
          <w:rFonts w:ascii="Arial" w:eastAsia="Times" w:hAnsi="Arial" w:cs="Arial"/>
          <w:sz w:val="20"/>
          <w:szCs w:val="20"/>
        </w:rPr>
      </w:pPr>
    </w:p>
    <w:p w14:paraId="5CDD4B3A" w14:textId="68431459" w:rsidR="0082623A" w:rsidRPr="0082623A" w:rsidRDefault="0082623A" w:rsidP="0082623A">
      <w:pPr>
        <w:keepNext/>
        <w:keepLines/>
        <w:spacing w:before="240" w:after="90"/>
        <w:contextualSpacing/>
        <w:outlineLvl w:val="1"/>
        <w:rPr>
          <w:rFonts w:ascii="Arial" w:hAnsi="Arial" w:cs="Arial"/>
          <w:b/>
          <w:caps/>
          <w:sz w:val="20"/>
          <w:szCs w:val="20"/>
        </w:rPr>
      </w:pPr>
      <w:r w:rsidRPr="0082623A">
        <w:rPr>
          <w:rFonts w:ascii="Arial" w:hAnsi="Arial" w:cs="Arial"/>
          <w:b/>
          <w:caps/>
          <w:sz w:val="20"/>
          <w:szCs w:val="20"/>
        </w:rPr>
        <w:t>appendi</w:t>
      </w:r>
      <w:r w:rsidR="002B7822">
        <w:rPr>
          <w:rFonts w:ascii="Arial" w:hAnsi="Arial" w:cs="Arial"/>
          <w:b/>
          <w:caps/>
          <w:sz w:val="20"/>
          <w:szCs w:val="20"/>
        </w:rPr>
        <w:t>x – STATISTICS</w:t>
      </w:r>
    </w:p>
    <w:p w14:paraId="309BC5CA" w14:textId="0CB7BD30" w:rsidR="0082623A" w:rsidRDefault="0082623A" w:rsidP="0082623A">
      <w:pPr>
        <w:keepNext/>
        <w:keepLines/>
        <w:spacing w:before="240" w:after="90"/>
        <w:contextualSpacing/>
        <w:outlineLvl w:val="1"/>
        <w:rPr>
          <w:rFonts w:ascii="Arial" w:hAnsi="Arial" w:cs="Arial"/>
          <w:sz w:val="20"/>
          <w:szCs w:val="20"/>
        </w:rPr>
      </w:pPr>
    </w:p>
    <w:p w14:paraId="7DB29FC2" w14:textId="77777777" w:rsidR="00E22110" w:rsidRPr="0082623A" w:rsidRDefault="00E22110" w:rsidP="0082623A">
      <w:pPr>
        <w:keepNext/>
        <w:keepLines/>
        <w:spacing w:before="240" w:after="90"/>
        <w:contextualSpacing/>
        <w:outlineLvl w:val="1"/>
        <w:rPr>
          <w:rFonts w:ascii="Arial" w:hAnsi="Arial" w:cs="Arial"/>
          <w:sz w:val="20"/>
          <w:szCs w:val="20"/>
        </w:rPr>
      </w:pPr>
    </w:p>
    <w:p w14:paraId="62FFA86D" w14:textId="708B4B0B" w:rsidR="0082623A" w:rsidRPr="004B028A" w:rsidRDefault="00E22110" w:rsidP="0082623A">
      <w:pPr>
        <w:keepNext/>
        <w:keepLines/>
        <w:spacing w:before="240" w:after="90"/>
        <w:contextualSpacing/>
        <w:outlineLvl w:val="1"/>
        <w:rPr>
          <w:rFonts w:ascii="Arial" w:hAnsi="Arial" w:cs="Arial"/>
          <w:b/>
          <w:sz w:val="20"/>
          <w:szCs w:val="20"/>
        </w:rPr>
      </w:pPr>
      <w:r>
        <w:rPr>
          <w:rFonts w:ascii="Arial" w:hAnsi="Arial" w:cs="Arial"/>
          <w:sz w:val="20"/>
          <w:szCs w:val="20"/>
        </w:rPr>
        <w:t>Table 1</w:t>
      </w:r>
      <w:r w:rsidR="0082623A" w:rsidRPr="0082623A">
        <w:rPr>
          <w:rFonts w:ascii="Arial" w:hAnsi="Arial" w:cs="Arial"/>
          <w:sz w:val="20"/>
          <w:szCs w:val="20"/>
        </w:rPr>
        <w:t>:</w:t>
      </w:r>
      <w:r w:rsidR="0082623A" w:rsidRPr="0082623A">
        <w:rPr>
          <w:rFonts w:ascii="Arial" w:hAnsi="Arial" w:cs="Arial"/>
          <w:sz w:val="20"/>
          <w:szCs w:val="20"/>
        </w:rPr>
        <w:tab/>
      </w:r>
      <w:r w:rsidR="004B028A">
        <w:rPr>
          <w:rFonts w:ascii="Arial" w:hAnsi="Arial" w:cs="Arial"/>
          <w:sz w:val="20"/>
          <w:szCs w:val="20"/>
        </w:rPr>
        <w:t xml:space="preserve">Legal </w:t>
      </w:r>
      <w:r w:rsidR="00272900">
        <w:rPr>
          <w:rFonts w:ascii="Arial" w:hAnsi="Arial" w:cs="Arial"/>
          <w:sz w:val="20"/>
          <w:szCs w:val="20"/>
        </w:rPr>
        <w:t>r</w:t>
      </w:r>
      <w:r w:rsidR="004B028A">
        <w:rPr>
          <w:rFonts w:ascii="Arial" w:hAnsi="Arial" w:cs="Arial"/>
          <w:sz w:val="20"/>
          <w:szCs w:val="20"/>
        </w:rPr>
        <w:t>epresentation in Victorian Mental Health Tribunal Hearings</w:t>
      </w:r>
      <w:r w:rsidR="0082623A" w:rsidRPr="0082623A">
        <w:rPr>
          <w:rFonts w:ascii="Arial" w:hAnsi="Arial" w:cs="Arial"/>
          <w:sz w:val="20"/>
          <w:szCs w:val="20"/>
        </w:rPr>
        <w:tab/>
      </w:r>
      <w:r>
        <w:rPr>
          <w:rFonts w:ascii="Arial" w:hAnsi="Arial" w:cs="Arial"/>
          <w:sz w:val="20"/>
          <w:szCs w:val="20"/>
        </w:rPr>
        <w:tab/>
        <w:t xml:space="preserve">         </w:t>
      </w:r>
      <w:r w:rsidR="009D4F1E">
        <w:rPr>
          <w:rFonts w:ascii="Arial" w:hAnsi="Arial" w:cs="Arial"/>
          <w:b/>
          <w:sz w:val="20"/>
          <w:szCs w:val="20"/>
        </w:rPr>
        <w:t>9</w:t>
      </w:r>
    </w:p>
    <w:p w14:paraId="04ED59D5" w14:textId="77777777" w:rsidR="0082623A" w:rsidRPr="0082623A" w:rsidRDefault="0082623A" w:rsidP="0082623A">
      <w:pPr>
        <w:keepNext/>
        <w:keepLines/>
        <w:spacing w:before="240" w:after="90"/>
        <w:contextualSpacing/>
        <w:outlineLvl w:val="1"/>
        <w:rPr>
          <w:rFonts w:ascii="Arial" w:hAnsi="Arial" w:cs="Arial"/>
          <w:sz w:val="20"/>
          <w:szCs w:val="20"/>
        </w:rPr>
      </w:pPr>
    </w:p>
    <w:p w14:paraId="209BFA00" w14:textId="33417F55" w:rsidR="0082623A" w:rsidRPr="00272900" w:rsidRDefault="00E22110" w:rsidP="0082623A">
      <w:pPr>
        <w:keepNext/>
        <w:keepLines/>
        <w:spacing w:before="240" w:after="90"/>
        <w:contextualSpacing/>
        <w:outlineLvl w:val="1"/>
        <w:rPr>
          <w:rFonts w:ascii="Arial" w:hAnsi="Arial" w:cs="Arial"/>
          <w:b/>
          <w:sz w:val="20"/>
          <w:szCs w:val="20"/>
        </w:rPr>
      </w:pPr>
      <w:r>
        <w:rPr>
          <w:rFonts w:ascii="Arial" w:hAnsi="Arial" w:cs="Arial"/>
          <w:sz w:val="20"/>
          <w:szCs w:val="20"/>
        </w:rPr>
        <w:t>Table 2</w:t>
      </w:r>
      <w:r w:rsidR="0082623A" w:rsidRPr="0082623A">
        <w:rPr>
          <w:rFonts w:ascii="Arial" w:hAnsi="Arial" w:cs="Arial"/>
          <w:sz w:val="20"/>
          <w:szCs w:val="20"/>
        </w:rPr>
        <w:t>:</w:t>
      </w:r>
      <w:r w:rsidR="0082623A" w:rsidRPr="0082623A">
        <w:rPr>
          <w:rFonts w:ascii="Arial" w:hAnsi="Arial" w:cs="Arial"/>
          <w:sz w:val="20"/>
          <w:szCs w:val="20"/>
        </w:rPr>
        <w:tab/>
      </w:r>
      <w:r w:rsidR="004B028A">
        <w:rPr>
          <w:rFonts w:ascii="Arial" w:hAnsi="Arial" w:cs="Arial"/>
          <w:sz w:val="20"/>
          <w:szCs w:val="20"/>
        </w:rPr>
        <w:t xml:space="preserve">Determinations in Victorian Mental Health Tribunal </w:t>
      </w:r>
      <w:r w:rsidR="00272900">
        <w:rPr>
          <w:rFonts w:ascii="Arial" w:hAnsi="Arial" w:cs="Arial"/>
          <w:sz w:val="20"/>
          <w:szCs w:val="20"/>
        </w:rPr>
        <w:t>h</w:t>
      </w:r>
      <w:r w:rsidR="004B028A">
        <w:rPr>
          <w:rFonts w:ascii="Arial" w:hAnsi="Arial" w:cs="Arial"/>
          <w:sz w:val="20"/>
          <w:szCs w:val="20"/>
        </w:rPr>
        <w:t>ea</w:t>
      </w:r>
      <w:r w:rsidR="00272900">
        <w:rPr>
          <w:rFonts w:ascii="Arial" w:hAnsi="Arial" w:cs="Arial"/>
          <w:sz w:val="20"/>
          <w:szCs w:val="20"/>
        </w:rPr>
        <w:t xml:space="preserve">rings – Treatment Orders   </w:t>
      </w:r>
      <w:r>
        <w:rPr>
          <w:rFonts w:ascii="Arial" w:hAnsi="Arial" w:cs="Arial"/>
          <w:sz w:val="20"/>
          <w:szCs w:val="20"/>
        </w:rPr>
        <w:t xml:space="preserve">       </w:t>
      </w:r>
      <w:r w:rsidR="009D4F1E">
        <w:rPr>
          <w:rFonts w:ascii="Arial" w:hAnsi="Arial" w:cs="Arial"/>
          <w:b/>
          <w:sz w:val="20"/>
          <w:szCs w:val="20"/>
        </w:rPr>
        <w:t>10</w:t>
      </w:r>
    </w:p>
    <w:p w14:paraId="1AD29FA1" w14:textId="77777777" w:rsidR="0082623A" w:rsidRPr="0082623A" w:rsidRDefault="0082623A" w:rsidP="0082623A">
      <w:pPr>
        <w:keepNext/>
        <w:keepLines/>
        <w:spacing w:before="240" w:after="90"/>
        <w:contextualSpacing/>
        <w:outlineLvl w:val="1"/>
        <w:rPr>
          <w:rFonts w:ascii="Arial" w:hAnsi="Arial" w:cs="Arial"/>
          <w:sz w:val="20"/>
          <w:szCs w:val="20"/>
        </w:rPr>
      </w:pPr>
    </w:p>
    <w:p w14:paraId="1D429DDC" w14:textId="18E20549" w:rsidR="0082623A" w:rsidRDefault="00E22110" w:rsidP="0082623A">
      <w:pPr>
        <w:keepNext/>
        <w:keepLines/>
        <w:spacing w:before="240" w:after="90"/>
        <w:contextualSpacing/>
        <w:outlineLvl w:val="1"/>
        <w:rPr>
          <w:rFonts w:ascii="Arial" w:hAnsi="Arial" w:cs="Arial"/>
          <w:sz w:val="20"/>
          <w:szCs w:val="20"/>
        </w:rPr>
      </w:pPr>
      <w:r>
        <w:rPr>
          <w:rFonts w:ascii="Arial" w:hAnsi="Arial" w:cs="Arial"/>
          <w:sz w:val="20"/>
          <w:szCs w:val="20"/>
        </w:rPr>
        <w:t>Table 3</w:t>
      </w:r>
      <w:r w:rsidR="0082623A" w:rsidRPr="0082623A">
        <w:rPr>
          <w:rFonts w:ascii="Arial" w:hAnsi="Arial" w:cs="Arial"/>
          <w:sz w:val="20"/>
          <w:szCs w:val="20"/>
        </w:rPr>
        <w:t>:</w:t>
      </w:r>
      <w:r w:rsidR="0082623A" w:rsidRPr="0082623A">
        <w:rPr>
          <w:rFonts w:ascii="Arial" w:hAnsi="Arial" w:cs="Arial"/>
          <w:sz w:val="20"/>
          <w:szCs w:val="20"/>
        </w:rPr>
        <w:tab/>
      </w:r>
      <w:r w:rsidR="00272900">
        <w:rPr>
          <w:rFonts w:ascii="Arial" w:hAnsi="Arial" w:cs="Arial"/>
          <w:sz w:val="20"/>
          <w:szCs w:val="20"/>
        </w:rPr>
        <w:t>Determinations in Victorian Mental Health Tribunal hearings – ECT Orders</w:t>
      </w:r>
      <w:r w:rsidR="00272900">
        <w:rPr>
          <w:rFonts w:ascii="Arial" w:hAnsi="Arial" w:cs="Arial"/>
          <w:sz w:val="20"/>
          <w:szCs w:val="20"/>
        </w:rPr>
        <w:tab/>
        <w:t xml:space="preserve">        </w:t>
      </w:r>
      <w:r w:rsidR="00272900">
        <w:rPr>
          <w:rFonts w:ascii="Arial" w:hAnsi="Arial" w:cs="Arial"/>
          <w:b/>
          <w:sz w:val="20"/>
          <w:szCs w:val="20"/>
        </w:rPr>
        <w:t>1</w:t>
      </w:r>
      <w:r w:rsidR="009D4F1E">
        <w:rPr>
          <w:rFonts w:ascii="Arial" w:hAnsi="Arial" w:cs="Arial"/>
          <w:b/>
          <w:sz w:val="20"/>
          <w:szCs w:val="20"/>
        </w:rPr>
        <w:t>1</w:t>
      </w:r>
    </w:p>
    <w:p w14:paraId="1DBCC90C" w14:textId="6E798AAD" w:rsidR="00E22110" w:rsidRDefault="00E22110" w:rsidP="0082623A">
      <w:pPr>
        <w:keepNext/>
        <w:keepLines/>
        <w:spacing w:before="240" w:after="90"/>
        <w:contextualSpacing/>
        <w:outlineLvl w:val="1"/>
        <w:rPr>
          <w:rFonts w:ascii="Arial" w:hAnsi="Arial" w:cs="Arial"/>
          <w:sz w:val="20"/>
          <w:szCs w:val="20"/>
        </w:rPr>
      </w:pPr>
    </w:p>
    <w:p w14:paraId="47CA0D54" w14:textId="5915DC5D" w:rsidR="00E22110" w:rsidRPr="00272900" w:rsidRDefault="00E22110" w:rsidP="00272900">
      <w:pPr>
        <w:keepNext/>
        <w:keepLines/>
        <w:spacing w:before="240" w:after="90"/>
        <w:ind w:left="1440" w:hanging="1440"/>
        <w:contextualSpacing/>
        <w:outlineLvl w:val="1"/>
        <w:rPr>
          <w:rFonts w:ascii="Arial" w:hAnsi="Arial" w:cs="Arial"/>
          <w:b/>
          <w:sz w:val="20"/>
          <w:szCs w:val="20"/>
        </w:rPr>
      </w:pPr>
      <w:r>
        <w:rPr>
          <w:rFonts w:ascii="Arial" w:hAnsi="Arial" w:cs="Arial"/>
          <w:sz w:val="20"/>
          <w:szCs w:val="20"/>
        </w:rPr>
        <w:t>Table 4:</w:t>
      </w:r>
      <w:r>
        <w:rPr>
          <w:rFonts w:ascii="Arial" w:hAnsi="Arial" w:cs="Arial"/>
          <w:sz w:val="20"/>
          <w:szCs w:val="20"/>
        </w:rPr>
        <w:tab/>
      </w:r>
      <w:r w:rsidR="00272900">
        <w:rPr>
          <w:rFonts w:ascii="Arial" w:hAnsi="Arial" w:cs="Arial"/>
          <w:sz w:val="20"/>
          <w:szCs w:val="20"/>
        </w:rPr>
        <w:t>Comparative levels of legal representation and determinations – NSW, Queensland</w:t>
      </w:r>
      <w:r w:rsidR="00EB07A8">
        <w:rPr>
          <w:rFonts w:ascii="Arial" w:hAnsi="Arial" w:cs="Arial"/>
          <w:sz w:val="20"/>
          <w:szCs w:val="20"/>
        </w:rPr>
        <w:t xml:space="preserve">      </w:t>
      </w:r>
      <w:r w:rsidR="00272900">
        <w:rPr>
          <w:rFonts w:ascii="Arial" w:hAnsi="Arial" w:cs="Arial"/>
          <w:sz w:val="20"/>
          <w:szCs w:val="20"/>
        </w:rPr>
        <w:t>and Victoria</w:t>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r>
      <w:r w:rsidR="00272900">
        <w:rPr>
          <w:rFonts w:ascii="Arial" w:hAnsi="Arial" w:cs="Arial"/>
          <w:sz w:val="20"/>
          <w:szCs w:val="20"/>
        </w:rPr>
        <w:tab/>
        <w:t xml:space="preserve">        </w:t>
      </w:r>
      <w:r w:rsidR="00272900">
        <w:rPr>
          <w:rFonts w:ascii="Arial" w:hAnsi="Arial" w:cs="Arial"/>
          <w:b/>
          <w:sz w:val="20"/>
          <w:szCs w:val="20"/>
        </w:rPr>
        <w:t>1</w:t>
      </w:r>
      <w:r w:rsidR="009D4F1E">
        <w:rPr>
          <w:rFonts w:ascii="Arial" w:hAnsi="Arial" w:cs="Arial"/>
          <w:b/>
          <w:sz w:val="20"/>
          <w:szCs w:val="20"/>
        </w:rPr>
        <w:t>2</w:t>
      </w:r>
    </w:p>
    <w:p w14:paraId="7E7A76C7" w14:textId="3B2BB897" w:rsidR="00E22110" w:rsidRPr="00E22110" w:rsidRDefault="00E22110" w:rsidP="00821258">
      <w:pPr>
        <w:rPr>
          <w:rFonts w:ascii="Arial" w:hAnsi="Arial" w:cs="Arial"/>
          <w:sz w:val="20"/>
          <w:szCs w:val="20"/>
        </w:rPr>
      </w:pPr>
    </w:p>
    <w:p w14:paraId="17553BEB" w14:textId="3BE86FA7" w:rsidR="00E22110" w:rsidRDefault="00E22110" w:rsidP="00821258">
      <w:pPr>
        <w:rPr>
          <w:rFonts w:ascii="Arial" w:hAnsi="Arial" w:cs="Arial"/>
          <w:sz w:val="20"/>
          <w:szCs w:val="20"/>
        </w:rPr>
      </w:pPr>
    </w:p>
    <w:p w14:paraId="5F1025DE" w14:textId="0989AB70" w:rsidR="00E22110" w:rsidRDefault="00E22110" w:rsidP="00821258">
      <w:pPr>
        <w:rPr>
          <w:rFonts w:ascii="Arial" w:hAnsi="Arial" w:cs="Arial"/>
          <w:sz w:val="20"/>
          <w:szCs w:val="20"/>
        </w:rPr>
      </w:pPr>
    </w:p>
    <w:p w14:paraId="0182AFD9" w14:textId="0DA0C83D" w:rsidR="00E22110" w:rsidRDefault="00E22110" w:rsidP="00821258">
      <w:pPr>
        <w:rPr>
          <w:rFonts w:ascii="Arial" w:hAnsi="Arial" w:cs="Arial"/>
          <w:sz w:val="20"/>
          <w:szCs w:val="20"/>
        </w:rPr>
      </w:pPr>
    </w:p>
    <w:p w14:paraId="0EEB74AB" w14:textId="77777777" w:rsidR="00E22110" w:rsidRPr="00E22110" w:rsidRDefault="00E22110" w:rsidP="00E22110">
      <w:pPr>
        <w:rPr>
          <w:rFonts w:ascii="Arial" w:hAnsi="Arial" w:cs="Arial"/>
          <w:b/>
          <w:sz w:val="20"/>
          <w:szCs w:val="20"/>
        </w:rPr>
      </w:pPr>
      <w:r w:rsidRPr="00E22110">
        <w:rPr>
          <w:rFonts w:ascii="Arial" w:hAnsi="Arial" w:cs="Arial"/>
          <w:b/>
          <w:sz w:val="20"/>
          <w:szCs w:val="20"/>
        </w:rPr>
        <w:t>FOOTNOTES</w:t>
      </w:r>
    </w:p>
    <w:p w14:paraId="79E76CBB" w14:textId="77777777" w:rsidR="00E22110" w:rsidRPr="00E22110" w:rsidRDefault="00E22110" w:rsidP="00E22110">
      <w:pPr>
        <w:rPr>
          <w:rFonts w:ascii="Arial" w:hAnsi="Arial" w:cs="Arial"/>
          <w:sz w:val="20"/>
          <w:szCs w:val="20"/>
        </w:rPr>
      </w:pPr>
    </w:p>
    <w:p w14:paraId="3E432D02" w14:textId="77777777" w:rsidR="00E22110" w:rsidRPr="00E22110" w:rsidRDefault="00E22110" w:rsidP="00E22110">
      <w:pPr>
        <w:rPr>
          <w:rFonts w:ascii="Arial" w:hAnsi="Arial" w:cs="Arial"/>
          <w:sz w:val="20"/>
          <w:szCs w:val="20"/>
        </w:rPr>
      </w:pPr>
      <w:r w:rsidRPr="00E22110">
        <w:rPr>
          <w:rFonts w:ascii="Arial" w:hAnsi="Arial" w:cs="Arial"/>
          <w:sz w:val="20"/>
          <w:szCs w:val="20"/>
        </w:rPr>
        <w:t xml:space="preserve">Unless otherwise specified all references to statutory provisions are to provisions of the </w:t>
      </w:r>
      <w:r w:rsidRPr="00E22110">
        <w:rPr>
          <w:rFonts w:ascii="Arial" w:hAnsi="Arial" w:cs="Arial"/>
          <w:i/>
          <w:sz w:val="20"/>
          <w:szCs w:val="20"/>
        </w:rPr>
        <w:t>Mental Health Act 2014 (Vic)</w:t>
      </w:r>
      <w:r w:rsidRPr="00E22110">
        <w:rPr>
          <w:rFonts w:ascii="Arial" w:hAnsi="Arial" w:cs="Arial"/>
          <w:sz w:val="20"/>
          <w:szCs w:val="20"/>
        </w:rPr>
        <w:t>.</w:t>
      </w:r>
    </w:p>
    <w:p w14:paraId="6C2E8CAC" w14:textId="77777777" w:rsidR="00E22110" w:rsidRPr="00E22110" w:rsidRDefault="00E22110" w:rsidP="00821258">
      <w:pPr>
        <w:rPr>
          <w:rFonts w:ascii="Arial" w:hAnsi="Arial" w:cs="Arial"/>
          <w:sz w:val="20"/>
          <w:szCs w:val="20"/>
        </w:rPr>
      </w:pPr>
    </w:p>
    <w:p w14:paraId="0B950026" w14:textId="77777777" w:rsidR="0082623A" w:rsidRDefault="0082623A">
      <w:pPr>
        <w:spacing w:after="200" w:line="276" w:lineRule="auto"/>
        <w:rPr>
          <w:rFonts w:ascii="Arial" w:hAnsi="Arial" w:cs="Arial"/>
          <w:b/>
          <w:sz w:val="20"/>
          <w:szCs w:val="20"/>
        </w:rPr>
      </w:pPr>
      <w:r>
        <w:rPr>
          <w:rFonts w:ascii="Arial" w:hAnsi="Arial" w:cs="Arial"/>
          <w:b/>
          <w:sz w:val="20"/>
          <w:szCs w:val="20"/>
        </w:rPr>
        <w:br w:type="page"/>
      </w:r>
    </w:p>
    <w:p w14:paraId="1ABF9019" w14:textId="77777777" w:rsidR="00821258" w:rsidRDefault="00821258" w:rsidP="00821258">
      <w:pPr>
        <w:rPr>
          <w:rFonts w:ascii="Arial" w:hAnsi="Arial" w:cs="Arial"/>
          <w:b/>
          <w:sz w:val="20"/>
          <w:szCs w:val="20"/>
        </w:rPr>
      </w:pPr>
      <w:r>
        <w:rPr>
          <w:rFonts w:ascii="Arial" w:hAnsi="Arial" w:cs="Arial"/>
          <w:b/>
          <w:sz w:val="20"/>
          <w:szCs w:val="20"/>
        </w:rPr>
        <w:lastRenderedPageBreak/>
        <w:t>EXECUTIVE SUMMARY</w:t>
      </w:r>
    </w:p>
    <w:p w14:paraId="453C6855" w14:textId="397B6C48" w:rsidR="00821258" w:rsidRDefault="00821258" w:rsidP="00821258">
      <w:pPr>
        <w:rPr>
          <w:rFonts w:ascii="Arial" w:hAnsi="Arial" w:cs="Arial"/>
          <w:sz w:val="20"/>
          <w:szCs w:val="20"/>
        </w:rPr>
      </w:pPr>
    </w:p>
    <w:p w14:paraId="4EF5D31B" w14:textId="47B0A18D" w:rsidR="00821258" w:rsidRDefault="00821258" w:rsidP="00821258">
      <w:pPr>
        <w:rPr>
          <w:rFonts w:ascii="Arial" w:hAnsi="Arial" w:cs="Arial"/>
          <w:sz w:val="20"/>
          <w:szCs w:val="20"/>
        </w:rPr>
      </w:pPr>
    </w:p>
    <w:p w14:paraId="6118A42B" w14:textId="186531C0" w:rsidR="00821258" w:rsidRDefault="00821258" w:rsidP="00821258">
      <w:pPr>
        <w:jc w:val="both"/>
        <w:rPr>
          <w:rFonts w:ascii="Arial" w:hAnsi="Arial" w:cs="Arial"/>
          <w:sz w:val="20"/>
          <w:szCs w:val="20"/>
        </w:rPr>
      </w:pPr>
      <w:r>
        <w:rPr>
          <w:rFonts w:ascii="Arial" w:hAnsi="Arial" w:cs="Arial"/>
          <w:sz w:val="20"/>
          <w:szCs w:val="20"/>
        </w:rPr>
        <w:t xml:space="preserve">This brief submission </w:t>
      </w:r>
      <w:r w:rsidR="0059437E">
        <w:rPr>
          <w:rFonts w:ascii="Arial" w:hAnsi="Arial" w:cs="Arial"/>
          <w:sz w:val="20"/>
          <w:szCs w:val="20"/>
        </w:rPr>
        <w:t>by</w:t>
      </w:r>
      <w:r>
        <w:rPr>
          <w:rFonts w:ascii="Arial" w:hAnsi="Arial" w:cs="Arial"/>
          <w:sz w:val="20"/>
          <w:szCs w:val="20"/>
        </w:rPr>
        <w:t xml:space="preserve"> the Victorian Mental Health Tribunal (Tribunal) is in response to the Productivity Commission’s draft recommendation 16.6 </w:t>
      </w:r>
      <w:r>
        <w:rPr>
          <w:rFonts w:ascii="Arial" w:hAnsi="Arial" w:cs="Arial"/>
          <w:i/>
          <w:sz w:val="20"/>
          <w:szCs w:val="20"/>
        </w:rPr>
        <w:t>Legal Representation at Mental Health Tribunals</w:t>
      </w:r>
      <w:r w:rsidR="00D650F8">
        <w:rPr>
          <w:rFonts w:ascii="Arial" w:hAnsi="Arial" w:cs="Arial"/>
          <w:sz w:val="20"/>
          <w:szCs w:val="20"/>
        </w:rPr>
        <w:t xml:space="preserve"> – that </w:t>
      </w:r>
      <w:r>
        <w:rPr>
          <w:rFonts w:ascii="Arial" w:hAnsi="Arial" w:cs="Arial"/>
          <w:sz w:val="20"/>
          <w:szCs w:val="20"/>
        </w:rPr>
        <w:t xml:space="preserve">the availability of legal services for people who have hearings before mental health tribunals be increased.  The Tribunal also noted the Productivity Commission’s interest in this issue in the most recent round of public hearings in Melbourne </w:t>
      </w:r>
      <w:r w:rsidR="00D43813">
        <w:rPr>
          <w:rFonts w:ascii="Arial" w:hAnsi="Arial" w:cs="Arial"/>
          <w:sz w:val="20"/>
          <w:szCs w:val="20"/>
        </w:rPr>
        <w:t xml:space="preserve">in </w:t>
      </w:r>
      <w:r>
        <w:rPr>
          <w:rFonts w:ascii="Arial" w:hAnsi="Arial" w:cs="Arial"/>
          <w:sz w:val="20"/>
          <w:szCs w:val="20"/>
        </w:rPr>
        <w:t>November 2019.</w:t>
      </w:r>
    </w:p>
    <w:p w14:paraId="5E3289E5" w14:textId="095EFDBC" w:rsidR="00821258" w:rsidRDefault="00821258" w:rsidP="00821258">
      <w:pPr>
        <w:jc w:val="both"/>
        <w:rPr>
          <w:rFonts w:ascii="Arial" w:hAnsi="Arial" w:cs="Arial"/>
          <w:sz w:val="20"/>
          <w:szCs w:val="20"/>
        </w:rPr>
      </w:pPr>
    </w:p>
    <w:p w14:paraId="1C38CF4B" w14:textId="5E7373D2" w:rsidR="00821258" w:rsidRDefault="00D650F8" w:rsidP="00821258">
      <w:pPr>
        <w:jc w:val="both"/>
        <w:rPr>
          <w:rFonts w:ascii="Arial" w:hAnsi="Arial" w:cs="Arial"/>
          <w:sz w:val="20"/>
          <w:szCs w:val="20"/>
        </w:rPr>
      </w:pPr>
      <w:r>
        <w:rPr>
          <w:rFonts w:ascii="Arial" w:hAnsi="Arial" w:cs="Arial"/>
          <w:sz w:val="20"/>
          <w:szCs w:val="20"/>
        </w:rPr>
        <w:t>T</w:t>
      </w:r>
      <w:r w:rsidR="00821258">
        <w:rPr>
          <w:rFonts w:ascii="Arial" w:hAnsi="Arial" w:cs="Arial"/>
          <w:sz w:val="20"/>
          <w:szCs w:val="20"/>
        </w:rPr>
        <w:t>he Tribunal</w:t>
      </w:r>
      <w:r>
        <w:rPr>
          <w:rFonts w:ascii="Arial" w:hAnsi="Arial" w:cs="Arial"/>
          <w:sz w:val="20"/>
          <w:szCs w:val="20"/>
        </w:rPr>
        <w:t xml:space="preserve"> welcomes and </w:t>
      </w:r>
      <w:r w:rsidR="00F533B1">
        <w:rPr>
          <w:rFonts w:ascii="Arial" w:hAnsi="Arial" w:cs="Arial"/>
          <w:sz w:val="20"/>
          <w:szCs w:val="20"/>
        </w:rPr>
        <w:t>supports</w:t>
      </w:r>
      <w:r w:rsidR="00821258">
        <w:rPr>
          <w:rFonts w:ascii="Arial" w:hAnsi="Arial" w:cs="Arial"/>
          <w:sz w:val="20"/>
          <w:szCs w:val="20"/>
        </w:rPr>
        <w:t xml:space="preserve"> the draft recommendation.  The Tribunal appreciates the important contribution of legal representation and we would welcome increased levels of representation.  People experiencing severe mental illness often experience cumulative disadvantage and disempowerment attribut</w:t>
      </w:r>
      <w:r w:rsidR="002B7822">
        <w:rPr>
          <w:rFonts w:ascii="Arial" w:hAnsi="Arial" w:cs="Arial"/>
          <w:sz w:val="20"/>
          <w:szCs w:val="20"/>
        </w:rPr>
        <w:t>able</w:t>
      </w:r>
      <w:r w:rsidR="00821258">
        <w:rPr>
          <w:rFonts w:ascii="Arial" w:hAnsi="Arial" w:cs="Arial"/>
          <w:sz w:val="20"/>
          <w:szCs w:val="20"/>
        </w:rPr>
        <w:t xml:space="preserve"> to a range of causes.  Legal representation and advocacy more broadly (such as Victoria Legal Aid’s Independent Mental Health Advocacy service</w:t>
      </w:r>
      <w:r w:rsidR="007B58AA">
        <w:rPr>
          <w:rFonts w:ascii="Arial" w:hAnsi="Arial" w:cs="Arial"/>
          <w:sz w:val="20"/>
          <w:szCs w:val="20"/>
        </w:rPr>
        <w:t>)</w:t>
      </w:r>
      <w:r w:rsidR="00821258">
        <w:rPr>
          <w:rFonts w:ascii="Arial" w:hAnsi="Arial" w:cs="Arial"/>
          <w:sz w:val="20"/>
          <w:szCs w:val="20"/>
        </w:rPr>
        <w:t xml:space="preserve"> can reduce disempowerment both objectively, as well as in relation to individual consumers’ subjective experience of various processes and discussions</w:t>
      </w:r>
      <w:r>
        <w:rPr>
          <w:rFonts w:ascii="Arial" w:hAnsi="Arial" w:cs="Arial"/>
          <w:sz w:val="20"/>
          <w:szCs w:val="20"/>
        </w:rPr>
        <w:t xml:space="preserve"> related to their treatment.</w:t>
      </w:r>
    </w:p>
    <w:p w14:paraId="36CE4367" w14:textId="21FCA20F" w:rsidR="00821258" w:rsidRDefault="00821258" w:rsidP="00821258">
      <w:pPr>
        <w:jc w:val="both"/>
        <w:rPr>
          <w:rFonts w:ascii="Arial" w:hAnsi="Arial" w:cs="Arial"/>
          <w:sz w:val="20"/>
          <w:szCs w:val="20"/>
        </w:rPr>
      </w:pPr>
    </w:p>
    <w:p w14:paraId="73E1D28B" w14:textId="2B13ABAA" w:rsidR="00821258" w:rsidRDefault="007B58AA" w:rsidP="00821258">
      <w:pPr>
        <w:jc w:val="both"/>
        <w:rPr>
          <w:rFonts w:ascii="Arial" w:hAnsi="Arial" w:cs="Arial"/>
          <w:sz w:val="20"/>
          <w:szCs w:val="20"/>
        </w:rPr>
      </w:pPr>
      <w:r>
        <w:rPr>
          <w:rFonts w:ascii="Arial" w:hAnsi="Arial" w:cs="Arial"/>
          <w:sz w:val="20"/>
          <w:szCs w:val="20"/>
        </w:rPr>
        <w:t xml:space="preserve">In recent years there has been periodic interest in </w:t>
      </w:r>
      <w:r w:rsidR="00D650F8">
        <w:rPr>
          <w:rFonts w:ascii="Arial" w:hAnsi="Arial" w:cs="Arial"/>
          <w:sz w:val="20"/>
          <w:szCs w:val="20"/>
        </w:rPr>
        <w:t>the</w:t>
      </w:r>
      <w:r>
        <w:rPr>
          <w:rFonts w:ascii="Arial" w:hAnsi="Arial" w:cs="Arial"/>
          <w:sz w:val="20"/>
          <w:szCs w:val="20"/>
        </w:rPr>
        <w:t xml:space="preserve"> issue </w:t>
      </w:r>
      <w:r w:rsidR="00D650F8">
        <w:rPr>
          <w:rFonts w:ascii="Arial" w:hAnsi="Arial" w:cs="Arial"/>
          <w:sz w:val="20"/>
          <w:szCs w:val="20"/>
        </w:rPr>
        <w:t xml:space="preserve">of legal representation – particularly before this Tribunal – in </w:t>
      </w:r>
      <w:r>
        <w:rPr>
          <w:rFonts w:ascii="Arial" w:hAnsi="Arial" w:cs="Arial"/>
          <w:sz w:val="20"/>
          <w:szCs w:val="20"/>
        </w:rPr>
        <w:t xml:space="preserve">various fora.  The Tribunal welcomes this interest but does have an overarching concern that the associated discussion and analysis proceeds from an assumption that is narrow and warrants </w:t>
      </w:r>
      <w:r w:rsidR="00D13154">
        <w:rPr>
          <w:rFonts w:ascii="Arial" w:hAnsi="Arial" w:cs="Arial"/>
          <w:sz w:val="20"/>
          <w:szCs w:val="20"/>
        </w:rPr>
        <w:t>expansion</w:t>
      </w:r>
      <w:r>
        <w:rPr>
          <w:rFonts w:ascii="Arial" w:hAnsi="Arial" w:cs="Arial"/>
          <w:sz w:val="20"/>
          <w:szCs w:val="20"/>
        </w:rPr>
        <w:t xml:space="preserve">.  Inherent in the way data is framed and discussed is the assumption that the value of legal representation is to be identified or quantified by the extent to which consumers who are legally represented have hearing outcomes </w:t>
      </w:r>
      <w:r w:rsidR="00D13154">
        <w:rPr>
          <w:rFonts w:ascii="Arial" w:hAnsi="Arial" w:cs="Arial"/>
          <w:sz w:val="20"/>
          <w:szCs w:val="20"/>
        </w:rPr>
        <w:t>that do not involve the making of orders.</w:t>
      </w:r>
    </w:p>
    <w:p w14:paraId="05112171" w14:textId="7D3C9123" w:rsidR="00D13154" w:rsidRDefault="00D13154" w:rsidP="00821258">
      <w:pPr>
        <w:jc w:val="both"/>
        <w:rPr>
          <w:rFonts w:ascii="Arial" w:hAnsi="Arial" w:cs="Arial"/>
          <w:sz w:val="20"/>
          <w:szCs w:val="20"/>
        </w:rPr>
      </w:pPr>
    </w:p>
    <w:p w14:paraId="1798E88C" w14:textId="57C7D953" w:rsidR="00D13154" w:rsidRDefault="00D13154" w:rsidP="00821258">
      <w:pPr>
        <w:jc w:val="both"/>
        <w:rPr>
          <w:rFonts w:ascii="Arial" w:hAnsi="Arial" w:cs="Arial"/>
          <w:sz w:val="20"/>
          <w:szCs w:val="20"/>
        </w:rPr>
      </w:pPr>
      <w:r>
        <w:rPr>
          <w:rFonts w:ascii="Arial" w:hAnsi="Arial" w:cs="Arial"/>
          <w:sz w:val="20"/>
          <w:szCs w:val="20"/>
        </w:rPr>
        <w:t xml:space="preserve">To be fair this assumption is understandable given the broader discourse about the extremely high levels of compulsory / involuntary treatment in Australia and particularly Victoria.  In our submission to the Royal Commission into Victoria’s Mental Health System the Tribunal did not shy away from this issue.  We acknowledge the impact of the </w:t>
      </w:r>
      <w:r w:rsidRPr="00D13154">
        <w:rPr>
          <w:rFonts w:ascii="Arial" w:hAnsi="Arial" w:cs="Arial"/>
          <w:i/>
          <w:sz w:val="20"/>
          <w:szCs w:val="20"/>
        </w:rPr>
        <w:t>Mental Health Act 2014</w:t>
      </w:r>
      <w:r>
        <w:rPr>
          <w:rFonts w:ascii="Arial" w:hAnsi="Arial" w:cs="Arial"/>
          <w:sz w:val="20"/>
          <w:szCs w:val="20"/>
        </w:rPr>
        <w:t xml:space="preserve"> (the Act) on the levels of compulsory treatment has been minimal and disappointing.  We also acknowledge that as the entity that makes Treatment Orders under the Act the Tribunal’s approach should be examined by the Royal Commission.</w:t>
      </w:r>
    </w:p>
    <w:p w14:paraId="519134AB" w14:textId="4A9E6261" w:rsidR="00D13154" w:rsidRDefault="00D13154" w:rsidP="00821258">
      <w:pPr>
        <w:jc w:val="both"/>
        <w:rPr>
          <w:rFonts w:ascii="Arial" w:hAnsi="Arial" w:cs="Arial"/>
          <w:sz w:val="20"/>
          <w:szCs w:val="20"/>
        </w:rPr>
      </w:pPr>
    </w:p>
    <w:p w14:paraId="39311069" w14:textId="11A036C7" w:rsidR="00D13154" w:rsidRDefault="00D13154" w:rsidP="00821258">
      <w:pPr>
        <w:jc w:val="both"/>
        <w:rPr>
          <w:rFonts w:ascii="Arial" w:hAnsi="Arial" w:cs="Arial"/>
          <w:sz w:val="20"/>
          <w:szCs w:val="20"/>
        </w:rPr>
      </w:pPr>
      <w:r>
        <w:rPr>
          <w:rFonts w:ascii="Arial" w:hAnsi="Arial" w:cs="Arial"/>
          <w:sz w:val="20"/>
          <w:szCs w:val="20"/>
        </w:rPr>
        <w:t xml:space="preserve">At the same time </w:t>
      </w:r>
      <w:r w:rsidR="00624B71">
        <w:rPr>
          <w:rFonts w:ascii="Arial" w:hAnsi="Arial" w:cs="Arial"/>
          <w:sz w:val="20"/>
          <w:szCs w:val="20"/>
        </w:rPr>
        <w:t>the Tribunal’s view is that this jurisdiction is not one that should be viewed through a binary lens of outcomes that are good or bad</w:t>
      </w:r>
      <w:r w:rsidR="00F533B1">
        <w:rPr>
          <w:rFonts w:ascii="Arial" w:hAnsi="Arial" w:cs="Arial"/>
          <w:sz w:val="20"/>
          <w:szCs w:val="20"/>
        </w:rPr>
        <w:t>;</w:t>
      </w:r>
      <w:r w:rsidR="00624B71">
        <w:rPr>
          <w:rFonts w:ascii="Arial" w:hAnsi="Arial" w:cs="Arial"/>
          <w:sz w:val="20"/>
          <w:szCs w:val="20"/>
        </w:rPr>
        <w:t xml:space="preserve"> a win or a loss.  Such an approach fails to appreciate the multiple dimensions </w:t>
      </w:r>
      <w:r w:rsidR="00351699">
        <w:rPr>
          <w:rFonts w:ascii="Arial" w:hAnsi="Arial" w:cs="Arial"/>
          <w:sz w:val="20"/>
          <w:szCs w:val="20"/>
        </w:rPr>
        <w:t>to</w:t>
      </w:r>
      <w:r w:rsidR="00624B71">
        <w:rPr>
          <w:rFonts w:ascii="Arial" w:hAnsi="Arial" w:cs="Arial"/>
          <w:sz w:val="20"/>
          <w:szCs w:val="20"/>
        </w:rPr>
        <w:t xml:space="preserve"> the principles that are enshrined in the Act</w:t>
      </w:r>
      <w:r w:rsidR="00351699">
        <w:rPr>
          <w:rFonts w:ascii="Arial" w:hAnsi="Arial" w:cs="Arial"/>
          <w:sz w:val="20"/>
          <w:szCs w:val="20"/>
        </w:rPr>
        <w:t>.  It</w:t>
      </w:r>
      <w:r w:rsidR="00624B71">
        <w:rPr>
          <w:rFonts w:ascii="Arial" w:hAnsi="Arial" w:cs="Arial"/>
          <w:sz w:val="20"/>
          <w:szCs w:val="20"/>
        </w:rPr>
        <w:t xml:space="preserve"> also</w:t>
      </w:r>
      <w:r w:rsidR="00351699">
        <w:rPr>
          <w:rFonts w:ascii="Arial" w:hAnsi="Arial" w:cs="Arial"/>
          <w:sz w:val="20"/>
          <w:szCs w:val="20"/>
        </w:rPr>
        <w:t xml:space="preserve"> risks</w:t>
      </w:r>
      <w:r w:rsidR="00624B71">
        <w:rPr>
          <w:rFonts w:ascii="Arial" w:hAnsi="Arial" w:cs="Arial"/>
          <w:sz w:val="20"/>
          <w:szCs w:val="20"/>
        </w:rPr>
        <w:t xml:space="preserve"> under</w:t>
      </w:r>
      <w:r w:rsidR="00EB07A8">
        <w:rPr>
          <w:rFonts w:ascii="Arial" w:hAnsi="Arial" w:cs="Arial"/>
          <w:sz w:val="20"/>
          <w:szCs w:val="20"/>
        </w:rPr>
        <w:t>-</w:t>
      </w:r>
      <w:r w:rsidR="00D650F8">
        <w:rPr>
          <w:rFonts w:ascii="Arial" w:hAnsi="Arial" w:cs="Arial"/>
          <w:sz w:val="20"/>
          <w:szCs w:val="20"/>
        </w:rPr>
        <w:t>estimating</w:t>
      </w:r>
      <w:r w:rsidR="00624B71">
        <w:rPr>
          <w:rFonts w:ascii="Arial" w:hAnsi="Arial" w:cs="Arial"/>
          <w:sz w:val="20"/>
          <w:szCs w:val="20"/>
        </w:rPr>
        <w:t xml:space="preserve"> the contribution that l</w:t>
      </w:r>
      <w:r w:rsidR="00D650F8">
        <w:rPr>
          <w:rFonts w:ascii="Arial" w:hAnsi="Arial" w:cs="Arial"/>
          <w:sz w:val="20"/>
          <w:szCs w:val="20"/>
        </w:rPr>
        <w:t>egal representation</w:t>
      </w:r>
      <w:r w:rsidR="00624B71">
        <w:rPr>
          <w:rFonts w:ascii="Arial" w:hAnsi="Arial" w:cs="Arial"/>
          <w:sz w:val="20"/>
          <w:szCs w:val="20"/>
        </w:rPr>
        <w:t xml:space="preserve"> can make to mental health tribunal hearings.  When broader objectives of participation and supported decision making are taken into account there can be a far richer appreciation of the place of tribunal hearings, and the potential contribution of all hearing participants, including lawyers.</w:t>
      </w:r>
      <w:r w:rsidR="00EB07A8">
        <w:rPr>
          <w:rFonts w:ascii="Arial" w:hAnsi="Arial" w:cs="Arial"/>
          <w:sz w:val="20"/>
          <w:szCs w:val="20"/>
        </w:rPr>
        <w:t xml:space="preserve">  The Tribunal is also concerned that the way in which </w:t>
      </w:r>
      <w:r w:rsidR="00237290">
        <w:rPr>
          <w:rFonts w:ascii="Arial" w:hAnsi="Arial" w:cs="Arial"/>
          <w:sz w:val="20"/>
          <w:szCs w:val="20"/>
        </w:rPr>
        <w:t>this important issue</w:t>
      </w:r>
      <w:r w:rsidR="00EB07A8">
        <w:rPr>
          <w:rFonts w:ascii="Arial" w:hAnsi="Arial" w:cs="Arial"/>
          <w:sz w:val="20"/>
          <w:szCs w:val="20"/>
        </w:rPr>
        <w:t xml:space="preserve"> is explored should not inadvertently act to discourage people who do not have legal representation from attending their hearing, by creating an unintended misapprehension that the Tribunal’s processes are legalistic, or that legal representation is needed to ensure fair treatment.</w:t>
      </w:r>
    </w:p>
    <w:p w14:paraId="2EBE9DA1" w14:textId="61B1E73A" w:rsidR="00624B71" w:rsidRDefault="00624B71" w:rsidP="00821258">
      <w:pPr>
        <w:jc w:val="both"/>
        <w:rPr>
          <w:rFonts w:ascii="Arial" w:hAnsi="Arial" w:cs="Arial"/>
          <w:sz w:val="20"/>
          <w:szCs w:val="20"/>
        </w:rPr>
      </w:pPr>
    </w:p>
    <w:p w14:paraId="01008FB0" w14:textId="59ECA8E8" w:rsidR="00624B71" w:rsidRDefault="00624B71" w:rsidP="00821258">
      <w:pPr>
        <w:jc w:val="both"/>
        <w:rPr>
          <w:rFonts w:ascii="Arial" w:hAnsi="Arial" w:cs="Arial"/>
          <w:sz w:val="20"/>
          <w:szCs w:val="20"/>
        </w:rPr>
      </w:pPr>
      <w:r>
        <w:rPr>
          <w:rFonts w:ascii="Arial" w:hAnsi="Arial" w:cs="Arial"/>
          <w:sz w:val="20"/>
          <w:szCs w:val="20"/>
        </w:rPr>
        <w:t>Despite th</w:t>
      </w:r>
      <w:r w:rsidR="00EB07A8">
        <w:rPr>
          <w:rFonts w:ascii="Arial" w:hAnsi="Arial" w:cs="Arial"/>
          <w:sz w:val="20"/>
          <w:szCs w:val="20"/>
        </w:rPr>
        <w:t>ese</w:t>
      </w:r>
      <w:r>
        <w:rPr>
          <w:rFonts w:ascii="Arial" w:hAnsi="Arial" w:cs="Arial"/>
          <w:sz w:val="20"/>
          <w:szCs w:val="20"/>
        </w:rPr>
        <w:t xml:space="preserve"> overarching concern</w:t>
      </w:r>
      <w:r w:rsidR="00EB07A8">
        <w:rPr>
          <w:rFonts w:ascii="Arial" w:hAnsi="Arial" w:cs="Arial"/>
          <w:sz w:val="20"/>
          <w:szCs w:val="20"/>
        </w:rPr>
        <w:t>s</w:t>
      </w:r>
      <w:r>
        <w:rPr>
          <w:rFonts w:ascii="Arial" w:hAnsi="Arial" w:cs="Arial"/>
          <w:sz w:val="20"/>
          <w:szCs w:val="20"/>
        </w:rPr>
        <w:t>, th</w:t>
      </w:r>
      <w:r w:rsidR="00EB07A8">
        <w:rPr>
          <w:rFonts w:ascii="Arial" w:hAnsi="Arial" w:cs="Arial"/>
          <w:sz w:val="20"/>
          <w:szCs w:val="20"/>
        </w:rPr>
        <w:t>is</w:t>
      </w:r>
      <w:r>
        <w:rPr>
          <w:rFonts w:ascii="Arial" w:hAnsi="Arial" w:cs="Arial"/>
          <w:sz w:val="20"/>
          <w:szCs w:val="20"/>
        </w:rPr>
        <w:t xml:space="preserve"> submission engages with and contributes to the data as it has been presented and framed to date.  This submission:</w:t>
      </w:r>
    </w:p>
    <w:p w14:paraId="1828F2F5" w14:textId="75FD4F02" w:rsidR="00624B71" w:rsidRDefault="00624B71" w:rsidP="00821258">
      <w:pPr>
        <w:jc w:val="both"/>
        <w:rPr>
          <w:rFonts w:ascii="Arial" w:hAnsi="Arial" w:cs="Arial"/>
          <w:sz w:val="20"/>
          <w:szCs w:val="20"/>
        </w:rPr>
      </w:pPr>
    </w:p>
    <w:p w14:paraId="11CCEDCD" w14:textId="7794A3E2" w:rsidR="00624B71" w:rsidRDefault="00624B71" w:rsidP="00624B71">
      <w:pPr>
        <w:pStyle w:val="ListParagraph"/>
        <w:numPr>
          <w:ilvl w:val="0"/>
          <w:numId w:val="6"/>
        </w:numPr>
        <w:jc w:val="both"/>
        <w:rPr>
          <w:rFonts w:ascii="Arial" w:hAnsi="Arial" w:cs="Arial"/>
          <w:sz w:val="20"/>
          <w:szCs w:val="20"/>
        </w:rPr>
      </w:pPr>
      <w:r>
        <w:rPr>
          <w:rFonts w:ascii="Arial" w:hAnsi="Arial" w:cs="Arial"/>
          <w:sz w:val="20"/>
          <w:szCs w:val="20"/>
        </w:rPr>
        <w:t xml:space="preserve">Identifies concerns that the Tribunal has about some of the data that has already been presented to the </w:t>
      </w:r>
      <w:r w:rsidR="00F533B1">
        <w:rPr>
          <w:rFonts w:ascii="Arial" w:hAnsi="Arial" w:cs="Arial"/>
          <w:sz w:val="20"/>
          <w:szCs w:val="20"/>
        </w:rPr>
        <w:t>Productivity Commission</w:t>
      </w:r>
      <w:r>
        <w:rPr>
          <w:rFonts w:ascii="Arial" w:hAnsi="Arial" w:cs="Arial"/>
          <w:sz w:val="20"/>
          <w:szCs w:val="20"/>
        </w:rPr>
        <w:t>.</w:t>
      </w:r>
    </w:p>
    <w:p w14:paraId="633B6FFA" w14:textId="0E4F3B49" w:rsidR="00624B71" w:rsidRDefault="00624B71" w:rsidP="00624B71">
      <w:pPr>
        <w:pStyle w:val="ListParagraph"/>
        <w:numPr>
          <w:ilvl w:val="0"/>
          <w:numId w:val="6"/>
        </w:numPr>
        <w:jc w:val="both"/>
        <w:rPr>
          <w:rFonts w:ascii="Arial" w:hAnsi="Arial" w:cs="Arial"/>
          <w:sz w:val="20"/>
          <w:szCs w:val="20"/>
        </w:rPr>
      </w:pPr>
      <w:r>
        <w:rPr>
          <w:rFonts w:ascii="Arial" w:hAnsi="Arial" w:cs="Arial"/>
          <w:sz w:val="20"/>
          <w:szCs w:val="20"/>
        </w:rPr>
        <w:t>Provides the data that we have been able to extract from our case management system relating to the preceding five years</w:t>
      </w:r>
      <w:r w:rsidR="00005F91">
        <w:rPr>
          <w:rFonts w:ascii="Arial" w:hAnsi="Arial" w:cs="Arial"/>
          <w:sz w:val="20"/>
          <w:szCs w:val="20"/>
        </w:rPr>
        <w:t xml:space="preserve"> that confirms legal representation is one of multiple factors that bear upon hearing outcomes</w:t>
      </w:r>
      <w:r>
        <w:rPr>
          <w:rFonts w:ascii="Arial" w:hAnsi="Arial" w:cs="Arial"/>
          <w:sz w:val="20"/>
          <w:szCs w:val="20"/>
        </w:rPr>
        <w:t>.</w:t>
      </w:r>
    </w:p>
    <w:p w14:paraId="2BE3EC11" w14:textId="05CBB7D5" w:rsidR="00624B71" w:rsidRDefault="00005F91" w:rsidP="00624B71">
      <w:pPr>
        <w:pStyle w:val="ListParagraph"/>
        <w:numPr>
          <w:ilvl w:val="0"/>
          <w:numId w:val="6"/>
        </w:numPr>
        <w:jc w:val="both"/>
        <w:rPr>
          <w:rFonts w:ascii="Arial" w:hAnsi="Arial" w:cs="Arial"/>
          <w:sz w:val="20"/>
          <w:szCs w:val="20"/>
        </w:rPr>
      </w:pPr>
      <w:r>
        <w:rPr>
          <w:rFonts w:ascii="Arial" w:hAnsi="Arial" w:cs="Arial"/>
          <w:sz w:val="20"/>
          <w:szCs w:val="20"/>
        </w:rPr>
        <w:t xml:space="preserve">Identifies a range of possible biases that need to be borne in mind when considering data that expresses hearing outcomes </w:t>
      </w:r>
      <w:r w:rsidR="00351699">
        <w:rPr>
          <w:rFonts w:ascii="Arial" w:hAnsi="Arial" w:cs="Arial"/>
          <w:sz w:val="20"/>
          <w:szCs w:val="20"/>
        </w:rPr>
        <w:t>by reference to the presence or absence of legal representatives.</w:t>
      </w:r>
    </w:p>
    <w:p w14:paraId="735822EB" w14:textId="6EA419F2" w:rsidR="00351699" w:rsidRPr="004B028A" w:rsidRDefault="00F533B1" w:rsidP="00624B71">
      <w:pPr>
        <w:pStyle w:val="ListParagraph"/>
        <w:numPr>
          <w:ilvl w:val="0"/>
          <w:numId w:val="6"/>
        </w:numPr>
        <w:jc w:val="both"/>
        <w:rPr>
          <w:rFonts w:ascii="Arial" w:hAnsi="Arial" w:cs="Arial"/>
          <w:sz w:val="20"/>
          <w:szCs w:val="20"/>
        </w:rPr>
      </w:pPr>
      <w:r w:rsidRPr="004B028A">
        <w:rPr>
          <w:rFonts w:ascii="Arial" w:hAnsi="Arial" w:cs="Arial"/>
          <w:sz w:val="20"/>
          <w:szCs w:val="20"/>
        </w:rPr>
        <w:t>Provides c</w:t>
      </w:r>
      <w:r w:rsidR="00351699" w:rsidRPr="004B028A">
        <w:rPr>
          <w:rFonts w:ascii="Arial" w:hAnsi="Arial" w:cs="Arial"/>
          <w:sz w:val="20"/>
          <w:szCs w:val="20"/>
        </w:rPr>
        <w:t xml:space="preserve">omparative data from the New South Wales and Queensland Mental Health Review Tribunals which have much higher levels, </w:t>
      </w:r>
      <w:r w:rsidR="00EB07A8">
        <w:rPr>
          <w:rFonts w:ascii="Arial" w:hAnsi="Arial" w:cs="Arial"/>
          <w:sz w:val="20"/>
          <w:szCs w:val="20"/>
        </w:rPr>
        <w:t xml:space="preserve">and in some matters </w:t>
      </w:r>
      <w:r w:rsidR="00351699" w:rsidRPr="004B028A">
        <w:rPr>
          <w:rFonts w:ascii="Arial" w:hAnsi="Arial" w:cs="Arial"/>
          <w:sz w:val="20"/>
          <w:szCs w:val="20"/>
        </w:rPr>
        <w:t xml:space="preserve">even mandatory legal representation, but a profile of hearing outcomes that cautions against drawing </w:t>
      </w:r>
      <w:r w:rsidR="00D650F8" w:rsidRPr="004B028A">
        <w:rPr>
          <w:rFonts w:ascii="Arial" w:hAnsi="Arial" w:cs="Arial"/>
          <w:sz w:val="20"/>
          <w:szCs w:val="20"/>
        </w:rPr>
        <w:t xml:space="preserve">too definitive </w:t>
      </w:r>
      <w:r w:rsidR="00351699" w:rsidRPr="004B028A">
        <w:rPr>
          <w:rFonts w:ascii="Arial" w:hAnsi="Arial" w:cs="Arial"/>
          <w:sz w:val="20"/>
          <w:szCs w:val="20"/>
        </w:rPr>
        <w:t>conclusions about the link between legal representation and hearing outcomes.</w:t>
      </w:r>
    </w:p>
    <w:p w14:paraId="7C0C6A0B" w14:textId="77777777" w:rsidR="00D13154" w:rsidRPr="00821258" w:rsidRDefault="00D13154" w:rsidP="00821258">
      <w:pPr>
        <w:jc w:val="both"/>
        <w:rPr>
          <w:rFonts w:ascii="Arial" w:hAnsi="Arial" w:cs="Arial"/>
          <w:sz w:val="20"/>
          <w:szCs w:val="20"/>
        </w:rPr>
      </w:pPr>
    </w:p>
    <w:p w14:paraId="3F1BB57C" w14:textId="77777777" w:rsidR="00821258" w:rsidRDefault="00821258">
      <w:pPr>
        <w:spacing w:after="200" w:line="276" w:lineRule="auto"/>
        <w:rPr>
          <w:rFonts w:ascii="Arial" w:hAnsi="Arial" w:cs="Arial"/>
          <w:b/>
          <w:sz w:val="20"/>
          <w:szCs w:val="20"/>
        </w:rPr>
      </w:pPr>
      <w:r>
        <w:rPr>
          <w:rFonts w:ascii="Arial" w:hAnsi="Arial" w:cs="Arial"/>
          <w:b/>
          <w:sz w:val="20"/>
          <w:szCs w:val="20"/>
        </w:rPr>
        <w:br w:type="page"/>
      </w:r>
    </w:p>
    <w:p w14:paraId="7E2FD36B" w14:textId="77777777" w:rsidR="00D650F8" w:rsidRDefault="00091A22" w:rsidP="00D650F8">
      <w:pPr>
        <w:pStyle w:val="ListParagraph"/>
        <w:numPr>
          <w:ilvl w:val="0"/>
          <w:numId w:val="8"/>
        </w:numPr>
        <w:jc w:val="both"/>
        <w:rPr>
          <w:rFonts w:ascii="Arial" w:hAnsi="Arial" w:cs="Arial"/>
          <w:b/>
          <w:sz w:val="20"/>
          <w:szCs w:val="20"/>
        </w:rPr>
      </w:pPr>
      <w:r w:rsidRPr="00D650F8">
        <w:rPr>
          <w:rFonts w:ascii="Arial" w:hAnsi="Arial" w:cs="Arial"/>
          <w:b/>
          <w:sz w:val="20"/>
          <w:szCs w:val="20"/>
        </w:rPr>
        <w:lastRenderedPageBreak/>
        <w:t>BACKGROUND</w:t>
      </w:r>
    </w:p>
    <w:p w14:paraId="59876B77" w14:textId="77777777" w:rsidR="00D650F8" w:rsidRDefault="00D650F8" w:rsidP="00D650F8">
      <w:pPr>
        <w:jc w:val="both"/>
        <w:rPr>
          <w:rFonts w:ascii="Arial" w:hAnsi="Arial" w:cs="Arial"/>
          <w:b/>
          <w:sz w:val="20"/>
          <w:szCs w:val="20"/>
        </w:rPr>
      </w:pPr>
    </w:p>
    <w:p w14:paraId="448CE175" w14:textId="2811F12A" w:rsidR="00091A22" w:rsidRPr="00D650F8" w:rsidRDefault="00D650F8" w:rsidP="00D650F8">
      <w:pPr>
        <w:pStyle w:val="ListParagraph"/>
        <w:numPr>
          <w:ilvl w:val="1"/>
          <w:numId w:val="8"/>
        </w:numPr>
        <w:jc w:val="both"/>
        <w:rPr>
          <w:rFonts w:ascii="Arial" w:hAnsi="Arial" w:cs="Arial"/>
          <w:b/>
          <w:sz w:val="20"/>
          <w:szCs w:val="20"/>
        </w:rPr>
      </w:pPr>
      <w:r w:rsidRPr="00D650F8">
        <w:rPr>
          <w:rFonts w:ascii="Arial" w:hAnsi="Arial" w:cs="Arial"/>
          <w:b/>
          <w:sz w:val="20"/>
          <w:szCs w:val="20"/>
        </w:rPr>
        <w:t>The Role of the Mental Health Tribunal</w:t>
      </w:r>
    </w:p>
    <w:p w14:paraId="6BB22449" w14:textId="77777777" w:rsidR="00091A22" w:rsidRDefault="00091A22" w:rsidP="00091A22">
      <w:pPr>
        <w:jc w:val="both"/>
        <w:rPr>
          <w:rFonts w:ascii="Arial" w:hAnsi="Arial" w:cs="Arial"/>
          <w:sz w:val="20"/>
          <w:szCs w:val="20"/>
        </w:rPr>
      </w:pPr>
    </w:p>
    <w:p w14:paraId="2C26FC1B" w14:textId="2F5C3DFB" w:rsidR="00091A22" w:rsidRPr="006E3E98" w:rsidRDefault="00091A22" w:rsidP="00091A22">
      <w:pPr>
        <w:spacing w:before="240" w:after="120"/>
        <w:contextualSpacing/>
        <w:jc w:val="both"/>
        <w:rPr>
          <w:rFonts w:ascii="Arial" w:eastAsia="Calibri" w:hAnsi="Arial" w:cs="Arial"/>
          <w:sz w:val="20"/>
          <w:szCs w:val="20"/>
        </w:rPr>
      </w:pPr>
      <w:r w:rsidRPr="006E3E98">
        <w:rPr>
          <w:rFonts w:ascii="Arial" w:eastAsia="Calibri" w:hAnsi="Arial" w:cs="Arial"/>
          <w:sz w:val="20"/>
          <w:szCs w:val="20"/>
        </w:rPr>
        <w:t xml:space="preserve">The Mental Health Tribunal (Tribunal) was established under the </w:t>
      </w:r>
      <w:r w:rsidRPr="006E3E98">
        <w:rPr>
          <w:rFonts w:ascii="Arial" w:eastAsia="Calibri" w:hAnsi="Arial" w:cs="Arial"/>
          <w:i/>
          <w:sz w:val="20"/>
          <w:szCs w:val="20"/>
        </w:rPr>
        <w:t xml:space="preserve">Mental Health Act 2014 </w:t>
      </w:r>
      <w:r w:rsidRPr="006E3E98">
        <w:rPr>
          <w:rFonts w:ascii="Arial" w:eastAsia="Calibri" w:hAnsi="Arial" w:cs="Arial"/>
          <w:sz w:val="20"/>
          <w:szCs w:val="20"/>
        </w:rPr>
        <w:t>(the Act) and commenced operation on 1 July 2014, replacing the former Mental Health Review Board</w:t>
      </w:r>
      <w:r w:rsidR="00896C0A">
        <w:rPr>
          <w:rFonts w:ascii="Arial" w:eastAsia="Calibri" w:hAnsi="Arial" w:cs="Arial"/>
          <w:sz w:val="20"/>
          <w:szCs w:val="20"/>
        </w:rPr>
        <w:t xml:space="preserve"> (Board)</w:t>
      </w:r>
      <w:r w:rsidRPr="006E3E98">
        <w:rPr>
          <w:rFonts w:ascii="Arial" w:eastAsia="Calibri" w:hAnsi="Arial" w:cs="Arial"/>
          <w:sz w:val="20"/>
          <w:szCs w:val="20"/>
        </w:rPr>
        <w:t xml:space="preserve">. The Tribunal is an essential safeguard under the Act to protect the rights and dignity of people with mental illness.  The Tribunal has a range of functions, the most relevant to the </w:t>
      </w:r>
      <w:r>
        <w:rPr>
          <w:rFonts w:ascii="Arial" w:eastAsia="Calibri" w:hAnsi="Arial" w:cs="Arial"/>
          <w:sz w:val="20"/>
          <w:szCs w:val="20"/>
        </w:rPr>
        <w:t xml:space="preserve">Productivity Commission’s inquiry </w:t>
      </w:r>
      <w:r w:rsidRPr="006E3E98">
        <w:rPr>
          <w:rFonts w:ascii="Arial" w:eastAsia="Calibri" w:hAnsi="Arial" w:cs="Arial"/>
          <w:sz w:val="20"/>
          <w:szCs w:val="20"/>
        </w:rPr>
        <w:t>being:</w:t>
      </w:r>
    </w:p>
    <w:p w14:paraId="6EA26DC0" w14:textId="77777777" w:rsidR="00091A22" w:rsidRPr="006E3E98" w:rsidRDefault="00091A22" w:rsidP="00091A22">
      <w:pPr>
        <w:spacing w:before="240" w:after="120"/>
        <w:contextualSpacing/>
        <w:jc w:val="both"/>
        <w:rPr>
          <w:rFonts w:ascii="Arial" w:eastAsia="Calibri" w:hAnsi="Arial" w:cs="Arial"/>
          <w:sz w:val="20"/>
          <w:szCs w:val="20"/>
        </w:rPr>
      </w:pPr>
    </w:p>
    <w:p w14:paraId="685945B3" w14:textId="35DD937F" w:rsidR="00091A22" w:rsidRPr="006E3E98" w:rsidRDefault="00091A22" w:rsidP="00091A22">
      <w:pPr>
        <w:numPr>
          <w:ilvl w:val="0"/>
          <w:numId w:val="1"/>
        </w:numPr>
        <w:spacing w:before="240" w:after="120"/>
        <w:contextualSpacing/>
        <w:jc w:val="both"/>
        <w:rPr>
          <w:rFonts w:ascii="Arial" w:eastAsia="Calibri" w:hAnsi="Arial" w:cs="Arial"/>
          <w:sz w:val="20"/>
          <w:szCs w:val="20"/>
        </w:rPr>
      </w:pPr>
      <w:r w:rsidRPr="006E3E98">
        <w:rPr>
          <w:rFonts w:ascii="Arial" w:eastAsia="Calibri" w:hAnsi="Arial" w:cs="Arial"/>
          <w:sz w:val="20"/>
          <w:szCs w:val="20"/>
        </w:rPr>
        <w:t>determining whether to make or revoke a Treatment Order that requires a person to have compulsory treatment for a mental illness either in an inpatient setting, or while living in the community;</w:t>
      </w:r>
      <w:r>
        <w:rPr>
          <w:rFonts w:ascii="Arial" w:eastAsia="Calibri" w:hAnsi="Arial" w:cs="Arial"/>
          <w:sz w:val="20"/>
          <w:szCs w:val="20"/>
        </w:rPr>
        <w:t xml:space="preserve"> and</w:t>
      </w:r>
    </w:p>
    <w:p w14:paraId="43D3D40C" w14:textId="77777777" w:rsidR="00091A22" w:rsidRPr="006E3E98" w:rsidRDefault="00091A22" w:rsidP="00091A22">
      <w:pPr>
        <w:spacing w:before="240" w:after="120"/>
        <w:ind w:left="720"/>
        <w:contextualSpacing/>
        <w:jc w:val="both"/>
        <w:rPr>
          <w:rFonts w:ascii="Arial" w:eastAsia="Calibri" w:hAnsi="Arial" w:cs="Arial"/>
          <w:sz w:val="20"/>
          <w:szCs w:val="20"/>
        </w:rPr>
      </w:pPr>
    </w:p>
    <w:p w14:paraId="307A990B" w14:textId="77777777" w:rsidR="00091A22" w:rsidRPr="006E3E98" w:rsidRDefault="00091A22" w:rsidP="00091A22">
      <w:pPr>
        <w:numPr>
          <w:ilvl w:val="0"/>
          <w:numId w:val="1"/>
        </w:numPr>
        <w:spacing w:before="240" w:after="120"/>
        <w:contextualSpacing/>
        <w:jc w:val="both"/>
        <w:rPr>
          <w:rFonts w:ascii="Arial" w:eastAsia="Calibri" w:hAnsi="Arial" w:cs="Arial"/>
          <w:sz w:val="20"/>
          <w:szCs w:val="20"/>
        </w:rPr>
      </w:pPr>
      <w:r w:rsidRPr="006E3E98">
        <w:rPr>
          <w:rFonts w:ascii="Arial" w:eastAsia="Calibri" w:hAnsi="Arial" w:cs="Arial"/>
          <w:sz w:val="20"/>
          <w:szCs w:val="20"/>
        </w:rPr>
        <w:t>determining whether to make an Electroconvulsive Treatment Order that authorises the use of electroconvulsive treatment (ECT) in the treatment of adults who lack capacity to provide informed consent (whether voluntary, compulsory, security or forensic patients), and in any instance where the person being treated is less than 18 years old.</w:t>
      </w:r>
    </w:p>
    <w:p w14:paraId="6A4DF5D0" w14:textId="77777777" w:rsidR="00091A22" w:rsidRPr="006E3E98" w:rsidRDefault="00091A22" w:rsidP="00091A22">
      <w:pPr>
        <w:spacing w:before="240" w:after="120"/>
        <w:contextualSpacing/>
        <w:jc w:val="both"/>
        <w:rPr>
          <w:rFonts w:ascii="Arial" w:eastAsia="Calibri" w:hAnsi="Arial" w:cs="Arial"/>
          <w:sz w:val="20"/>
          <w:szCs w:val="20"/>
        </w:rPr>
      </w:pPr>
    </w:p>
    <w:p w14:paraId="4BDC1CF4" w14:textId="0D65BC26" w:rsidR="00091A22" w:rsidRPr="006E3E98" w:rsidRDefault="00091A22" w:rsidP="00091A22">
      <w:pPr>
        <w:spacing w:before="240" w:after="120"/>
        <w:contextualSpacing/>
        <w:jc w:val="both"/>
        <w:rPr>
          <w:rFonts w:ascii="Arial" w:eastAsia="Calibri" w:hAnsi="Arial" w:cs="Arial"/>
          <w:sz w:val="20"/>
          <w:szCs w:val="20"/>
        </w:rPr>
      </w:pPr>
      <w:r>
        <w:rPr>
          <w:rFonts w:ascii="Arial" w:eastAsia="Calibri" w:hAnsi="Arial" w:cs="Arial"/>
          <w:sz w:val="20"/>
          <w:szCs w:val="20"/>
        </w:rPr>
        <w:t xml:space="preserve">Since commencement the Tribunal has conducted more than 34,000 hearings, and every year has seen an increase in its caseload.  </w:t>
      </w:r>
      <w:r w:rsidRPr="006E3E98">
        <w:rPr>
          <w:rFonts w:ascii="Arial" w:eastAsia="Calibri" w:hAnsi="Arial" w:cs="Arial"/>
          <w:sz w:val="20"/>
          <w:szCs w:val="20"/>
        </w:rPr>
        <w:t>In 2018/19 the Tribunal conduct</w:t>
      </w:r>
      <w:r>
        <w:rPr>
          <w:rFonts w:ascii="Arial" w:eastAsia="Calibri" w:hAnsi="Arial" w:cs="Arial"/>
          <w:sz w:val="20"/>
          <w:szCs w:val="20"/>
        </w:rPr>
        <w:t>ed</w:t>
      </w:r>
      <w:r w:rsidRPr="006E3E98">
        <w:rPr>
          <w:rFonts w:ascii="Arial" w:eastAsia="Calibri" w:hAnsi="Arial" w:cs="Arial"/>
          <w:sz w:val="20"/>
          <w:szCs w:val="20"/>
        </w:rPr>
        <w:t xml:space="preserve"> more than 8,</w:t>
      </w:r>
      <w:r>
        <w:rPr>
          <w:rFonts w:ascii="Arial" w:eastAsia="Calibri" w:hAnsi="Arial" w:cs="Arial"/>
          <w:sz w:val="20"/>
          <w:szCs w:val="20"/>
        </w:rPr>
        <w:t>5</w:t>
      </w:r>
      <w:r w:rsidRPr="006E3E98">
        <w:rPr>
          <w:rFonts w:ascii="Arial" w:eastAsia="Calibri" w:hAnsi="Arial" w:cs="Arial"/>
          <w:sz w:val="20"/>
          <w:szCs w:val="20"/>
        </w:rPr>
        <w:t>00 hearings</w:t>
      </w:r>
      <w:r>
        <w:rPr>
          <w:rFonts w:ascii="Arial" w:eastAsia="Calibri" w:hAnsi="Arial" w:cs="Arial"/>
          <w:sz w:val="20"/>
          <w:szCs w:val="20"/>
        </w:rPr>
        <w:t>, an increase of 4.3% on the previous year</w:t>
      </w:r>
      <w:r w:rsidRPr="006E3E98">
        <w:rPr>
          <w:rFonts w:ascii="Arial" w:eastAsia="Calibri" w:hAnsi="Arial" w:cs="Arial"/>
          <w:sz w:val="20"/>
          <w:szCs w:val="20"/>
        </w:rPr>
        <w:t>.  The majority of these</w:t>
      </w:r>
      <w:r>
        <w:rPr>
          <w:rFonts w:ascii="Arial" w:eastAsia="Calibri" w:hAnsi="Arial" w:cs="Arial"/>
          <w:sz w:val="20"/>
          <w:szCs w:val="20"/>
        </w:rPr>
        <w:t xml:space="preserve"> hearings</w:t>
      </w:r>
      <w:r w:rsidRPr="006E3E98">
        <w:rPr>
          <w:rFonts w:ascii="Arial" w:eastAsia="Calibri" w:hAnsi="Arial" w:cs="Arial"/>
          <w:sz w:val="20"/>
          <w:szCs w:val="20"/>
        </w:rPr>
        <w:t xml:space="preserve"> are conducted in-person which means the Tribunal visits 57 mental health inpatient units and community clinics across Victoria on a regular basis.  </w:t>
      </w:r>
      <w:r w:rsidRPr="00896C0A">
        <w:rPr>
          <w:rFonts w:ascii="Arial" w:eastAsia="Calibri" w:hAnsi="Arial" w:cs="Arial"/>
          <w:sz w:val="20"/>
          <w:szCs w:val="20"/>
        </w:rPr>
        <w:t>Consumers and carers / support people are always encouraged to attend hearings</w:t>
      </w:r>
      <w:r w:rsidR="00EB07A8">
        <w:rPr>
          <w:rFonts w:ascii="Arial" w:eastAsia="Calibri" w:hAnsi="Arial" w:cs="Arial"/>
          <w:sz w:val="20"/>
          <w:szCs w:val="20"/>
        </w:rPr>
        <w:t>.  I</w:t>
      </w:r>
      <w:r w:rsidRPr="00896C0A">
        <w:rPr>
          <w:rFonts w:ascii="Arial" w:eastAsia="Calibri" w:hAnsi="Arial" w:cs="Arial"/>
          <w:sz w:val="20"/>
          <w:szCs w:val="20"/>
        </w:rPr>
        <w:t xml:space="preserve">n 2018/19 consumers did so in </w:t>
      </w:r>
      <w:r w:rsidR="00896C0A" w:rsidRPr="00896C0A">
        <w:rPr>
          <w:rFonts w:ascii="Arial" w:eastAsia="Calibri" w:hAnsi="Arial" w:cs="Arial"/>
          <w:sz w:val="20"/>
          <w:szCs w:val="20"/>
        </w:rPr>
        <w:t>56</w:t>
      </w:r>
      <w:r w:rsidRPr="00896C0A">
        <w:rPr>
          <w:rFonts w:ascii="Arial" w:eastAsia="Calibri" w:hAnsi="Arial" w:cs="Arial"/>
          <w:sz w:val="20"/>
          <w:szCs w:val="20"/>
        </w:rPr>
        <w:t>% of hearings,</w:t>
      </w:r>
      <w:r w:rsidR="000A5C18">
        <w:rPr>
          <w:rFonts w:ascii="Arial" w:eastAsia="Calibri" w:hAnsi="Arial" w:cs="Arial"/>
          <w:sz w:val="20"/>
          <w:szCs w:val="20"/>
        </w:rPr>
        <w:t xml:space="preserve"> and</w:t>
      </w:r>
      <w:r w:rsidRPr="00896C0A">
        <w:rPr>
          <w:rFonts w:ascii="Arial" w:eastAsia="Calibri" w:hAnsi="Arial" w:cs="Arial"/>
          <w:sz w:val="20"/>
          <w:szCs w:val="20"/>
        </w:rPr>
        <w:t xml:space="preserve"> carers / support people attend</w:t>
      </w:r>
      <w:r w:rsidR="000A5C18">
        <w:rPr>
          <w:rFonts w:ascii="Arial" w:eastAsia="Calibri" w:hAnsi="Arial" w:cs="Arial"/>
          <w:sz w:val="20"/>
          <w:szCs w:val="20"/>
        </w:rPr>
        <w:t>ed</w:t>
      </w:r>
      <w:r w:rsidRPr="00896C0A">
        <w:rPr>
          <w:rFonts w:ascii="Arial" w:eastAsia="Calibri" w:hAnsi="Arial" w:cs="Arial"/>
          <w:sz w:val="20"/>
          <w:szCs w:val="20"/>
        </w:rPr>
        <w:t xml:space="preserve"> in </w:t>
      </w:r>
      <w:r w:rsidR="00896C0A" w:rsidRPr="00896C0A">
        <w:rPr>
          <w:rFonts w:ascii="Arial" w:eastAsia="Calibri" w:hAnsi="Arial" w:cs="Arial"/>
          <w:sz w:val="20"/>
          <w:szCs w:val="20"/>
        </w:rPr>
        <w:t>26</w:t>
      </w:r>
      <w:r w:rsidRPr="00896C0A">
        <w:rPr>
          <w:rFonts w:ascii="Arial" w:eastAsia="Calibri" w:hAnsi="Arial" w:cs="Arial"/>
          <w:sz w:val="20"/>
          <w:szCs w:val="20"/>
        </w:rPr>
        <w:t>%.  Raising attendance levels of consumers</w:t>
      </w:r>
      <w:r w:rsidRPr="006E3E98">
        <w:rPr>
          <w:rFonts w:ascii="Arial" w:eastAsia="Calibri" w:hAnsi="Arial" w:cs="Arial"/>
          <w:sz w:val="20"/>
          <w:szCs w:val="20"/>
        </w:rPr>
        <w:t xml:space="preserve"> and carers is a constant focus of the Tribunal and </w:t>
      </w:r>
      <w:r>
        <w:rPr>
          <w:rFonts w:ascii="Arial" w:eastAsia="Calibri" w:hAnsi="Arial" w:cs="Arial"/>
          <w:sz w:val="20"/>
          <w:szCs w:val="20"/>
        </w:rPr>
        <w:t xml:space="preserve">in consultation with consumers, carers and advocates the Tribunal recently finalised an </w:t>
      </w:r>
      <w:r>
        <w:rPr>
          <w:rFonts w:ascii="Arial" w:eastAsia="Calibri" w:hAnsi="Arial" w:cs="Arial"/>
          <w:i/>
          <w:sz w:val="20"/>
          <w:szCs w:val="20"/>
        </w:rPr>
        <w:t>Action Plan for Increasing Participation in Tribunal Hearings</w:t>
      </w:r>
      <w:r>
        <w:rPr>
          <w:rFonts w:ascii="Arial" w:eastAsia="Calibri" w:hAnsi="Arial" w:cs="Arial"/>
          <w:sz w:val="20"/>
          <w:szCs w:val="20"/>
        </w:rPr>
        <w:t>.</w:t>
      </w:r>
      <w:r>
        <w:rPr>
          <w:rStyle w:val="FootnoteReference"/>
          <w:rFonts w:ascii="Arial" w:eastAsia="Calibri" w:hAnsi="Arial" w:cs="Arial"/>
          <w:sz w:val="20"/>
          <w:szCs w:val="20"/>
        </w:rPr>
        <w:footnoteReference w:id="1"/>
      </w:r>
    </w:p>
    <w:p w14:paraId="564FA829" w14:textId="7A501546" w:rsidR="00091A22" w:rsidRDefault="00091A22" w:rsidP="00091A22">
      <w:pPr>
        <w:jc w:val="both"/>
        <w:rPr>
          <w:rFonts w:ascii="Arial" w:hAnsi="Arial" w:cs="Arial"/>
          <w:sz w:val="20"/>
          <w:szCs w:val="20"/>
        </w:rPr>
      </w:pPr>
    </w:p>
    <w:p w14:paraId="6D4D1437" w14:textId="3CFB3DD8" w:rsidR="00D650F8" w:rsidRPr="00D650F8" w:rsidRDefault="00D650F8" w:rsidP="00D650F8">
      <w:pPr>
        <w:pStyle w:val="ListParagraph"/>
        <w:numPr>
          <w:ilvl w:val="1"/>
          <w:numId w:val="8"/>
        </w:numPr>
        <w:jc w:val="both"/>
        <w:rPr>
          <w:rFonts w:ascii="Arial" w:hAnsi="Arial" w:cs="Arial"/>
          <w:b/>
          <w:sz w:val="20"/>
          <w:szCs w:val="20"/>
        </w:rPr>
      </w:pPr>
      <w:r w:rsidRPr="00D650F8">
        <w:rPr>
          <w:rFonts w:ascii="Arial" w:hAnsi="Arial" w:cs="Arial"/>
          <w:b/>
          <w:sz w:val="20"/>
          <w:szCs w:val="20"/>
        </w:rPr>
        <w:t xml:space="preserve">Focus of this </w:t>
      </w:r>
      <w:r>
        <w:rPr>
          <w:rFonts w:ascii="Arial" w:hAnsi="Arial" w:cs="Arial"/>
          <w:b/>
          <w:sz w:val="20"/>
          <w:szCs w:val="20"/>
        </w:rPr>
        <w:t>submission</w:t>
      </w:r>
    </w:p>
    <w:p w14:paraId="321920A5" w14:textId="77777777" w:rsidR="00091A22" w:rsidRDefault="00091A22" w:rsidP="00091A22">
      <w:pPr>
        <w:jc w:val="both"/>
        <w:rPr>
          <w:rFonts w:ascii="Arial" w:hAnsi="Arial" w:cs="Arial"/>
          <w:sz w:val="20"/>
          <w:szCs w:val="20"/>
        </w:rPr>
      </w:pPr>
    </w:p>
    <w:p w14:paraId="090633DC" w14:textId="77777777" w:rsidR="00091A22" w:rsidRDefault="00091A22" w:rsidP="00091A22">
      <w:pPr>
        <w:jc w:val="both"/>
        <w:rPr>
          <w:rFonts w:ascii="Arial" w:hAnsi="Arial" w:cs="Arial"/>
          <w:sz w:val="20"/>
          <w:szCs w:val="20"/>
        </w:rPr>
      </w:pPr>
      <w:r>
        <w:rPr>
          <w:rFonts w:ascii="Arial" w:hAnsi="Arial" w:cs="Arial"/>
          <w:sz w:val="20"/>
          <w:szCs w:val="20"/>
        </w:rPr>
        <w:t>The Productivity Commission’s inquiry coincided with the Royal Commission into Victoria’s Mental Health System (Royal Commission).  The Tribunal had to prioritise its engagement with the Royal Commission and did not make a submission in response to the Productivity Commission’s issues paper.  A copy of the Tribunal’s submission to the Royal Commission is available on our website.</w:t>
      </w:r>
      <w:r>
        <w:rPr>
          <w:rStyle w:val="FootnoteReference"/>
          <w:rFonts w:ascii="Arial" w:hAnsi="Arial" w:cs="Arial"/>
          <w:sz w:val="20"/>
          <w:szCs w:val="20"/>
        </w:rPr>
        <w:footnoteReference w:id="2"/>
      </w:r>
    </w:p>
    <w:p w14:paraId="4E003133" w14:textId="77777777" w:rsidR="00091A22" w:rsidRDefault="00091A22" w:rsidP="00091A22">
      <w:pPr>
        <w:jc w:val="both"/>
        <w:rPr>
          <w:rFonts w:ascii="Arial" w:hAnsi="Arial" w:cs="Arial"/>
          <w:sz w:val="20"/>
          <w:szCs w:val="20"/>
        </w:rPr>
      </w:pPr>
    </w:p>
    <w:p w14:paraId="0C26B8D5" w14:textId="001203F6" w:rsidR="00883D7B" w:rsidRDefault="00091A22" w:rsidP="00091A22">
      <w:pPr>
        <w:jc w:val="both"/>
        <w:rPr>
          <w:rFonts w:ascii="Arial" w:hAnsi="Arial" w:cs="Arial"/>
          <w:sz w:val="20"/>
          <w:szCs w:val="20"/>
        </w:rPr>
      </w:pPr>
      <w:r>
        <w:rPr>
          <w:rFonts w:ascii="Arial" w:hAnsi="Arial" w:cs="Arial"/>
          <w:sz w:val="20"/>
          <w:szCs w:val="20"/>
        </w:rPr>
        <w:t xml:space="preserve">This brief submission is in response to the Productivity Commission’s draft recommendation 16.6 </w:t>
      </w:r>
      <w:r>
        <w:rPr>
          <w:rFonts w:ascii="Arial" w:hAnsi="Arial" w:cs="Arial"/>
          <w:i/>
          <w:sz w:val="20"/>
          <w:szCs w:val="20"/>
        </w:rPr>
        <w:t>Legal Representation at Mental Health Tribunals</w:t>
      </w:r>
      <w:r w:rsidR="000A5C18">
        <w:rPr>
          <w:rFonts w:ascii="Arial" w:hAnsi="Arial" w:cs="Arial"/>
          <w:sz w:val="20"/>
          <w:szCs w:val="20"/>
        </w:rPr>
        <w:t xml:space="preserve"> – that the availability of legal services for people who have hearings before mental health tribunals be increased</w:t>
      </w:r>
      <w:r>
        <w:rPr>
          <w:rFonts w:ascii="Arial" w:hAnsi="Arial" w:cs="Arial"/>
          <w:sz w:val="20"/>
          <w:szCs w:val="20"/>
        </w:rPr>
        <w:t xml:space="preserve">.  </w:t>
      </w:r>
      <w:r w:rsidR="00883D7B">
        <w:rPr>
          <w:rFonts w:ascii="Arial" w:hAnsi="Arial" w:cs="Arial"/>
          <w:sz w:val="20"/>
          <w:szCs w:val="20"/>
        </w:rPr>
        <w:t>The Tribunal also noted the Productivity Commission’s interest in this issue in the most recent round of public hearings</w:t>
      </w:r>
      <w:r w:rsidR="00896C0A">
        <w:rPr>
          <w:rFonts w:ascii="Arial" w:hAnsi="Arial" w:cs="Arial"/>
          <w:sz w:val="20"/>
          <w:szCs w:val="20"/>
        </w:rPr>
        <w:t xml:space="preserve"> in Melbourne </w:t>
      </w:r>
      <w:r w:rsidR="00D43813">
        <w:rPr>
          <w:rFonts w:ascii="Arial" w:hAnsi="Arial" w:cs="Arial"/>
          <w:sz w:val="20"/>
          <w:szCs w:val="20"/>
        </w:rPr>
        <w:t>i</w:t>
      </w:r>
      <w:r w:rsidR="00896C0A">
        <w:rPr>
          <w:rFonts w:ascii="Arial" w:hAnsi="Arial" w:cs="Arial"/>
          <w:sz w:val="20"/>
          <w:szCs w:val="20"/>
        </w:rPr>
        <w:t>n November 2019</w:t>
      </w:r>
      <w:r w:rsidR="00883D7B">
        <w:rPr>
          <w:rFonts w:ascii="Arial" w:hAnsi="Arial" w:cs="Arial"/>
          <w:sz w:val="20"/>
          <w:szCs w:val="20"/>
        </w:rPr>
        <w:t>.</w:t>
      </w:r>
    </w:p>
    <w:p w14:paraId="03ECEC06" w14:textId="77777777" w:rsidR="00883D7B" w:rsidRDefault="00883D7B" w:rsidP="00091A22">
      <w:pPr>
        <w:jc w:val="both"/>
        <w:rPr>
          <w:rFonts w:ascii="Arial" w:hAnsi="Arial" w:cs="Arial"/>
          <w:sz w:val="20"/>
          <w:szCs w:val="20"/>
        </w:rPr>
      </w:pPr>
    </w:p>
    <w:p w14:paraId="786C46CB" w14:textId="4E38BFD0" w:rsidR="00091A22" w:rsidRDefault="00091A22" w:rsidP="00091A22">
      <w:pPr>
        <w:jc w:val="both"/>
        <w:rPr>
          <w:rFonts w:ascii="Arial" w:hAnsi="Arial" w:cs="Arial"/>
          <w:sz w:val="20"/>
          <w:szCs w:val="20"/>
        </w:rPr>
      </w:pPr>
      <w:r>
        <w:rPr>
          <w:rFonts w:ascii="Arial" w:hAnsi="Arial" w:cs="Arial"/>
          <w:sz w:val="20"/>
          <w:szCs w:val="20"/>
        </w:rPr>
        <w:t>As will be emphasised throughout this submission, the Tribunal fully supports legal representation and would welcome more of it.  However, it is concerned about the accuracy</w:t>
      </w:r>
      <w:r w:rsidR="00896C0A">
        <w:rPr>
          <w:rFonts w:ascii="Arial" w:hAnsi="Arial" w:cs="Arial"/>
          <w:sz w:val="20"/>
          <w:szCs w:val="20"/>
        </w:rPr>
        <w:t>, completeness</w:t>
      </w:r>
      <w:r>
        <w:rPr>
          <w:rFonts w:ascii="Arial" w:hAnsi="Arial" w:cs="Arial"/>
          <w:sz w:val="20"/>
          <w:szCs w:val="20"/>
        </w:rPr>
        <w:t xml:space="preserve"> and interpretation of some of the statistical data provided to the Productivity Commission.  The Tribunal is also concerned that the welcome attention </w:t>
      </w:r>
      <w:r w:rsidR="00883D7B">
        <w:rPr>
          <w:rFonts w:ascii="Arial" w:hAnsi="Arial" w:cs="Arial"/>
          <w:sz w:val="20"/>
          <w:szCs w:val="20"/>
        </w:rPr>
        <w:t>to</w:t>
      </w:r>
      <w:r>
        <w:rPr>
          <w:rFonts w:ascii="Arial" w:hAnsi="Arial" w:cs="Arial"/>
          <w:sz w:val="20"/>
          <w:szCs w:val="20"/>
        </w:rPr>
        <w:t>, and important discourse around this issue should not inadvertently act to discourage people who do not have legal representation from attending their hearing</w:t>
      </w:r>
      <w:r w:rsidR="00EB07A8">
        <w:rPr>
          <w:rFonts w:ascii="Arial" w:hAnsi="Arial" w:cs="Arial"/>
          <w:sz w:val="20"/>
          <w:szCs w:val="20"/>
        </w:rPr>
        <w:t>,</w:t>
      </w:r>
      <w:r w:rsidR="00896C0A">
        <w:rPr>
          <w:rFonts w:ascii="Arial" w:hAnsi="Arial" w:cs="Arial"/>
          <w:sz w:val="20"/>
          <w:szCs w:val="20"/>
        </w:rPr>
        <w:t xml:space="preserve"> by creating an unintended misapprehension that the Tribunal’s processes are legalistic, or that legal representation is needed to ensure fair treatment</w:t>
      </w:r>
      <w:r>
        <w:rPr>
          <w:rFonts w:ascii="Arial" w:hAnsi="Arial" w:cs="Arial"/>
          <w:sz w:val="20"/>
          <w:szCs w:val="20"/>
        </w:rPr>
        <w:t>.</w:t>
      </w:r>
    </w:p>
    <w:p w14:paraId="6CE4CEB5" w14:textId="77777777" w:rsidR="00091A22" w:rsidRDefault="00091A22" w:rsidP="00091A22">
      <w:pPr>
        <w:jc w:val="both"/>
        <w:rPr>
          <w:rFonts w:ascii="Arial" w:hAnsi="Arial" w:cs="Arial"/>
          <w:sz w:val="20"/>
          <w:szCs w:val="20"/>
        </w:rPr>
      </w:pPr>
    </w:p>
    <w:p w14:paraId="20DAE46D" w14:textId="77777777" w:rsidR="00091A22" w:rsidRDefault="00091A22" w:rsidP="00091A22">
      <w:pPr>
        <w:jc w:val="both"/>
        <w:rPr>
          <w:rFonts w:ascii="Arial" w:hAnsi="Arial" w:cs="Arial"/>
          <w:sz w:val="20"/>
          <w:szCs w:val="20"/>
        </w:rPr>
      </w:pPr>
    </w:p>
    <w:p w14:paraId="346B2129" w14:textId="77777777" w:rsidR="00896C0A" w:rsidRDefault="00896C0A">
      <w:pPr>
        <w:spacing w:after="200" w:line="276" w:lineRule="auto"/>
        <w:rPr>
          <w:rFonts w:ascii="Arial" w:hAnsi="Arial" w:cs="Arial"/>
          <w:b/>
          <w:caps/>
          <w:sz w:val="20"/>
          <w:szCs w:val="20"/>
        </w:rPr>
      </w:pPr>
      <w:r>
        <w:rPr>
          <w:rFonts w:ascii="Arial" w:hAnsi="Arial" w:cs="Arial"/>
          <w:b/>
          <w:caps/>
          <w:sz w:val="20"/>
          <w:szCs w:val="20"/>
        </w:rPr>
        <w:br w:type="page"/>
      </w:r>
    </w:p>
    <w:p w14:paraId="0879E804" w14:textId="237FDEB6" w:rsidR="00091A22" w:rsidRPr="00D650F8" w:rsidRDefault="00091A22" w:rsidP="00D650F8">
      <w:pPr>
        <w:pStyle w:val="ListParagraph"/>
        <w:numPr>
          <w:ilvl w:val="0"/>
          <w:numId w:val="8"/>
        </w:numPr>
        <w:jc w:val="both"/>
        <w:rPr>
          <w:rFonts w:ascii="Arial" w:hAnsi="Arial" w:cs="Arial"/>
          <w:b/>
          <w:caps/>
          <w:sz w:val="20"/>
          <w:szCs w:val="20"/>
        </w:rPr>
      </w:pPr>
      <w:r w:rsidRPr="00D650F8">
        <w:rPr>
          <w:rFonts w:ascii="Arial" w:hAnsi="Arial" w:cs="Arial"/>
          <w:b/>
          <w:caps/>
          <w:sz w:val="20"/>
          <w:szCs w:val="20"/>
        </w:rPr>
        <w:lastRenderedPageBreak/>
        <w:t>The Tribunal’s approach to the performance of its functions</w:t>
      </w:r>
    </w:p>
    <w:p w14:paraId="47C6A0B1" w14:textId="77777777" w:rsidR="00091A22" w:rsidRPr="0040739A" w:rsidRDefault="00091A22" w:rsidP="00091A22">
      <w:pPr>
        <w:jc w:val="both"/>
        <w:rPr>
          <w:rFonts w:ascii="Arial" w:hAnsi="Arial" w:cs="Arial"/>
          <w:sz w:val="20"/>
          <w:szCs w:val="20"/>
        </w:rPr>
      </w:pPr>
    </w:p>
    <w:p w14:paraId="52D063CB" w14:textId="0DDD6A5B" w:rsidR="00D650F8" w:rsidRPr="00AC1530" w:rsidRDefault="00AC1530" w:rsidP="00091A22">
      <w:pPr>
        <w:jc w:val="both"/>
        <w:rPr>
          <w:rFonts w:ascii="Arial" w:hAnsi="Arial" w:cs="Arial"/>
          <w:b/>
          <w:sz w:val="20"/>
          <w:szCs w:val="20"/>
        </w:rPr>
      </w:pPr>
      <w:r w:rsidRPr="00AC1530">
        <w:rPr>
          <w:rFonts w:ascii="Arial" w:hAnsi="Arial" w:cs="Arial"/>
          <w:b/>
          <w:sz w:val="20"/>
          <w:szCs w:val="20"/>
        </w:rPr>
        <w:t>2.1  Solution</w:t>
      </w:r>
      <w:r w:rsidR="00EB07A8">
        <w:rPr>
          <w:rFonts w:ascii="Arial" w:hAnsi="Arial" w:cs="Arial"/>
          <w:b/>
          <w:sz w:val="20"/>
          <w:szCs w:val="20"/>
        </w:rPr>
        <w:t>-</w:t>
      </w:r>
      <w:r w:rsidRPr="00AC1530">
        <w:rPr>
          <w:rFonts w:ascii="Arial" w:hAnsi="Arial" w:cs="Arial"/>
          <w:b/>
          <w:sz w:val="20"/>
          <w:szCs w:val="20"/>
        </w:rPr>
        <w:t>focused hearings</w:t>
      </w:r>
    </w:p>
    <w:p w14:paraId="252F513D" w14:textId="77777777" w:rsidR="00D650F8" w:rsidRDefault="00D650F8" w:rsidP="00091A22">
      <w:pPr>
        <w:jc w:val="both"/>
        <w:rPr>
          <w:rFonts w:ascii="Arial" w:hAnsi="Arial" w:cs="Arial"/>
          <w:sz w:val="20"/>
          <w:szCs w:val="20"/>
        </w:rPr>
      </w:pPr>
    </w:p>
    <w:p w14:paraId="2A0F8BD5" w14:textId="439B94B5" w:rsidR="00091A22" w:rsidRPr="0040739A" w:rsidRDefault="00091A22" w:rsidP="00091A22">
      <w:pPr>
        <w:jc w:val="both"/>
        <w:rPr>
          <w:rFonts w:ascii="Arial" w:hAnsi="Arial" w:cs="Arial"/>
          <w:sz w:val="20"/>
          <w:szCs w:val="20"/>
        </w:rPr>
      </w:pPr>
      <w:r w:rsidRPr="0040739A">
        <w:rPr>
          <w:rFonts w:ascii="Arial" w:hAnsi="Arial" w:cs="Arial"/>
          <w:sz w:val="20"/>
          <w:szCs w:val="20"/>
        </w:rPr>
        <w:t xml:space="preserve">When the Tribunal commenced </w:t>
      </w:r>
      <w:r w:rsidR="004C5EDC" w:rsidRPr="0040739A">
        <w:rPr>
          <w:rFonts w:ascii="Arial" w:hAnsi="Arial" w:cs="Arial"/>
          <w:sz w:val="20"/>
          <w:szCs w:val="20"/>
        </w:rPr>
        <w:t>operation,</w:t>
      </w:r>
      <w:r w:rsidRPr="0040739A">
        <w:rPr>
          <w:rFonts w:ascii="Arial" w:hAnsi="Arial" w:cs="Arial"/>
          <w:sz w:val="20"/>
          <w:szCs w:val="20"/>
        </w:rPr>
        <w:t xml:space="preserve"> </w:t>
      </w:r>
      <w:r>
        <w:rPr>
          <w:rFonts w:ascii="Arial" w:hAnsi="Arial" w:cs="Arial"/>
          <w:sz w:val="20"/>
          <w:szCs w:val="20"/>
        </w:rPr>
        <w:t>it</w:t>
      </w:r>
      <w:r w:rsidRPr="0040739A">
        <w:rPr>
          <w:rFonts w:ascii="Arial" w:hAnsi="Arial" w:cs="Arial"/>
          <w:sz w:val="20"/>
          <w:szCs w:val="20"/>
        </w:rPr>
        <w:t xml:space="preserve"> understood that there were high expectations that </w:t>
      </w:r>
      <w:r>
        <w:rPr>
          <w:rFonts w:ascii="Arial" w:hAnsi="Arial" w:cs="Arial"/>
          <w:sz w:val="20"/>
          <w:szCs w:val="20"/>
        </w:rPr>
        <w:t>it</w:t>
      </w:r>
      <w:r w:rsidRPr="0040739A">
        <w:rPr>
          <w:rFonts w:ascii="Arial" w:hAnsi="Arial" w:cs="Arial"/>
          <w:sz w:val="20"/>
          <w:szCs w:val="20"/>
        </w:rPr>
        <w:t xml:space="preserve"> would be focused on promoting the rights of consumers and carers.  These extended beyond diligent performance of our decision-making functions, to include the expectation that all aspects of our operation and our culture would reflect, embed and promote the principles enshrined in the Act.</w:t>
      </w:r>
    </w:p>
    <w:p w14:paraId="31742294" w14:textId="77777777" w:rsidR="00091A22" w:rsidRPr="0040739A" w:rsidRDefault="00091A22" w:rsidP="00091A22">
      <w:pPr>
        <w:jc w:val="both"/>
        <w:rPr>
          <w:rFonts w:ascii="Arial" w:hAnsi="Arial" w:cs="Arial"/>
          <w:sz w:val="20"/>
          <w:szCs w:val="20"/>
        </w:rPr>
      </w:pPr>
    </w:p>
    <w:p w14:paraId="4F5F4415" w14:textId="3CC8C2A5" w:rsidR="00091A22" w:rsidRPr="0040739A" w:rsidRDefault="00091A22" w:rsidP="00091A22">
      <w:pPr>
        <w:jc w:val="both"/>
        <w:rPr>
          <w:rFonts w:ascii="Arial" w:hAnsi="Arial" w:cs="Arial"/>
          <w:sz w:val="20"/>
          <w:szCs w:val="20"/>
        </w:rPr>
      </w:pPr>
      <w:r w:rsidRPr="0040739A">
        <w:rPr>
          <w:rFonts w:ascii="Arial" w:hAnsi="Arial" w:cs="Arial"/>
          <w:sz w:val="20"/>
          <w:szCs w:val="20"/>
        </w:rPr>
        <w:t>A key initiative developed in response to this expectation was the adoption of a framework to conduct solution-focused hearings.</w:t>
      </w:r>
      <w:r w:rsidR="00DB0FC5">
        <w:rPr>
          <w:rStyle w:val="FootnoteReference"/>
          <w:rFonts w:ascii="Arial" w:hAnsi="Arial" w:cs="Arial"/>
          <w:sz w:val="20"/>
          <w:szCs w:val="20"/>
        </w:rPr>
        <w:footnoteReference w:id="3"/>
      </w:r>
      <w:r w:rsidRPr="0040739A">
        <w:rPr>
          <w:rFonts w:ascii="Arial" w:hAnsi="Arial" w:cs="Arial"/>
          <w:sz w:val="20"/>
          <w:szCs w:val="20"/>
        </w:rPr>
        <w:t xml:space="preserve">  This framework draws upon the theories and practice of therapeutic jurisprudence, non-adversarial justice and problem-solving courts.  A solution-focused approach is not about miscasting the Tribunal as a source of solutions, but rather about recognising that hearings can be conducted in a manner that enables and encourages participants to discuss, identify and commit to solutions or future actions.  A solution-focused approach is based on the premise that the best outcomes are achieved when hearing participants are key players in the formulation and implementation of plans to address underlying issues.  An assumption at the core of solution-focused hearings is that while a </w:t>
      </w:r>
      <w:r>
        <w:rPr>
          <w:rFonts w:ascii="Arial" w:hAnsi="Arial" w:cs="Arial"/>
          <w:sz w:val="20"/>
          <w:szCs w:val="20"/>
        </w:rPr>
        <w:t xml:space="preserve">compulsory </w:t>
      </w:r>
      <w:r w:rsidRPr="0040739A">
        <w:rPr>
          <w:rFonts w:ascii="Arial" w:hAnsi="Arial" w:cs="Arial"/>
          <w:sz w:val="20"/>
          <w:szCs w:val="20"/>
        </w:rPr>
        <w:t>T</w:t>
      </w:r>
      <w:r>
        <w:rPr>
          <w:rFonts w:ascii="Arial" w:hAnsi="Arial" w:cs="Arial"/>
          <w:sz w:val="20"/>
          <w:szCs w:val="20"/>
        </w:rPr>
        <w:t xml:space="preserve">reatment </w:t>
      </w:r>
      <w:r w:rsidRPr="0040739A">
        <w:rPr>
          <w:rFonts w:ascii="Arial" w:hAnsi="Arial" w:cs="Arial"/>
          <w:sz w:val="20"/>
          <w:szCs w:val="20"/>
        </w:rPr>
        <w:t>O</w:t>
      </w:r>
      <w:r>
        <w:rPr>
          <w:rFonts w:ascii="Arial" w:hAnsi="Arial" w:cs="Arial"/>
          <w:sz w:val="20"/>
          <w:szCs w:val="20"/>
        </w:rPr>
        <w:t>rder</w:t>
      </w:r>
      <w:r w:rsidRPr="0040739A">
        <w:rPr>
          <w:rFonts w:ascii="Arial" w:hAnsi="Arial" w:cs="Arial"/>
          <w:sz w:val="20"/>
          <w:szCs w:val="20"/>
        </w:rPr>
        <w:t xml:space="preserve"> may need to be made at a specific point in time, compulsory treatment should never be regarded as the norm or permanent arrangement for a person, and there should always be a pathway to voluntary engagement – even if that pathway is tentative or </w:t>
      </w:r>
      <w:r w:rsidR="00DB0FC5">
        <w:rPr>
          <w:rFonts w:ascii="Arial" w:hAnsi="Arial" w:cs="Arial"/>
          <w:sz w:val="20"/>
          <w:szCs w:val="20"/>
        </w:rPr>
        <w:t xml:space="preserve">just </w:t>
      </w:r>
      <w:r w:rsidRPr="0040739A">
        <w:rPr>
          <w:rFonts w:ascii="Arial" w:hAnsi="Arial" w:cs="Arial"/>
          <w:sz w:val="20"/>
          <w:szCs w:val="20"/>
        </w:rPr>
        <w:t>beginning to be articulated.  In other words, solution-focused hearings seek to include a sense of hope for the future.</w:t>
      </w:r>
    </w:p>
    <w:p w14:paraId="14C3BBF0" w14:textId="77777777" w:rsidR="00091A22" w:rsidRPr="0040739A" w:rsidRDefault="00091A22" w:rsidP="00091A22">
      <w:pPr>
        <w:jc w:val="both"/>
        <w:rPr>
          <w:rFonts w:ascii="Arial" w:hAnsi="Arial" w:cs="Arial"/>
          <w:sz w:val="20"/>
          <w:szCs w:val="20"/>
        </w:rPr>
      </w:pPr>
    </w:p>
    <w:p w14:paraId="340DA5A7" w14:textId="00462BAD" w:rsidR="00091A22" w:rsidRPr="0040739A" w:rsidRDefault="00091A22" w:rsidP="00091A22">
      <w:pPr>
        <w:jc w:val="both"/>
        <w:rPr>
          <w:rFonts w:ascii="Arial" w:hAnsi="Arial" w:cs="Arial"/>
          <w:sz w:val="20"/>
          <w:szCs w:val="20"/>
        </w:rPr>
      </w:pPr>
      <w:r w:rsidRPr="0040739A">
        <w:rPr>
          <w:rFonts w:ascii="Arial" w:hAnsi="Arial" w:cs="Arial"/>
          <w:sz w:val="20"/>
          <w:szCs w:val="20"/>
        </w:rPr>
        <w:t xml:space="preserve">Solution-focused hearings are also one of the ways in which the Tribunal seeks to embed the mental health principles within its operations.  In particular, this framework of practice assists the Tribunal to manage an inherent tension that exists between the principles and our statutory functions.  The Act seeks to promote supported decision making; however, the Orders made by the Tribunal allow substitute decisions to be made regarding a person’s treatment.  A solution-focused approach does not erase this tension, but it can ameliorate it.  Patients’ active participation in the hearing process and the </w:t>
      </w:r>
      <w:r w:rsidR="004C5EDC" w:rsidRPr="0040739A">
        <w:rPr>
          <w:rFonts w:ascii="Arial" w:hAnsi="Arial" w:cs="Arial"/>
          <w:sz w:val="20"/>
          <w:szCs w:val="20"/>
        </w:rPr>
        <w:t>outcome</w:t>
      </w:r>
      <w:r w:rsidRPr="0040739A">
        <w:rPr>
          <w:rFonts w:ascii="Arial" w:hAnsi="Arial" w:cs="Arial"/>
          <w:sz w:val="20"/>
          <w:szCs w:val="20"/>
        </w:rPr>
        <w:t xml:space="preserve"> can be a meaningful step towards supported decision making and autonomy.</w:t>
      </w:r>
    </w:p>
    <w:p w14:paraId="0A98CBBE" w14:textId="77777777" w:rsidR="00091A22" w:rsidRPr="0040739A" w:rsidRDefault="00091A22" w:rsidP="00091A22">
      <w:pPr>
        <w:jc w:val="both"/>
        <w:rPr>
          <w:rFonts w:ascii="Arial" w:hAnsi="Arial" w:cs="Arial"/>
          <w:sz w:val="20"/>
          <w:szCs w:val="20"/>
        </w:rPr>
      </w:pPr>
    </w:p>
    <w:p w14:paraId="22CCE3DC" w14:textId="77777777" w:rsidR="00091A22" w:rsidRPr="0040739A" w:rsidRDefault="00091A22" w:rsidP="00091A22">
      <w:pPr>
        <w:jc w:val="both"/>
        <w:rPr>
          <w:rFonts w:ascii="Arial" w:hAnsi="Arial" w:cs="Arial"/>
          <w:sz w:val="20"/>
          <w:szCs w:val="20"/>
        </w:rPr>
      </w:pPr>
      <w:r w:rsidRPr="0040739A">
        <w:rPr>
          <w:rFonts w:ascii="Arial" w:hAnsi="Arial" w:cs="Arial"/>
          <w:sz w:val="20"/>
          <w:szCs w:val="20"/>
        </w:rPr>
        <w:t>A lynchpin in the operation and evolution of the Tribunal was the establishment of a dedicated consumer and carer engagement role that is part of both the Leadership and Governance groups in the Tribunal, meaning that person plays an equal and critical role in both strategic and operational decision making in the Tribunal.  In addition, a significant focus of that role has been the establishment and facilitation of our Tribunal Advisory Group (TAG), comprising consumers, carers and members of the lived-experience workforce.  There is a close and extremely effective working partnership between the TAG and the Tribunal.  None of our service improvement initiatives over the past five years could have been achieved without the TAG.  Some initiatives would never have been thought of, others might have been thought of and pursued, but the end results would not be close to those achieved in partnership with the TAG.</w:t>
      </w:r>
    </w:p>
    <w:p w14:paraId="294E2C5D" w14:textId="77777777" w:rsidR="00091A22" w:rsidRPr="0040739A" w:rsidRDefault="00091A22" w:rsidP="00091A22">
      <w:pPr>
        <w:jc w:val="both"/>
        <w:rPr>
          <w:rFonts w:ascii="Arial" w:hAnsi="Arial" w:cs="Arial"/>
          <w:sz w:val="20"/>
          <w:szCs w:val="20"/>
        </w:rPr>
      </w:pPr>
    </w:p>
    <w:p w14:paraId="3708C387" w14:textId="4A281A74" w:rsidR="00091A22" w:rsidRDefault="00091A22" w:rsidP="00091A22">
      <w:pPr>
        <w:jc w:val="both"/>
        <w:rPr>
          <w:rFonts w:ascii="Arial" w:hAnsi="Arial" w:cs="Arial"/>
          <w:sz w:val="20"/>
          <w:szCs w:val="20"/>
        </w:rPr>
      </w:pPr>
      <w:r w:rsidRPr="0040739A">
        <w:rPr>
          <w:rFonts w:ascii="Arial" w:hAnsi="Arial" w:cs="Arial"/>
          <w:sz w:val="20"/>
          <w:szCs w:val="20"/>
        </w:rPr>
        <w:t xml:space="preserve">The Tribunal has also sought to foster effective working relationships with mental health service providers.  Each service has a dedicated liaison member who, alongside relevant Registry staff, acts as a key point of contact to ensure administrative arrangements for hearings operate effectively, and if issues do </w:t>
      </w:r>
      <w:r w:rsidR="004C5EDC" w:rsidRPr="0040739A">
        <w:rPr>
          <w:rFonts w:ascii="Arial" w:hAnsi="Arial" w:cs="Arial"/>
          <w:sz w:val="20"/>
          <w:szCs w:val="20"/>
        </w:rPr>
        <w:t>arise,</w:t>
      </w:r>
      <w:r w:rsidRPr="0040739A">
        <w:rPr>
          <w:rFonts w:ascii="Arial" w:hAnsi="Arial" w:cs="Arial"/>
          <w:sz w:val="20"/>
          <w:szCs w:val="20"/>
        </w:rPr>
        <w:t xml:space="preserve"> they are resolved as quickly as possible and ideally at a local level.  The Tribunal also delivers education sessions to staff in mental health services on an annual or biannual basis.  The focus of these sessions is on the principles of the Act, and how to prepare for and participate in a solution-focused Tribunal hearing.</w:t>
      </w:r>
    </w:p>
    <w:p w14:paraId="6641E06A" w14:textId="4D099824" w:rsidR="00091A22" w:rsidRDefault="00091A22" w:rsidP="00091A22">
      <w:pPr>
        <w:jc w:val="both"/>
        <w:rPr>
          <w:rFonts w:ascii="Arial" w:hAnsi="Arial" w:cs="Arial"/>
          <w:sz w:val="20"/>
          <w:szCs w:val="20"/>
        </w:rPr>
      </w:pPr>
    </w:p>
    <w:p w14:paraId="041E6D1B" w14:textId="7E2D67A7" w:rsidR="00AC1530" w:rsidRPr="00AC1530" w:rsidRDefault="00AC1530" w:rsidP="00091A22">
      <w:pPr>
        <w:jc w:val="both"/>
        <w:rPr>
          <w:rFonts w:ascii="Arial" w:hAnsi="Arial" w:cs="Arial"/>
          <w:b/>
          <w:sz w:val="20"/>
          <w:szCs w:val="20"/>
        </w:rPr>
      </w:pPr>
      <w:r w:rsidRPr="00AC1530">
        <w:rPr>
          <w:rFonts w:ascii="Arial" w:hAnsi="Arial" w:cs="Arial"/>
          <w:b/>
          <w:sz w:val="20"/>
          <w:szCs w:val="20"/>
        </w:rPr>
        <w:t>2.2 Legal representation in Tribunal hearings</w:t>
      </w:r>
    </w:p>
    <w:p w14:paraId="2EEE6715" w14:textId="77777777" w:rsidR="00AC1530" w:rsidRDefault="00AC1530" w:rsidP="00091A22">
      <w:pPr>
        <w:jc w:val="both"/>
        <w:rPr>
          <w:rFonts w:ascii="Arial" w:hAnsi="Arial" w:cs="Arial"/>
          <w:sz w:val="20"/>
          <w:szCs w:val="20"/>
        </w:rPr>
      </w:pPr>
    </w:p>
    <w:p w14:paraId="606977FD" w14:textId="7F87C963" w:rsidR="00091A22" w:rsidRDefault="00091A22" w:rsidP="00091A22">
      <w:pPr>
        <w:jc w:val="both"/>
        <w:rPr>
          <w:rFonts w:ascii="Arial" w:hAnsi="Arial" w:cs="Arial"/>
          <w:sz w:val="20"/>
          <w:szCs w:val="20"/>
        </w:rPr>
      </w:pPr>
      <w:r>
        <w:rPr>
          <w:rFonts w:ascii="Arial" w:hAnsi="Arial" w:cs="Arial"/>
          <w:sz w:val="20"/>
          <w:szCs w:val="20"/>
        </w:rPr>
        <w:t xml:space="preserve">Each Australian state and territory has its own mental health legislation which gives rise to </w:t>
      </w:r>
      <w:r w:rsidR="00787885">
        <w:rPr>
          <w:rFonts w:ascii="Arial" w:hAnsi="Arial" w:cs="Arial"/>
          <w:sz w:val="20"/>
          <w:szCs w:val="20"/>
        </w:rPr>
        <w:t>several</w:t>
      </w:r>
      <w:r>
        <w:rPr>
          <w:rFonts w:ascii="Arial" w:hAnsi="Arial" w:cs="Arial"/>
          <w:sz w:val="20"/>
          <w:szCs w:val="20"/>
        </w:rPr>
        <w:t xml:space="preserve"> differences including, as the draft report notes, different arrangements or entitlements regarding legal representation in hearings before mental health tribunals (or their equivalent).  In Victoria a person who is the subject of a proceeding before the Tribunal can authorise any person to represent them.</w:t>
      </w:r>
      <w:r>
        <w:rPr>
          <w:rStyle w:val="FootnoteReference"/>
          <w:rFonts w:ascii="Arial" w:hAnsi="Arial" w:cs="Arial"/>
          <w:sz w:val="20"/>
          <w:szCs w:val="20"/>
        </w:rPr>
        <w:footnoteReference w:id="4"/>
      </w:r>
      <w:r>
        <w:rPr>
          <w:rFonts w:ascii="Arial" w:hAnsi="Arial" w:cs="Arial"/>
          <w:sz w:val="20"/>
          <w:szCs w:val="20"/>
        </w:rPr>
        <w:t xml:space="preserve">  While this right to representation is broad, in that it captures both legal and non-legal representation, it is simultaneously narrow, in that it doesn’t establish a right to access representation.  In other words, a person’s right to representation is only realised if they have been able to secure access to the services of a lawyer or other representative.</w:t>
      </w:r>
    </w:p>
    <w:p w14:paraId="492D18C0" w14:textId="77777777" w:rsidR="00091A22" w:rsidRDefault="00091A22" w:rsidP="00091A22">
      <w:pPr>
        <w:jc w:val="both"/>
        <w:rPr>
          <w:rFonts w:ascii="Arial" w:hAnsi="Arial" w:cs="Arial"/>
          <w:sz w:val="20"/>
          <w:szCs w:val="20"/>
        </w:rPr>
      </w:pPr>
    </w:p>
    <w:p w14:paraId="621B508B" w14:textId="193D5556" w:rsidR="00091A22" w:rsidRDefault="00091A22" w:rsidP="00091A22">
      <w:pPr>
        <w:jc w:val="both"/>
        <w:rPr>
          <w:rFonts w:ascii="Arial" w:hAnsi="Arial" w:cs="Arial"/>
          <w:sz w:val="20"/>
          <w:szCs w:val="20"/>
        </w:rPr>
      </w:pPr>
      <w:r>
        <w:rPr>
          <w:rFonts w:ascii="Arial" w:hAnsi="Arial" w:cs="Arial"/>
          <w:sz w:val="20"/>
          <w:szCs w:val="20"/>
        </w:rPr>
        <w:t xml:space="preserve">Victoria has two providers of free legal representation for Tribunal hearings – Victoria Legal Aid (VLA) and the Mental Health Legal Centre (MHLC).  In the Tribunal’s first year of operation legal representatives appeared in 19% of hearings, this fell to </w:t>
      </w:r>
      <w:r w:rsidR="00896C0A">
        <w:rPr>
          <w:rFonts w:ascii="Arial" w:hAnsi="Arial" w:cs="Arial"/>
          <w:sz w:val="20"/>
          <w:szCs w:val="20"/>
        </w:rPr>
        <w:t xml:space="preserve">approximately </w:t>
      </w:r>
      <w:r>
        <w:rPr>
          <w:rFonts w:ascii="Arial" w:hAnsi="Arial" w:cs="Arial"/>
          <w:sz w:val="20"/>
          <w:szCs w:val="20"/>
        </w:rPr>
        <w:t xml:space="preserve">15% in each of the following three years, and most recently in 2018/19 fell further to 13%.  </w:t>
      </w:r>
      <w:r w:rsidRPr="00896C0A">
        <w:rPr>
          <w:rFonts w:ascii="Arial" w:hAnsi="Arial" w:cs="Arial"/>
          <w:sz w:val="20"/>
          <w:szCs w:val="20"/>
        </w:rPr>
        <w:t xml:space="preserve">Table 1 in </w:t>
      </w:r>
      <w:r w:rsidR="002B7822">
        <w:rPr>
          <w:rFonts w:ascii="Arial" w:hAnsi="Arial" w:cs="Arial"/>
          <w:sz w:val="20"/>
          <w:szCs w:val="20"/>
        </w:rPr>
        <w:t xml:space="preserve">the </w:t>
      </w:r>
      <w:r w:rsidRPr="00896C0A">
        <w:rPr>
          <w:rFonts w:ascii="Arial" w:hAnsi="Arial" w:cs="Arial"/>
          <w:sz w:val="20"/>
          <w:szCs w:val="20"/>
        </w:rPr>
        <w:t>appendix to this submission provides more detailed figures relating to legal representation in Victoria over the past five years.</w:t>
      </w:r>
    </w:p>
    <w:p w14:paraId="4CEDD9AF" w14:textId="77777777" w:rsidR="00091A22" w:rsidRDefault="00091A22" w:rsidP="00091A22">
      <w:pPr>
        <w:jc w:val="both"/>
        <w:rPr>
          <w:rFonts w:ascii="Arial" w:hAnsi="Arial" w:cs="Arial"/>
          <w:sz w:val="20"/>
          <w:szCs w:val="20"/>
        </w:rPr>
      </w:pPr>
    </w:p>
    <w:p w14:paraId="5BC4EBB5" w14:textId="77777777" w:rsidR="00091A22" w:rsidRDefault="00091A22" w:rsidP="00091A22">
      <w:pPr>
        <w:jc w:val="both"/>
        <w:rPr>
          <w:rFonts w:ascii="Arial" w:hAnsi="Arial" w:cs="Arial"/>
          <w:sz w:val="20"/>
          <w:szCs w:val="20"/>
        </w:rPr>
      </w:pPr>
      <w:r>
        <w:rPr>
          <w:rFonts w:ascii="Arial" w:hAnsi="Arial" w:cs="Arial"/>
          <w:sz w:val="20"/>
          <w:szCs w:val="20"/>
        </w:rPr>
        <w:t>In other fora it has been asserted that the Tribunal is unconcerned by the low rates of legal representation in hearings, which is not correct.</w:t>
      </w:r>
      <w:r>
        <w:rPr>
          <w:rStyle w:val="FootnoteReference"/>
          <w:rFonts w:ascii="Arial" w:hAnsi="Arial" w:cs="Arial"/>
          <w:sz w:val="20"/>
          <w:szCs w:val="20"/>
        </w:rPr>
        <w:footnoteReference w:id="5"/>
      </w:r>
      <w:r>
        <w:rPr>
          <w:rFonts w:ascii="Arial" w:hAnsi="Arial" w:cs="Arial"/>
          <w:sz w:val="20"/>
          <w:szCs w:val="20"/>
        </w:rPr>
        <w:t xml:space="preserve"> The Tribunal values legal representation but cannot expand the pool of legal resources.  In this context the Tribunal notes that:</w:t>
      </w:r>
    </w:p>
    <w:p w14:paraId="2C93767E" w14:textId="77777777" w:rsidR="00091A22" w:rsidRDefault="00091A22" w:rsidP="00091A22">
      <w:pPr>
        <w:jc w:val="both"/>
        <w:rPr>
          <w:rFonts w:ascii="Arial" w:hAnsi="Arial" w:cs="Arial"/>
          <w:sz w:val="20"/>
          <w:szCs w:val="20"/>
        </w:rPr>
      </w:pPr>
    </w:p>
    <w:p w14:paraId="1B7DB77A" w14:textId="332DEA63" w:rsidR="00091A22" w:rsidRPr="00B13E88" w:rsidRDefault="00091A22" w:rsidP="00091A22">
      <w:pPr>
        <w:pStyle w:val="ListParagraph"/>
        <w:numPr>
          <w:ilvl w:val="0"/>
          <w:numId w:val="2"/>
        </w:numPr>
        <w:jc w:val="both"/>
        <w:rPr>
          <w:rFonts w:ascii="Arial" w:hAnsi="Arial" w:cs="Arial"/>
          <w:sz w:val="20"/>
          <w:szCs w:val="20"/>
        </w:rPr>
      </w:pPr>
      <w:r w:rsidRPr="00B13E88">
        <w:rPr>
          <w:rFonts w:ascii="Arial" w:hAnsi="Arial" w:cs="Arial"/>
          <w:sz w:val="20"/>
          <w:szCs w:val="20"/>
        </w:rPr>
        <w:t>As part of our strategic and business planning processes, and also informally, we liaise regularly with VLA and MHLC about strategies or arrangements that can facilitate and maximise access by consumers to the legal representation services that are available.</w:t>
      </w:r>
      <w:r w:rsidR="00B13E88" w:rsidRPr="00B13E88">
        <w:rPr>
          <w:rFonts w:ascii="Arial" w:hAnsi="Arial" w:cs="Arial"/>
          <w:sz w:val="20"/>
          <w:szCs w:val="20"/>
        </w:rPr>
        <w:t xml:space="preserve">  Furthermore, in individual cases,</w:t>
      </w:r>
      <w:r w:rsidR="00B13E88">
        <w:rPr>
          <w:rFonts w:ascii="Arial" w:hAnsi="Arial" w:cs="Arial"/>
          <w:sz w:val="20"/>
          <w:szCs w:val="20"/>
        </w:rPr>
        <w:t xml:space="preserve"> w</w:t>
      </w:r>
      <w:r w:rsidRPr="00B13E88">
        <w:rPr>
          <w:rFonts w:ascii="Arial" w:hAnsi="Arial" w:cs="Arial"/>
          <w:sz w:val="20"/>
          <w:szCs w:val="20"/>
        </w:rPr>
        <w:t>hile the power of the Tribunal to adjourn hearings is narrow compared to many other tribunals and courts</w:t>
      </w:r>
      <w:r w:rsidR="00DB0FC5">
        <w:rPr>
          <w:rFonts w:ascii="Arial" w:hAnsi="Arial" w:cs="Arial"/>
          <w:sz w:val="20"/>
          <w:szCs w:val="20"/>
        </w:rPr>
        <w:t>,</w:t>
      </w:r>
      <w:r>
        <w:rPr>
          <w:rStyle w:val="FootnoteReference"/>
          <w:rFonts w:ascii="Arial" w:hAnsi="Arial" w:cs="Arial"/>
          <w:sz w:val="20"/>
          <w:szCs w:val="20"/>
        </w:rPr>
        <w:footnoteReference w:id="6"/>
      </w:r>
      <w:r w:rsidRPr="00B13E88">
        <w:rPr>
          <w:rFonts w:ascii="Arial" w:hAnsi="Arial" w:cs="Arial"/>
          <w:sz w:val="20"/>
          <w:szCs w:val="20"/>
        </w:rPr>
        <w:t xml:space="preserve"> if a consumer advises the Tribunal that they are trying but have not been able to access legal support we will, where it is permissible, adjourn their hearing to allow more time for </w:t>
      </w:r>
      <w:r w:rsidRPr="00DB0FC5">
        <w:rPr>
          <w:rFonts w:ascii="Arial" w:hAnsi="Arial" w:cs="Arial"/>
          <w:sz w:val="20"/>
          <w:szCs w:val="20"/>
        </w:rPr>
        <w:t xml:space="preserve">them to do so.  In </w:t>
      </w:r>
      <w:r w:rsidR="00DB0FC5" w:rsidRPr="00DB0FC5">
        <w:rPr>
          <w:rFonts w:ascii="Arial" w:hAnsi="Arial" w:cs="Arial"/>
          <w:sz w:val="20"/>
          <w:szCs w:val="20"/>
        </w:rPr>
        <w:t>2018/19</w:t>
      </w:r>
      <w:r w:rsidR="00EB07A8">
        <w:rPr>
          <w:rFonts w:ascii="Arial" w:hAnsi="Arial" w:cs="Arial"/>
          <w:sz w:val="20"/>
          <w:szCs w:val="20"/>
        </w:rPr>
        <w:t>,</w:t>
      </w:r>
      <w:r w:rsidR="00DB0FC5" w:rsidRPr="00DB0FC5">
        <w:rPr>
          <w:rFonts w:ascii="Arial" w:hAnsi="Arial" w:cs="Arial"/>
          <w:sz w:val="20"/>
          <w:szCs w:val="20"/>
        </w:rPr>
        <w:t xml:space="preserve"> 171</w:t>
      </w:r>
      <w:r w:rsidRPr="00DB0FC5">
        <w:rPr>
          <w:rFonts w:ascii="Arial" w:hAnsi="Arial" w:cs="Arial"/>
          <w:sz w:val="20"/>
          <w:szCs w:val="20"/>
        </w:rPr>
        <w:t xml:space="preserve"> hearings were adjourned for this reason</w:t>
      </w:r>
      <w:r w:rsidR="00DB0FC5" w:rsidRPr="00DB0FC5">
        <w:rPr>
          <w:rFonts w:ascii="Arial" w:hAnsi="Arial" w:cs="Arial"/>
          <w:sz w:val="20"/>
          <w:szCs w:val="20"/>
        </w:rPr>
        <w:t xml:space="preserve"> (accounting for 20% of all</w:t>
      </w:r>
      <w:r w:rsidR="00DB0FC5">
        <w:rPr>
          <w:rFonts w:ascii="Arial" w:hAnsi="Arial" w:cs="Arial"/>
          <w:sz w:val="20"/>
          <w:szCs w:val="20"/>
        </w:rPr>
        <w:t xml:space="preserve"> adjournments)</w:t>
      </w:r>
      <w:r w:rsidRPr="00B13E88">
        <w:rPr>
          <w:rFonts w:ascii="Arial" w:hAnsi="Arial" w:cs="Arial"/>
          <w:sz w:val="20"/>
          <w:szCs w:val="20"/>
        </w:rPr>
        <w:t>.</w:t>
      </w:r>
    </w:p>
    <w:p w14:paraId="40F47705" w14:textId="77777777" w:rsidR="00091A22" w:rsidRPr="00966652" w:rsidRDefault="00091A22" w:rsidP="00091A22">
      <w:pPr>
        <w:pStyle w:val="ListParagraph"/>
        <w:rPr>
          <w:rFonts w:ascii="Arial" w:hAnsi="Arial" w:cs="Arial"/>
          <w:sz w:val="20"/>
          <w:szCs w:val="20"/>
        </w:rPr>
      </w:pPr>
    </w:p>
    <w:p w14:paraId="712E74AC" w14:textId="0DD400C5" w:rsidR="00754222" w:rsidRDefault="00091A22" w:rsidP="00754222">
      <w:pPr>
        <w:pStyle w:val="ListParagraph"/>
        <w:numPr>
          <w:ilvl w:val="0"/>
          <w:numId w:val="2"/>
        </w:numPr>
        <w:jc w:val="both"/>
        <w:rPr>
          <w:rFonts w:ascii="Arial" w:hAnsi="Arial" w:cs="Arial"/>
          <w:sz w:val="20"/>
          <w:szCs w:val="20"/>
        </w:rPr>
      </w:pPr>
      <w:r>
        <w:rPr>
          <w:rFonts w:ascii="Arial" w:hAnsi="Arial" w:cs="Arial"/>
          <w:sz w:val="20"/>
          <w:szCs w:val="20"/>
        </w:rPr>
        <w:t xml:space="preserve">Knowing that access to legal </w:t>
      </w:r>
      <w:r w:rsidR="00C11E41">
        <w:rPr>
          <w:rFonts w:ascii="Arial" w:hAnsi="Arial" w:cs="Arial"/>
          <w:sz w:val="20"/>
          <w:szCs w:val="20"/>
        </w:rPr>
        <w:t>services</w:t>
      </w:r>
      <w:r>
        <w:rPr>
          <w:rFonts w:ascii="Arial" w:hAnsi="Arial" w:cs="Arial"/>
          <w:sz w:val="20"/>
          <w:szCs w:val="20"/>
        </w:rPr>
        <w:t xml:space="preserve"> is limited, we deliberately design our hearing processes and associated information and resource materials (including our website) </w:t>
      </w:r>
      <w:r w:rsidR="00BE6178">
        <w:rPr>
          <w:rFonts w:ascii="Arial" w:hAnsi="Arial" w:cs="Arial"/>
          <w:sz w:val="20"/>
          <w:szCs w:val="20"/>
        </w:rPr>
        <w:t>to be accessible to and cater for</w:t>
      </w:r>
      <w:r>
        <w:rPr>
          <w:rFonts w:ascii="Arial" w:hAnsi="Arial" w:cs="Arial"/>
          <w:sz w:val="20"/>
          <w:szCs w:val="20"/>
        </w:rPr>
        <w:t xml:space="preserve"> consumers w</w:t>
      </w:r>
      <w:r w:rsidR="00BE6178">
        <w:rPr>
          <w:rFonts w:ascii="Arial" w:hAnsi="Arial" w:cs="Arial"/>
          <w:sz w:val="20"/>
          <w:szCs w:val="20"/>
        </w:rPr>
        <w:t>ho do</w:t>
      </w:r>
      <w:r>
        <w:rPr>
          <w:rFonts w:ascii="Arial" w:hAnsi="Arial" w:cs="Arial"/>
          <w:sz w:val="20"/>
          <w:szCs w:val="20"/>
        </w:rPr>
        <w:t xml:space="preserve"> </w:t>
      </w:r>
      <w:r w:rsidR="00754222">
        <w:rPr>
          <w:rFonts w:ascii="Arial" w:hAnsi="Arial" w:cs="Arial"/>
          <w:sz w:val="20"/>
          <w:szCs w:val="20"/>
        </w:rPr>
        <w:t>not have legal representation</w:t>
      </w:r>
      <w:r>
        <w:rPr>
          <w:rFonts w:ascii="Arial" w:hAnsi="Arial" w:cs="Arial"/>
          <w:sz w:val="20"/>
          <w:szCs w:val="20"/>
        </w:rPr>
        <w:t xml:space="preserve">.  </w:t>
      </w:r>
      <w:r w:rsidRPr="006C17A0">
        <w:rPr>
          <w:rFonts w:ascii="Arial" w:hAnsi="Arial" w:cs="Arial"/>
          <w:sz w:val="20"/>
          <w:szCs w:val="20"/>
          <w:lang w:val="en-US"/>
        </w:rPr>
        <w:t xml:space="preserve">Unlike the adversarial process in courts and some tribunals, where it is up to each party to present evidence themselves or through their lawyer, the Tribunal is inquisitorial, exploring the relevant issues proactively through questions and discussion with </w:t>
      </w:r>
      <w:r w:rsidR="00754222">
        <w:rPr>
          <w:rFonts w:ascii="Arial" w:hAnsi="Arial" w:cs="Arial"/>
          <w:sz w:val="20"/>
          <w:szCs w:val="20"/>
          <w:lang w:val="en-US"/>
        </w:rPr>
        <w:t xml:space="preserve">hearing </w:t>
      </w:r>
      <w:r w:rsidRPr="006C17A0">
        <w:rPr>
          <w:rFonts w:ascii="Arial" w:hAnsi="Arial" w:cs="Arial"/>
          <w:sz w:val="20"/>
          <w:szCs w:val="20"/>
          <w:lang w:val="en-US"/>
        </w:rPr>
        <w:t xml:space="preserve">participants: the person receiving treatment, the people who support them and their treating team. </w:t>
      </w:r>
      <w:r>
        <w:rPr>
          <w:rFonts w:ascii="Arial" w:hAnsi="Arial" w:cs="Arial"/>
          <w:sz w:val="20"/>
          <w:szCs w:val="20"/>
          <w:lang w:val="en-US"/>
        </w:rPr>
        <w:t xml:space="preserve"> </w:t>
      </w:r>
      <w:r w:rsidRPr="006C17A0">
        <w:rPr>
          <w:rFonts w:ascii="Arial" w:hAnsi="Arial" w:cs="Arial"/>
          <w:sz w:val="20"/>
          <w:szCs w:val="20"/>
          <w:lang w:val="en-US"/>
        </w:rPr>
        <w:t xml:space="preserve">The Tribunal embraces this role. </w:t>
      </w:r>
      <w:r>
        <w:rPr>
          <w:rFonts w:ascii="Arial" w:hAnsi="Arial" w:cs="Arial"/>
          <w:sz w:val="20"/>
          <w:szCs w:val="20"/>
          <w:lang w:val="en-US"/>
        </w:rPr>
        <w:t xml:space="preserve"> </w:t>
      </w:r>
      <w:r w:rsidRPr="006C17A0">
        <w:rPr>
          <w:rFonts w:ascii="Arial" w:hAnsi="Arial" w:cs="Arial"/>
          <w:sz w:val="20"/>
          <w:szCs w:val="20"/>
          <w:lang w:val="en-US"/>
        </w:rPr>
        <w:t>We</w:t>
      </w:r>
      <w:r w:rsidR="00BA2FF0">
        <w:rPr>
          <w:rFonts w:ascii="Arial" w:hAnsi="Arial" w:cs="Arial"/>
          <w:sz w:val="20"/>
          <w:szCs w:val="20"/>
          <w:lang w:val="en-US"/>
        </w:rPr>
        <w:t xml:space="preserve"> are also resourced at a level that enables us to allocate one hour to each hearing, considerably more than </w:t>
      </w:r>
      <w:r w:rsidR="00754222">
        <w:rPr>
          <w:rFonts w:ascii="Arial" w:hAnsi="Arial" w:cs="Arial"/>
          <w:sz w:val="20"/>
          <w:szCs w:val="20"/>
          <w:lang w:val="en-US"/>
        </w:rPr>
        <w:t>was possible for the former Board and, we have been advised, a number of our interstate counterparts</w:t>
      </w:r>
      <w:r w:rsidR="00BE6178">
        <w:rPr>
          <w:rFonts w:ascii="Arial" w:hAnsi="Arial" w:cs="Arial"/>
          <w:sz w:val="20"/>
          <w:szCs w:val="20"/>
          <w:lang w:val="en-US"/>
        </w:rPr>
        <w:t>.</w:t>
      </w:r>
      <w:r w:rsidR="00754222">
        <w:rPr>
          <w:rFonts w:ascii="Arial" w:hAnsi="Arial" w:cs="Arial"/>
          <w:sz w:val="20"/>
          <w:szCs w:val="20"/>
          <w:lang w:val="en-US"/>
        </w:rPr>
        <w:t xml:space="preserve">  We use this time to conduct solution</w:t>
      </w:r>
      <w:r w:rsidR="00EB07A8">
        <w:rPr>
          <w:rFonts w:ascii="Arial" w:hAnsi="Arial" w:cs="Arial"/>
          <w:sz w:val="20"/>
          <w:szCs w:val="20"/>
          <w:lang w:val="en-US"/>
        </w:rPr>
        <w:t>-</w:t>
      </w:r>
      <w:r w:rsidR="00754222">
        <w:rPr>
          <w:rFonts w:ascii="Arial" w:hAnsi="Arial" w:cs="Arial"/>
          <w:sz w:val="20"/>
          <w:szCs w:val="20"/>
          <w:lang w:val="en-US"/>
        </w:rPr>
        <w:t xml:space="preserve">focused hearings, </w:t>
      </w:r>
      <w:r w:rsidRPr="006C17A0">
        <w:rPr>
          <w:rFonts w:ascii="Arial" w:hAnsi="Arial" w:cs="Arial"/>
          <w:sz w:val="20"/>
          <w:szCs w:val="20"/>
          <w:lang w:val="en-US"/>
        </w:rPr>
        <w:t>ask</w:t>
      </w:r>
      <w:r w:rsidR="00754222">
        <w:rPr>
          <w:rFonts w:ascii="Arial" w:hAnsi="Arial" w:cs="Arial"/>
          <w:sz w:val="20"/>
          <w:szCs w:val="20"/>
          <w:lang w:val="en-US"/>
        </w:rPr>
        <w:t>ing</w:t>
      </w:r>
      <w:r w:rsidRPr="006C17A0">
        <w:rPr>
          <w:rFonts w:ascii="Arial" w:hAnsi="Arial" w:cs="Arial"/>
          <w:sz w:val="20"/>
          <w:szCs w:val="20"/>
          <w:lang w:val="en-US"/>
        </w:rPr>
        <w:t xml:space="preserve"> questions to understand the full breadth of a</w:t>
      </w:r>
      <w:r w:rsidR="00754222">
        <w:rPr>
          <w:rFonts w:ascii="Arial" w:hAnsi="Arial" w:cs="Arial"/>
          <w:sz w:val="20"/>
          <w:szCs w:val="20"/>
          <w:lang w:val="en-US"/>
        </w:rPr>
        <w:t xml:space="preserve"> consumer’s</w:t>
      </w:r>
      <w:r w:rsidRPr="006C17A0">
        <w:rPr>
          <w:rFonts w:ascii="Arial" w:hAnsi="Arial" w:cs="Arial"/>
          <w:sz w:val="20"/>
          <w:szCs w:val="20"/>
          <w:lang w:val="en-US"/>
        </w:rPr>
        <w:t xml:space="preserve"> situation</w:t>
      </w:r>
      <w:r w:rsidR="00754222">
        <w:rPr>
          <w:rFonts w:ascii="Arial" w:hAnsi="Arial" w:cs="Arial"/>
          <w:sz w:val="20"/>
          <w:szCs w:val="20"/>
          <w:lang w:val="en-US"/>
        </w:rPr>
        <w:t>, including their goals and preferences, and</w:t>
      </w:r>
      <w:r w:rsidRPr="006C17A0">
        <w:rPr>
          <w:rFonts w:ascii="Arial" w:hAnsi="Arial" w:cs="Arial"/>
          <w:sz w:val="20"/>
          <w:szCs w:val="20"/>
          <w:lang w:val="en-US"/>
        </w:rPr>
        <w:t xml:space="preserve"> to explore how impediments to less restrictive treatment might be resolved.</w:t>
      </w:r>
      <w:r>
        <w:rPr>
          <w:rFonts w:ascii="Arial" w:hAnsi="Arial" w:cs="Arial"/>
          <w:sz w:val="20"/>
          <w:szCs w:val="20"/>
          <w:lang w:val="en-US"/>
        </w:rPr>
        <w:t xml:space="preserve"> </w:t>
      </w:r>
      <w:r w:rsidRPr="006C17A0">
        <w:rPr>
          <w:rFonts w:ascii="Arial" w:hAnsi="Arial" w:cs="Arial"/>
          <w:sz w:val="20"/>
          <w:szCs w:val="20"/>
          <w:lang w:val="en-US"/>
        </w:rPr>
        <w:t xml:space="preserve"> </w:t>
      </w:r>
      <w:r>
        <w:rPr>
          <w:rFonts w:ascii="Arial" w:hAnsi="Arial" w:cs="Arial"/>
          <w:sz w:val="20"/>
          <w:szCs w:val="20"/>
          <w:lang w:val="en-US"/>
        </w:rPr>
        <w:t xml:space="preserve">When </w:t>
      </w:r>
      <w:r w:rsidR="00754222">
        <w:rPr>
          <w:rFonts w:ascii="Arial" w:hAnsi="Arial" w:cs="Arial"/>
          <w:sz w:val="20"/>
          <w:szCs w:val="20"/>
          <w:lang w:val="en-US"/>
        </w:rPr>
        <w:t>in attendance</w:t>
      </w:r>
      <w:r>
        <w:rPr>
          <w:rFonts w:ascii="Arial" w:hAnsi="Arial" w:cs="Arial"/>
          <w:sz w:val="20"/>
          <w:szCs w:val="20"/>
          <w:lang w:val="en-US"/>
        </w:rPr>
        <w:t xml:space="preserve"> l</w:t>
      </w:r>
      <w:r w:rsidRPr="006C17A0">
        <w:rPr>
          <w:rFonts w:ascii="Arial" w:hAnsi="Arial" w:cs="Arial"/>
          <w:sz w:val="20"/>
          <w:szCs w:val="20"/>
          <w:lang w:val="en-US"/>
        </w:rPr>
        <w:t xml:space="preserve">egal representatives are valuable contributors to this process, but it </w:t>
      </w:r>
      <w:r w:rsidR="00754222">
        <w:rPr>
          <w:rFonts w:ascii="Arial" w:hAnsi="Arial" w:cs="Arial"/>
          <w:sz w:val="20"/>
          <w:szCs w:val="20"/>
          <w:lang w:val="en-US"/>
        </w:rPr>
        <w:t>happens when consumers are not represented</w:t>
      </w:r>
      <w:r w:rsidRPr="006C17A0">
        <w:rPr>
          <w:rFonts w:ascii="Arial" w:hAnsi="Arial" w:cs="Arial"/>
          <w:sz w:val="20"/>
          <w:szCs w:val="20"/>
          <w:lang w:val="en-US"/>
        </w:rPr>
        <w:t>.</w:t>
      </w:r>
      <w:r w:rsidR="00754222">
        <w:rPr>
          <w:rFonts w:ascii="Arial" w:hAnsi="Arial" w:cs="Arial"/>
          <w:sz w:val="20"/>
          <w:szCs w:val="20"/>
          <w:lang w:val="en-US"/>
        </w:rPr>
        <w:t xml:space="preserve">  In 2018 the Tribunal </w:t>
      </w:r>
      <w:r w:rsidR="00754222" w:rsidRPr="00754222">
        <w:rPr>
          <w:rFonts w:ascii="Arial" w:hAnsi="Arial" w:cs="Arial"/>
          <w:sz w:val="20"/>
          <w:szCs w:val="20"/>
        </w:rPr>
        <w:t xml:space="preserve">conducted </w:t>
      </w:r>
      <w:r w:rsidR="00754222">
        <w:rPr>
          <w:rFonts w:ascii="Arial" w:hAnsi="Arial" w:cs="Arial"/>
          <w:sz w:val="20"/>
          <w:szCs w:val="20"/>
        </w:rPr>
        <w:t>its first survey</w:t>
      </w:r>
      <w:r w:rsidR="00754222" w:rsidRPr="00754222">
        <w:rPr>
          <w:rFonts w:ascii="Arial" w:hAnsi="Arial" w:cs="Arial"/>
          <w:sz w:val="20"/>
          <w:szCs w:val="20"/>
        </w:rPr>
        <w:t xml:space="preserve"> to explore consumers’ and carers’ experience of Tribunal hearings:</w:t>
      </w:r>
      <w:r w:rsidR="00754222" w:rsidRPr="00754222">
        <w:rPr>
          <w:rStyle w:val="FootnoteReference"/>
          <w:rFonts w:ascii="Arial" w:hAnsi="Arial" w:cs="Arial"/>
          <w:sz w:val="20"/>
          <w:szCs w:val="20"/>
          <w:lang w:val="en-US"/>
        </w:rPr>
        <w:t xml:space="preserve"> </w:t>
      </w:r>
      <w:r w:rsidR="00754222">
        <w:rPr>
          <w:rStyle w:val="FootnoteReference"/>
          <w:rFonts w:ascii="Arial" w:hAnsi="Arial" w:cs="Arial"/>
          <w:sz w:val="20"/>
          <w:szCs w:val="20"/>
          <w:lang w:val="en-US"/>
        </w:rPr>
        <w:footnoteReference w:id="7"/>
      </w:r>
    </w:p>
    <w:p w14:paraId="01D1CC50" w14:textId="77777777" w:rsidR="00754222" w:rsidRPr="00754222" w:rsidRDefault="00754222" w:rsidP="00754222">
      <w:pPr>
        <w:pStyle w:val="ListParagraph"/>
        <w:jc w:val="both"/>
        <w:rPr>
          <w:rFonts w:ascii="Arial" w:hAnsi="Arial" w:cs="Arial"/>
          <w:sz w:val="20"/>
          <w:szCs w:val="20"/>
        </w:rPr>
      </w:pPr>
    </w:p>
    <w:p w14:paraId="1E3EEDE9" w14:textId="77777777" w:rsidR="00754222" w:rsidRPr="00754222" w:rsidRDefault="00754222" w:rsidP="00754222">
      <w:pPr>
        <w:pStyle w:val="ListParagraph"/>
        <w:numPr>
          <w:ilvl w:val="1"/>
          <w:numId w:val="2"/>
        </w:numPr>
        <w:jc w:val="both"/>
        <w:rPr>
          <w:rFonts w:ascii="Arial" w:hAnsi="Arial" w:cs="Arial"/>
          <w:sz w:val="20"/>
          <w:szCs w:val="20"/>
        </w:rPr>
      </w:pPr>
      <w:r w:rsidRPr="00754222">
        <w:rPr>
          <w:rFonts w:ascii="Arial" w:hAnsi="Arial" w:cs="Arial"/>
          <w:sz w:val="20"/>
          <w:szCs w:val="20"/>
        </w:rPr>
        <w:t>90% of respondents felt the Tribunal members explained what the hearing was about.</w:t>
      </w:r>
    </w:p>
    <w:p w14:paraId="6F39CE32" w14:textId="77777777" w:rsidR="00754222" w:rsidRPr="00754222" w:rsidRDefault="00754222" w:rsidP="00754222">
      <w:pPr>
        <w:pStyle w:val="ListParagraph"/>
        <w:numPr>
          <w:ilvl w:val="1"/>
          <w:numId w:val="2"/>
        </w:numPr>
        <w:jc w:val="both"/>
        <w:rPr>
          <w:rFonts w:ascii="Arial" w:hAnsi="Arial" w:cs="Arial"/>
          <w:sz w:val="20"/>
          <w:szCs w:val="20"/>
        </w:rPr>
      </w:pPr>
      <w:r w:rsidRPr="00754222">
        <w:rPr>
          <w:rFonts w:ascii="Arial" w:hAnsi="Arial" w:cs="Arial"/>
          <w:sz w:val="20"/>
          <w:szCs w:val="20"/>
        </w:rPr>
        <w:t>82% considered that the Tribunal members listened to their opinions.</w:t>
      </w:r>
    </w:p>
    <w:p w14:paraId="17A84A1B" w14:textId="77777777" w:rsidR="00754222" w:rsidRPr="00754222" w:rsidRDefault="00754222" w:rsidP="00754222">
      <w:pPr>
        <w:pStyle w:val="ListParagraph"/>
        <w:numPr>
          <w:ilvl w:val="1"/>
          <w:numId w:val="2"/>
        </w:numPr>
        <w:jc w:val="both"/>
        <w:rPr>
          <w:rFonts w:ascii="Arial" w:hAnsi="Arial" w:cs="Arial"/>
          <w:sz w:val="20"/>
          <w:szCs w:val="20"/>
        </w:rPr>
      </w:pPr>
      <w:r w:rsidRPr="00754222">
        <w:rPr>
          <w:rFonts w:ascii="Arial" w:hAnsi="Arial" w:cs="Arial"/>
          <w:sz w:val="20"/>
          <w:szCs w:val="20"/>
        </w:rPr>
        <w:t>81% felt the Tribunal members explained their decision in an understandable way.</w:t>
      </w:r>
    </w:p>
    <w:p w14:paraId="7D86E164" w14:textId="15DBA3EF" w:rsidR="00091A22" w:rsidRDefault="00754222" w:rsidP="00754222">
      <w:pPr>
        <w:pStyle w:val="ListParagraph"/>
        <w:numPr>
          <w:ilvl w:val="1"/>
          <w:numId w:val="2"/>
        </w:numPr>
        <w:jc w:val="both"/>
        <w:rPr>
          <w:rFonts w:ascii="Arial" w:hAnsi="Arial" w:cs="Arial"/>
          <w:sz w:val="20"/>
          <w:szCs w:val="20"/>
        </w:rPr>
      </w:pPr>
      <w:r w:rsidRPr="00754222">
        <w:rPr>
          <w:rFonts w:ascii="Arial" w:hAnsi="Arial" w:cs="Arial"/>
          <w:sz w:val="20"/>
          <w:szCs w:val="20"/>
        </w:rPr>
        <w:t>77% considered that the Tribunal members treated them fairly throughout the hearing.</w:t>
      </w:r>
    </w:p>
    <w:p w14:paraId="262CC318" w14:textId="350C33E8" w:rsidR="00BE6178" w:rsidRPr="00754222" w:rsidRDefault="00BE6178" w:rsidP="00754222">
      <w:pPr>
        <w:pStyle w:val="ListParagraph"/>
        <w:numPr>
          <w:ilvl w:val="1"/>
          <w:numId w:val="2"/>
        </w:numPr>
        <w:jc w:val="both"/>
        <w:rPr>
          <w:rFonts w:ascii="Arial" w:hAnsi="Arial" w:cs="Arial"/>
          <w:sz w:val="20"/>
          <w:szCs w:val="20"/>
        </w:rPr>
      </w:pPr>
      <w:r>
        <w:rPr>
          <w:rFonts w:ascii="Arial" w:hAnsi="Arial" w:cs="Arial"/>
          <w:sz w:val="20"/>
          <w:szCs w:val="20"/>
        </w:rPr>
        <w:t>65% agreed with the outcome of the hearing.</w:t>
      </w:r>
    </w:p>
    <w:p w14:paraId="3A81ACB8" w14:textId="77777777" w:rsidR="00091A22" w:rsidRPr="006C17A0" w:rsidRDefault="00091A22" w:rsidP="00091A22">
      <w:pPr>
        <w:pStyle w:val="ListParagraph"/>
        <w:rPr>
          <w:rFonts w:ascii="Arial" w:hAnsi="Arial" w:cs="Arial"/>
          <w:sz w:val="20"/>
          <w:szCs w:val="20"/>
        </w:rPr>
      </w:pPr>
    </w:p>
    <w:p w14:paraId="1BCBDE32" w14:textId="6D73A404" w:rsidR="00091A22" w:rsidRDefault="00091A22" w:rsidP="00091A22">
      <w:pPr>
        <w:pStyle w:val="ListParagraph"/>
        <w:numPr>
          <w:ilvl w:val="0"/>
          <w:numId w:val="2"/>
        </w:numPr>
        <w:jc w:val="both"/>
        <w:rPr>
          <w:rFonts w:ascii="Arial" w:hAnsi="Arial" w:cs="Arial"/>
          <w:sz w:val="20"/>
          <w:szCs w:val="20"/>
        </w:rPr>
      </w:pPr>
      <w:r>
        <w:rPr>
          <w:rFonts w:ascii="Arial" w:hAnsi="Arial" w:cs="Arial"/>
          <w:sz w:val="20"/>
          <w:szCs w:val="20"/>
        </w:rPr>
        <w:t xml:space="preserve">In the later part of 2019 the Tribunal initiated a collaborative project with VLA and MHLC about maximising the effectiveness of legal representation in Tribunal hearings.  This project is a response </w:t>
      </w:r>
      <w:r w:rsidR="00EB07A8">
        <w:rPr>
          <w:rFonts w:ascii="Arial" w:hAnsi="Arial" w:cs="Arial"/>
          <w:sz w:val="20"/>
          <w:szCs w:val="20"/>
        </w:rPr>
        <w:t xml:space="preserve">to </w:t>
      </w:r>
      <w:r>
        <w:rPr>
          <w:rFonts w:ascii="Arial" w:hAnsi="Arial" w:cs="Arial"/>
          <w:sz w:val="20"/>
          <w:szCs w:val="20"/>
        </w:rPr>
        <w:t>the fact that mental health law and mental health hearings involve distinct issues and complexities (which is arguably one of the reasons why most Australian jurisdictions have preserved specialist,</w:t>
      </w:r>
      <w:r w:rsidR="00DB0FC5">
        <w:rPr>
          <w:rFonts w:ascii="Arial" w:hAnsi="Arial" w:cs="Arial"/>
          <w:sz w:val="20"/>
          <w:szCs w:val="20"/>
        </w:rPr>
        <w:t xml:space="preserve"> multi-disciplinary,</w:t>
      </w:r>
      <w:r>
        <w:rPr>
          <w:rFonts w:ascii="Arial" w:hAnsi="Arial" w:cs="Arial"/>
          <w:sz w:val="20"/>
          <w:szCs w:val="20"/>
        </w:rPr>
        <w:t xml:space="preserve"> stand-alone mental health tribunals).  Just as tribunals need to take a distinct approach to their functions, legal representation should also be tailored to the unique requirements of this field of law.  Furthermore, whilst all the participants in hearings, including lawyers, have distinct roles and responsibilities, a shared appreciation or understanding of the role of other participants contributes to more effective hearings.</w:t>
      </w:r>
    </w:p>
    <w:p w14:paraId="6AC68895" w14:textId="77777777" w:rsidR="00091A22" w:rsidRPr="00966652" w:rsidRDefault="00091A22" w:rsidP="00091A22">
      <w:pPr>
        <w:jc w:val="both"/>
        <w:rPr>
          <w:rFonts w:ascii="Arial" w:hAnsi="Arial" w:cs="Arial"/>
          <w:sz w:val="20"/>
          <w:szCs w:val="20"/>
        </w:rPr>
      </w:pPr>
    </w:p>
    <w:p w14:paraId="01E5E795" w14:textId="77777777" w:rsidR="00AC1530" w:rsidRDefault="00AC1530">
      <w:pPr>
        <w:spacing w:after="200" w:line="276" w:lineRule="auto"/>
        <w:rPr>
          <w:rFonts w:ascii="Arial" w:hAnsi="Arial" w:cs="Arial"/>
          <w:b/>
          <w:caps/>
          <w:sz w:val="20"/>
          <w:szCs w:val="20"/>
        </w:rPr>
      </w:pPr>
      <w:r>
        <w:rPr>
          <w:rFonts w:ascii="Arial" w:hAnsi="Arial" w:cs="Arial"/>
          <w:b/>
          <w:caps/>
          <w:sz w:val="20"/>
          <w:szCs w:val="20"/>
        </w:rPr>
        <w:br w:type="page"/>
      </w:r>
    </w:p>
    <w:p w14:paraId="5D72A2B4" w14:textId="6AABDBDA" w:rsidR="00091A22" w:rsidRPr="00AC1530" w:rsidRDefault="00091A22" w:rsidP="00AC1530">
      <w:pPr>
        <w:pStyle w:val="ListParagraph"/>
        <w:numPr>
          <w:ilvl w:val="0"/>
          <w:numId w:val="8"/>
        </w:numPr>
        <w:jc w:val="both"/>
        <w:rPr>
          <w:rFonts w:ascii="Arial" w:hAnsi="Arial" w:cs="Arial"/>
          <w:b/>
          <w:caps/>
          <w:sz w:val="20"/>
          <w:szCs w:val="20"/>
        </w:rPr>
      </w:pPr>
      <w:r w:rsidRPr="00AC1530">
        <w:rPr>
          <w:rFonts w:ascii="Arial" w:hAnsi="Arial" w:cs="Arial"/>
          <w:b/>
          <w:caps/>
          <w:sz w:val="20"/>
          <w:szCs w:val="20"/>
        </w:rPr>
        <w:lastRenderedPageBreak/>
        <w:t>Data and related analysis of the impact of legal representation in mental health tribunal hearings</w:t>
      </w:r>
    </w:p>
    <w:p w14:paraId="11D8C6DC" w14:textId="58F07768" w:rsidR="00091A22" w:rsidRDefault="00091A22" w:rsidP="00091A22">
      <w:pPr>
        <w:jc w:val="both"/>
        <w:rPr>
          <w:rFonts w:ascii="Arial" w:hAnsi="Arial" w:cs="Arial"/>
          <w:sz w:val="20"/>
          <w:szCs w:val="20"/>
        </w:rPr>
      </w:pPr>
    </w:p>
    <w:p w14:paraId="1C21BDCE" w14:textId="3FD97603" w:rsidR="000A5C18" w:rsidRPr="000A5C18" w:rsidRDefault="000A5C18" w:rsidP="00091A22">
      <w:pPr>
        <w:jc w:val="both"/>
        <w:rPr>
          <w:rFonts w:ascii="Arial" w:hAnsi="Arial" w:cs="Arial"/>
          <w:b/>
          <w:sz w:val="20"/>
          <w:szCs w:val="20"/>
        </w:rPr>
      </w:pPr>
      <w:r w:rsidRPr="000A5C18">
        <w:rPr>
          <w:rFonts w:ascii="Arial" w:hAnsi="Arial" w:cs="Arial"/>
          <w:b/>
          <w:sz w:val="20"/>
          <w:szCs w:val="20"/>
        </w:rPr>
        <w:t>3.1 Limitations of the current data and an</w:t>
      </w:r>
      <w:r>
        <w:rPr>
          <w:rFonts w:ascii="Arial" w:hAnsi="Arial" w:cs="Arial"/>
          <w:b/>
          <w:sz w:val="20"/>
          <w:szCs w:val="20"/>
        </w:rPr>
        <w:t>a</w:t>
      </w:r>
      <w:r w:rsidRPr="000A5C18">
        <w:rPr>
          <w:rFonts w:ascii="Arial" w:hAnsi="Arial" w:cs="Arial"/>
          <w:b/>
          <w:sz w:val="20"/>
          <w:szCs w:val="20"/>
        </w:rPr>
        <w:t>lysis</w:t>
      </w:r>
    </w:p>
    <w:p w14:paraId="7545CAB8" w14:textId="77777777" w:rsidR="000A5C18" w:rsidRDefault="000A5C18" w:rsidP="00091A22">
      <w:pPr>
        <w:jc w:val="both"/>
        <w:rPr>
          <w:rFonts w:ascii="Arial" w:hAnsi="Arial" w:cs="Arial"/>
          <w:sz w:val="20"/>
          <w:szCs w:val="20"/>
        </w:rPr>
      </w:pPr>
    </w:p>
    <w:p w14:paraId="445195E0" w14:textId="5AF9621D" w:rsidR="00091A22" w:rsidRDefault="00091A22" w:rsidP="00091A22">
      <w:pPr>
        <w:jc w:val="both"/>
        <w:rPr>
          <w:rFonts w:ascii="Arial" w:hAnsi="Arial" w:cs="Arial"/>
          <w:sz w:val="20"/>
          <w:szCs w:val="20"/>
        </w:rPr>
      </w:pPr>
      <w:r>
        <w:rPr>
          <w:rFonts w:ascii="Arial" w:hAnsi="Arial" w:cs="Arial"/>
          <w:sz w:val="20"/>
          <w:szCs w:val="20"/>
        </w:rPr>
        <w:t>For a number of reasons the Tribunal has concerns about some of the data and related analysis being presented</w:t>
      </w:r>
      <w:r w:rsidR="00896C0A">
        <w:rPr>
          <w:rFonts w:ascii="Arial" w:hAnsi="Arial" w:cs="Arial"/>
          <w:sz w:val="20"/>
          <w:szCs w:val="20"/>
        </w:rPr>
        <w:t xml:space="preserve"> not only</w:t>
      </w:r>
      <w:r>
        <w:rPr>
          <w:rFonts w:ascii="Arial" w:hAnsi="Arial" w:cs="Arial"/>
          <w:sz w:val="20"/>
          <w:szCs w:val="20"/>
        </w:rPr>
        <w:t xml:space="preserve"> to the Productivity Commission</w:t>
      </w:r>
      <w:r w:rsidR="00896C0A">
        <w:rPr>
          <w:rFonts w:ascii="Arial" w:hAnsi="Arial" w:cs="Arial"/>
          <w:sz w:val="20"/>
          <w:szCs w:val="20"/>
        </w:rPr>
        <w:t>, but prior to this in various fora</w:t>
      </w:r>
      <w:r>
        <w:rPr>
          <w:rFonts w:ascii="Arial" w:hAnsi="Arial" w:cs="Arial"/>
          <w:sz w:val="20"/>
          <w:szCs w:val="20"/>
        </w:rPr>
        <w:t>.  Before elaborating it is important to repeat and further emphasise that the Tribunal supports legal representation and we would welcome increased levels of representation.  People experiencing severe mental illness often experience cumulative disadvantage, and disempowerment attribut</w:t>
      </w:r>
      <w:r w:rsidR="002B7822">
        <w:rPr>
          <w:rFonts w:ascii="Arial" w:hAnsi="Arial" w:cs="Arial"/>
          <w:sz w:val="20"/>
          <w:szCs w:val="20"/>
        </w:rPr>
        <w:t>able</w:t>
      </w:r>
      <w:r>
        <w:rPr>
          <w:rFonts w:ascii="Arial" w:hAnsi="Arial" w:cs="Arial"/>
          <w:sz w:val="20"/>
          <w:szCs w:val="20"/>
        </w:rPr>
        <w:t xml:space="preserve"> to a range of causes.</w:t>
      </w:r>
      <w:r w:rsidR="00896C0A">
        <w:rPr>
          <w:rFonts w:ascii="Arial" w:hAnsi="Arial" w:cs="Arial"/>
          <w:sz w:val="20"/>
          <w:szCs w:val="20"/>
        </w:rPr>
        <w:t xml:space="preserve">  </w:t>
      </w:r>
      <w:r w:rsidR="00B13E88">
        <w:rPr>
          <w:rFonts w:ascii="Arial" w:hAnsi="Arial" w:cs="Arial"/>
          <w:sz w:val="20"/>
          <w:szCs w:val="20"/>
        </w:rPr>
        <w:t>L</w:t>
      </w:r>
      <w:r w:rsidR="00896C0A">
        <w:rPr>
          <w:rFonts w:ascii="Arial" w:hAnsi="Arial" w:cs="Arial"/>
          <w:sz w:val="20"/>
          <w:szCs w:val="20"/>
        </w:rPr>
        <w:t>egal representation and advocacy more broadly</w:t>
      </w:r>
      <w:r w:rsidR="00B13E88">
        <w:rPr>
          <w:rFonts w:ascii="Arial" w:hAnsi="Arial" w:cs="Arial"/>
          <w:sz w:val="20"/>
          <w:szCs w:val="20"/>
        </w:rPr>
        <w:t xml:space="preserve"> (such as VLA’s Independent Mental Health Advocacy service)</w:t>
      </w:r>
      <w:r w:rsidR="00896C0A">
        <w:rPr>
          <w:rFonts w:ascii="Arial" w:hAnsi="Arial" w:cs="Arial"/>
          <w:sz w:val="20"/>
          <w:szCs w:val="20"/>
        </w:rPr>
        <w:t xml:space="preserve"> can reduce </w:t>
      </w:r>
      <w:r w:rsidR="00B13E88">
        <w:rPr>
          <w:rFonts w:ascii="Arial" w:hAnsi="Arial" w:cs="Arial"/>
          <w:sz w:val="20"/>
          <w:szCs w:val="20"/>
        </w:rPr>
        <w:t>disempowerment</w:t>
      </w:r>
      <w:r w:rsidR="00896C0A">
        <w:rPr>
          <w:rFonts w:ascii="Arial" w:hAnsi="Arial" w:cs="Arial"/>
          <w:sz w:val="20"/>
          <w:szCs w:val="20"/>
        </w:rPr>
        <w:t xml:space="preserve"> both objectively, as well as in relation to individual consumers’ subjective experience of various processes and discussions</w:t>
      </w:r>
      <w:r w:rsidR="00A479FD">
        <w:rPr>
          <w:rFonts w:ascii="Arial" w:hAnsi="Arial" w:cs="Arial"/>
          <w:sz w:val="20"/>
          <w:szCs w:val="20"/>
        </w:rPr>
        <w:t xml:space="preserve"> related to their treatment</w:t>
      </w:r>
      <w:r w:rsidR="00896C0A">
        <w:rPr>
          <w:rFonts w:ascii="Arial" w:hAnsi="Arial" w:cs="Arial"/>
          <w:sz w:val="20"/>
          <w:szCs w:val="20"/>
        </w:rPr>
        <w:t>.</w:t>
      </w:r>
      <w:r>
        <w:rPr>
          <w:rFonts w:ascii="Arial" w:hAnsi="Arial" w:cs="Arial"/>
          <w:sz w:val="20"/>
          <w:szCs w:val="20"/>
        </w:rPr>
        <w:t xml:space="preserve">  Having a legal representative is</w:t>
      </w:r>
      <w:r w:rsidR="00896C0A">
        <w:rPr>
          <w:rFonts w:ascii="Arial" w:hAnsi="Arial" w:cs="Arial"/>
          <w:sz w:val="20"/>
          <w:szCs w:val="20"/>
        </w:rPr>
        <w:t xml:space="preserve"> also</w:t>
      </w:r>
      <w:r>
        <w:rPr>
          <w:rFonts w:ascii="Arial" w:hAnsi="Arial" w:cs="Arial"/>
          <w:sz w:val="20"/>
          <w:szCs w:val="20"/>
        </w:rPr>
        <w:t xml:space="preserve"> likely to encourage some people</w:t>
      </w:r>
      <w:r w:rsidR="00896C0A">
        <w:rPr>
          <w:rFonts w:ascii="Arial" w:hAnsi="Arial" w:cs="Arial"/>
          <w:sz w:val="20"/>
          <w:szCs w:val="20"/>
        </w:rPr>
        <w:t xml:space="preserve"> to attend their hearing when they may otherwise have chosen not to</w:t>
      </w:r>
      <w:r>
        <w:rPr>
          <w:rFonts w:ascii="Arial" w:hAnsi="Arial" w:cs="Arial"/>
          <w:sz w:val="20"/>
          <w:szCs w:val="20"/>
        </w:rPr>
        <w:t>.  Legal representatives can be valuable contributors to hearings, and indisputably are one of many factors that bear upon hearing outcomes.  However, there are many considerations that urge caution in relation to any assertion that the presence or absence of legal representatives is a primary determinant of hearing outcomes.</w:t>
      </w:r>
    </w:p>
    <w:p w14:paraId="08EF95CF" w14:textId="77777777" w:rsidR="00091A22" w:rsidRDefault="00091A22" w:rsidP="00091A22">
      <w:pPr>
        <w:jc w:val="both"/>
        <w:rPr>
          <w:rFonts w:ascii="Arial" w:hAnsi="Arial" w:cs="Arial"/>
          <w:sz w:val="20"/>
          <w:szCs w:val="20"/>
        </w:rPr>
      </w:pPr>
    </w:p>
    <w:p w14:paraId="6A52DB19" w14:textId="0BA931E0" w:rsidR="00091A22" w:rsidRDefault="00091A22" w:rsidP="00091A22">
      <w:pPr>
        <w:pStyle w:val="ListParagraph"/>
        <w:numPr>
          <w:ilvl w:val="0"/>
          <w:numId w:val="3"/>
        </w:numPr>
        <w:jc w:val="both"/>
        <w:rPr>
          <w:rFonts w:ascii="Arial" w:hAnsi="Arial" w:cs="Arial"/>
          <w:sz w:val="20"/>
          <w:szCs w:val="20"/>
        </w:rPr>
      </w:pPr>
      <w:r>
        <w:rPr>
          <w:rFonts w:ascii="Arial" w:hAnsi="Arial" w:cs="Arial"/>
          <w:sz w:val="20"/>
          <w:szCs w:val="20"/>
        </w:rPr>
        <w:t>The draft report cites the Law Council of Australia’s (LCA) finding that when a person is legally represented in a hearing to determine an application for an electroconvulsive treatment order (ECT Order) an Order is only made in 50% of cases.</w:t>
      </w:r>
      <w:r>
        <w:rPr>
          <w:rStyle w:val="FootnoteReference"/>
          <w:rFonts w:ascii="Arial" w:hAnsi="Arial" w:cs="Arial"/>
          <w:sz w:val="20"/>
          <w:szCs w:val="20"/>
        </w:rPr>
        <w:footnoteReference w:id="8"/>
      </w:r>
      <w:r>
        <w:rPr>
          <w:rFonts w:ascii="Arial" w:hAnsi="Arial" w:cs="Arial"/>
          <w:sz w:val="20"/>
          <w:szCs w:val="20"/>
        </w:rPr>
        <w:t xml:space="preserve">  The source of the reduced approval rate of 50% is unclear, neither of the references cited by the LCA refer to it and it is not borne out by the Tribunal’s data (see </w:t>
      </w:r>
      <w:r w:rsidR="003702CE">
        <w:rPr>
          <w:rFonts w:ascii="Arial" w:hAnsi="Arial" w:cs="Arial"/>
          <w:sz w:val="20"/>
          <w:szCs w:val="20"/>
        </w:rPr>
        <w:t xml:space="preserve">Appendix </w:t>
      </w:r>
      <w:r w:rsidR="002B7822">
        <w:rPr>
          <w:rFonts w:ascii="Arial" w:hAnsi="Arial" w:cs="Arial"/>
          <w:sz w:val="20"/>
          <w:szCs w:val="20"/>
        </w:rPr>
        <w:t xml:space="preserve">– </w:t>
      </w:r>
      <w:r w:rsidR="003702CE">
        <w:rPr>
          <w:rFonts w:ascii="Arial" w:hAnsi="Arial" w:cs="Arial"/>
          <w:sz w:val="20"/>
          <w:szCs w:val="20"/>
        </w:rPr>
        <w:t>Table 3</w:t>
      </w:r>
      <w:r>
        <w:rPr>
          <w:rFonts w:ascii="Arial" w:hAnsi="Arial" w:cs="Arial"/>
          <w:sz w:val="20"/>
          <w:szCs w:val="20"/>
        </w:rPr>
        <w:t>).</w:t>
      </w:r>
      <w:r w:rsidR="007F6D3C">
        <w:rPr>
          <w:rStyle w:val="FootnoteReference"/>
          <w:rFonts w:ascii="Arial" w:hAnsi="Arial" w:cs="Arial"/>
          <w:sz w:val="20"/>
          <w:szCs w:val="20"/>
        </w:rPr>
        <w:footnoteReference w:id="9"/>
      </w:r>
    </w:p>
    <w:p w14:paraId="07AC3111" w14:textId="77777777" w:rsidR="00091A22" w:rsidRDefault="00091A22" w:rsidP="00091A22">
      <w:pPr>
        <w:pStyle w:val="ListParagraph"/>
        <w:jc w:val="both"/>
        <w:rPr>
          <w:rFonts w:ascii="Arial" w:hAnsi="Arial" w:cs="Arial"/>
          <w:sz w:val="20"/>
          <w:szCs w:val="20"/>
        </w:rPr>
      </w:pPr>
    </w:p>
    <w:p w14:paraId="73E30AA0" w14:textId="451FF058" w:rsidR="00091A22" w:rsidRDefault="00091A22" w:rsidP="00091A22">
      <w:pPr>
        <w:pStyle w:val="ListParagraph"/>
        <w:numPr>
          <w:ilvl w:val="0"/>
          <w:numId w:val="3"/>
        </w:numPr>
        <w:jc w:val="both"/>
        <w:rPr>
          <w:rFonts w:ascii="Arial" w:hAnsi="Arial" w:cs="Arial"/>
          <w:sz w:val="20"/>
          <w:szCs w:val="20"/>
        </w:rPr>
      </w:pPr>
      <w:r>
        <w:rPr>
          <w:rFonts w:ascii="Arial" w:hAnsi="Arial" w:cs="Arial"/>
          <w:sz w:val="20"/>
          <w:szCs w:val="20"/>
        </w:rPr>
        <w:t xml:space="preserve">Regardless of what the </w:t>
      </w:r>
      <w:r w:rsidR="005E7474">
        <w:rPr>
          <w:rFonts w:ascii="Arial" w:hAnsi="Arial" w:cs="Arial"/>
          <w:sz w:val="20"/>
          <w:szCs w:val="20"/>
        </w:rPr>
        <w:t xml:space="preserve">particular </w:t>
      </w:r>
      <w:r w:rsidR="004C5EDC">
        <w:rPr>
          <w:rFonts w:ascii="Arial" w:hAnsi="Arial" w:cs="Arial"/>
          <w:sz w:val="20"/>
          <w:szCs w:val="20"/>
        </w:rPr>
        <w:t>numbers</w:t>
      </w:r>
      <w:r>
        <w:rPr>
          <w:rFonts w:ascii="Arial" w:hAnsi="Arial" w:cs="Arial"/>
          <w:sz w:val="20"/>
          <w:szCs w:val="20"/>
        </w:rPr>
        <w:t xml:space="preserve"> might be for a given </w:t>
      </w:r>
      <w:r w:rsidR="004C5EDC">
        <w:rPr>
          <w:rFonts w:ascii="Arial" w:hAnsi="Arial" w:cs="Arial"/>
          <w:sz w:val="20"/>
          <w:szCs w:val="20"/>
        </w:rPr>
        <w:t>period</w:t>
      </w:r>
      <w:r>
        <w:rPr>
          <w:rFonts w:ascii="Arial" w:hAnsi="Arial" w:cs="Arial"/>
          <w:sz w:val="20"/>
          <w:szCs w:val="20"/>
        </w:rPr>
        <w:t>, there are a complex mix of factors and potential biases that need to be considered when interpreting data</w:t>
      </w:r>
      <w:r w:rsidR="003702CE">
        <w:rPr>
          <w:rFonts w:ascii="Arial" w:hAnsi="Arial" w:cs="Arial"/>
          <w:sz w:val="20"/>
          <w:szCs w:val="20"/>
        </w:rPr>
        <w:t xml:space="preserve">. </w:t>
      </w:r>
      <w:r>
        <w:rPr>
          <w:rFonts w:ascii="Arial" w:hAnsi="Arial" w:cs="Arial"/>
          <w:sz w:val="20"/>
          <w:szCs w:val="20"/>
        </w:rPr>
        <w:t xml:space="preserve"> </w:t>
      </w:r>
      <w:r w:rsidR="003702CE">
        <w:rPr>
          <w:rFonts w:ascii="Arial" w:hAnsi="Arial" w:cs="Arial"/>
          <w:sz w:val="20"/>
          <w:szCs w:val="20"/>
        </w:rPr>
        <w:t>T</w:t>
      </w:r>
      <w:r>
        <w:rPr>
          <w:rFonts w:ascii="Arial" w:hAnsi="Arial" w:cs="Arial"/>
          <w:sz w:val="20"/>
          <w:szCs w:val="20"/>
        </w:rPr>
        <w:t>he Tribunal is not aware of any research that has sought to undertake such sophisticated analysis.  For instance:</w:t>
      </w:r>
    </w:p>
    <w:p w14:paraId="681B97D4" w14:textId="77777777" w:rsidR="00091A22" w:rsidRDefault="00091A22" w:rsidP="00091A22">
      <w:pPr>
        <w:pStyle w:val="ListParagraph"/>
        <w:rPr>
          <w:rFonts w:ascii="Arial" w:hAnsi="Arial" w:cs="Arial"/>
          <w:sz w:val="20"/>
          <w:szCs w:val="20"/>
        </w:rPr>
      </w:pPr>
    </w:p>
    <w:p w14:paraId="059C9C07" w14:textId="4A3B0975" w:rsidR="00091A22" w:rsidRDefault="00091A22" w:rsidP="00091A22">
      <w:pPr>
        <w:pStyle w:val="ListParagraph"/>
        <w:numPr>
          <w:ilvl w:val="0"/>
          <w:numId w:val="4"/>
        </w:numPr>
        <w:jc w:val="both"/>
        <w:rPr>
          <w:rFonts w:ascii="Arial" w:hAnsi="Arial" w:cs="Arial"/>
          <w:sz w:val="20"/>
          <w:szCs w:val="20"/>
        </w:rPr>
      </w:pPr>
      <w:r>
        <w:rPr>
          <w:rFonts w:ascii="Arial" w:hAnsi="Arial" w:cs="Arial"/>
          <w:sz w:val="20"/>
          <w:szCs w:val="20"/>
        </w:rPr>
        <w:t>The Tribunal’s view is that the mo</w:t>
      </w:r>
      <w:r w:rsidR="005E7474">
        <w:rPr>
          <w:rFonts w:ascii="Arial" w:hAnsi="Arial" w:cs="Arial"/>
          <w:sz w:val="20"/>
          <w:szCs w:val="20"/>
        </w:rPr>
        <w:t>st</w:t>
      </w:r>
      <w:r>
        <w:rPr>
          <w:rFonts w:ascii="Arial" w:hAnsi="Arial" w:cs="Arial"/>
          <w:sz w:val="20"/>
          <w:szCs w:val="20"/>
        </w:rPr>
        <w:t xml:space="preserve"> important variable in hearing outcomes is the attendance and participation of the consumer</w:t>
      </w:r>
      <w:r w:rsidR="005E7474">
        <w:rPr>
          <w:rFonts w:ascii="Arial" w:hAnsi="Arial" w:cs="Arial"/>
          <w:sz w:val="20"/>
          <w:szCs w:val="20"/>
        </w:rPr>
        <w:t>.</w:t>
      </w:r>
      <w:r>
        <w:rPr>
          <w:rFonts w:ascii="Arial" w:hAnsi="Arial" w:cs="Arial"/>
          <w:sz w:val="20"/>
          <w:szCs w:val="20"/>
        </w:rPr>
        <w:t xml:space="preserve">  One of the potential beneficial impacts of legal representation is that it can encourage a person to attend when they may not have done so without a lawyer.  At the same time, it cannot be discounted that a number of people will seek legal assistance because they have already decided to attend.  Furthermore, it does not detract from the contribution of lawyers to note that some of the consumers</w:t>
      </w:r>
      <w:r w:rsidR="00BE6178">
        <w:rPr>
          <w:rFonts w:ascii="Arial" w:hAnsi="Arial" w:cs="Arial"/>
          <w:sz w:val="20"/>
          <w:szCs w:val="20"/>
        </w:rPr>
        <w:t xml:space="preserve"> they represent</w:t>
      </w:r>
      <w:r>
        <w:rPr>
          <w:rFonts w:ascii="Arial" w:hAnsi="Arial" w:cs="Arial"/>
          <w:sz w:val="20"/>
          <w:szCs w:val="20"/>
        </w:rPr>
        <w:t xml:space="preserve"> would have (and do) secure an equivalent outcome where they attend without </w:t>
      </w:r>
      <w:r w:rsidR="00D16811">
        <w:rPr>
          <w:rFonts w:ascii="Arial" w:hAnsi="Arial" w:cs="Arial"/>
          <w:sz w:val="20"/>
          <w:szCs w:val="20"/>
        </w:rPr>
        <w:t xml:space="preserve">legal </w:t>
      </w:r>
      <w:r>
        <w:rPr>
          <w:rFonts w:ascii="Arial" w:hAnsi="Arial" w:cs="Arial"/>
          <w:sz w:val="20"/>
          <w:szCs w:val="20"/>
        </w:rPr>
        <w:t>representation.</w:t>
      </w:r>
    </w:p>
    <w:p w14:paraId="641A5D42" w14:textId="77777777" w:rsidR="00091A22" w:rsidRDefault="00091A22" w:rsidP="00091A22">
      <w:pPr>
        <w:pStyle w:val="ListParagraph"/>
        <w:ind w:left="1440"/>
        <w:jc w:val="both"/>
        <w:rPr>
          <w:rFonts w:ascii="Arial" w:hAnsi="Arial" w:cs="Arial"/>
          <w:sz w:val="20"/>
          <w:szCs w:val="20"/>
        </w:rPr>
      </w:pPr>
    </w:p>
    <w:p w14:paraId="627886F7" w14:textId="6F8D6CAC" w:rsidR="00091A22" w:rsidRDefault="00091A22" w:rsidP="00091A22">
      <w:pPr>
        <w:pStyle w:val="ListParagraph"/>
        <w:numPr>
          <w:ilvl w:val="0"/>
          <w:numId w:val="4"/>
        </w:numPr>
        <w:jc w:val="both"/>
        <w:rPr>
          <w:rFonts w:ascii="Arial" w:hAnsi="Arial" w:cs="Arial"/>
          <w:sz w:val="20"/>
          <w:szCs w:val="20"/>
        </w:rPr>
      </w:pPr>
      <w:r>
        <w:rPr>
          <w:rFonts w:ascii="Arial" w:hAnsi="Arial" w:cs="Arial"/>
          <w:sz w:val="20"/>
          <w:szCs w:val="20"/>
        </w:rPr>
        <w:t>The acuity and/or chronicity of a person’s symptoms of illness can in some cases impact on their ability to speak to or instruct a lawyer</w:t>
      </w:r>
      <w:r w:rsidR="003702CE">
        <w:rPr>
          <w:rFonts w:ascii="Arial" w:hAnsi="Arial" w:cs="Arial"/>
          <w:sz w:val="20"/>
          <w:szCs w:val="20"/>
        </w:rPr>
        <w:t>.</w:t>
      </w:r>
      <w:r w:rsidR="00410FA2">
        <w:rPr>
          <w:rStyle w:val="FootnoteReference"/>
          <w:rFonts w:ascii="Arial" w:hAnsi="Arial" w:cs="Arial"/>
          <w:sz w:val="20"/>
          <w:szCs w:val="20"/>
        </w:rPr>
        <w:footnoteReference w:id="10"/>
      </w:r>
      <w:r w:rsidR="003702CE">
        <w:rPr>
          <w:rFonts w:ascii="Arial" w:hAnsi="Arial" w:cs="Arial"/>
          <w:sz w:val="20"/>
          <w:szCs w:val="20"/>
        </w:rPr>
        <w:t xml:space="preserve">  F</w:t>
      </w:r>
      <w:r>
        <w:rPr>
          <w:rFonts w:ascii="Arial" w:hAnsi="Arial" w:cs="Arial"/>
          <w:sz w:val="20"/>
          <w:szCs w:val="20"/>
        </w:rPr>
        <w:t xml:space="preserve">or </w:t>
      </w:r>
      <w:r w:rsidR="004C5EDC">
        <w:rPr>
          <w:rFonts w:ascii="Arial" w:hAnsi="Arial" w:cs="Arial"/>
          <w:sz w:val="20"/>
          <w:szCs w:val="20"/>
        </w:rPr>
        <w:t>example,</w:t>
      </w:r>
      <w:r>
        <w:rPr>
          <w:rFonts w:ascii="Arial" w:hAnsi="Arial" w:cs="Arial"/>
          <w:sz w:val="20"/>
          <w:szCs w:val="20"/>
        </w:rPr>
        <w:t xml:space="preserve"> a person in relation to whom there has been an application for an ECT Order who has stopped eating and drinking and is non-responsive</w:t>
      </w:r>
      <w:r w:rsidR="003702CE">
        <w:rPr>
          <w:rFonts w:ascii="Arial" w:hAnsi="Arial" w:cs="Arial"/>
          <w:sz w:val="20"/>
          <w:szCs w:val="20"/>
        </w:rPr>
        <w:t>; or a person experiencing chronic ‘negative symptoms’ of schizophrenia</w:t>
      </w:r>
      <w:r>
        <w:rPr>
          <w:rFonts w:ascii="Arial" w:hAnsi="Arial" w:cs="Arial"/>
          <w:sz w:val="20"/>
          <w:szCs w:val="20"/>
        </w:rPr>
        <w:t xml:space="preserve">.  A hearing outcome is never pre-ordained and symptom severity does not automatically mean the criteria for a compulsory Treatment Order or ECT Order are met.  However, </w:t>
      </w:r>
      <w:r w:rsidR="000E0E18">
        <w:rPr>
          <w:rFonts w:ascii="Arial" w:hAnsi="Arial" w:cs="Arial"/>
          <w:sz w:val="20"/>
          <w:szCs w:val="20"/>
        </w:rPr>
        <w:t>individuals</w:t>
      </w:r>
      <w:r>
        <w:rPr>
          <w:rFonts w:ascii="Arial" w:hAnsi="Arial" w:cs="Arial"/>
          <w:sz w:val="20"/>
          <w:szCs w:val="20"/>
        </w:rPr>
        <w:t xml:space="preserve"> whose symptoms are especially severe and disabling are </w:t>
      </w:r>
      <w:r w:rsidR="000E0E18">
        <w:rPr>
          <w:rFonts w:ascii="Arial" w:hAnsi="Arial" w:cs="Arial"/>
          <w:sz w:val="20"/>
          <w:szCs w:val="20"/>
        </w:rPr>
        <w:t>potentially</w:t>
      </w:r>
      <w:r>
        <w:rPr>
          <w:rFonts w:ascii="Arial" w:hAnsi="Arial" w:cs="Arial"/>
          <w:sz w:val="20"/>
          <w:szCs w:val="20"/>
        </w:rPr>
        <w:t xml:space="preserve"> under-represented in the cohort of consumers who are legally represented.</w:t>
      </w:r>
    </w:p>
    <w:p w14:paraId="44DE9157" w14:textId="77777777" w:rsidR="00091A22" w:rsidRPr="00F85A91" w:rsidRDefault="00091A22" w:rsidP="00091A22">
      <w:pPr>
        <w:pStyle w:val="ListParagraph"/>
        <w:ind w:left="1440"/>
        <w:rPr>
          <w:rFonts w:ascii="Arial" w:hAnsi="Arial" w:cs="Arial"/>
          <w:sz w:val="20"/>
          <w:szCs w:val="20"/>
        </w:rPr>
      </w:pPr>
    </w:p>
    <w:p w14:paraId="297A87C1" w14:textId="38C29E93" w:rsidR="00091A22" w:rsidRDefault="00091A22" w:rsidP="00091A22">
      <w:pPr>
        <w:pStyle w:val="ListParagraph"/>
        <w:numPr>
          <w:ilvl w:val="0"/>
          <w:numId w:val="4"/>
        </w:numPr>
        <w:jc w:val="both"/>
        <w:rPr>
          <w:rFonts w:ascii="Arial" w:hAnsi="Arial" w:cs="Arial"/>
          <w:sz w:val="20"/>
          <w:szCs w:val="20"/>
        </w:rPr>
      </w:pPr>
      <w:r>
        <w:rPr>
          <w:rFonts w:ascii="Arial" w:hAnsi="Arial" w:cs="Arial"/>
          <w:sz w:val="20"/>
          <w:szCs w:val="20"/>
        </w:rPr>
        <w:t>The Tribunal also notes that VLA applies a merit test for legal representation in matters before the Tribunal.</w:t>
      </w:r>
      <w:r>
        <w:rPr>
          <w:rStyle w:val="FootnoteReference"/>
          <w:rFonts w:ascii="Arial" w:hAnsi="Arial" w:cs="Arial"/>
          <w:sz w:val="20"/>
          <w:szCs w:val="20"/>
        </w:rPr>
        <w:footnoteReference w:id="11"/>
      </w:r>
      <w:r>
        <w:rPr>
          <w:rFonts w:ascii="Arial" w:hAnsi="Arial" w:cs="Arial"/>
          <w:sz w:val="20"/>
          <w:szCs w:val="20"/>
        </w:rPr>
        <w:t xml:space="preserve">  The Tribunal cannot comment on how this interpreted or applied but it does raise the possibility of further bias in the cohort of consumers who are legally represented.</w:t>
      </w:r>
    </w:p>
    <w:p w14:paraId="5CB6C616" w14:textId="77777777" w:rsidR="00091A22" w:rsidRPr="00D11C54" w:rsidRDefault="00091A22" w:rsidP="00091A22">
      <w:pPr>
        <w:pStyle w:val="ListParagraph"/>
        <w:jc w:val="both"/>
        <w:rPr>
          <w:rFonts w:ascii="Arial" w:hAnsi="Arial" w:cs="Arial"/>
          <w:sz w:val="20"/>
          <w:szCs w:val="20"/>
        </w:rPr>
      </w:pPr>
    </w:p>
    <w:p w14:paraId="6ADA2510" w14:textId="6E8386C0" w:rsidR="00091A22" w:rsidRDefault="00091A22" w:rsidP="00091A22">
      <w:pPr>
        <w:pStyle w:val="ListParagraph"/>
        <w:numPr>
          <w:ilvl w:val="0"/>
          <w:numId w:val="3"/>
        </w:numPr>
        <w:jc w:val="both"/>
        <w:rPr>
          <w:rFonts w:ascii="Arial" w:hAnsi="Arial" w:cs="Arial"/>
          <w:sz w:val="20"/>
          <w:szCs w:val="20"/>
        </w:rPr>
      </w:pPr>
      <w:r>
        <w:rPr>
          <w:rFonts w:ascii="Arial" w:hAnsi="Arial" w:cs="Arial"/>
          <w:sz w:val="20"/>
          <w:szCs w:val="20"/>
        </w:rPr>
        <w:lastRenderedPageBreak/>
        <w:t xml:space="preserve">Since its commencement the Tribunal has been committed to publishing comprehensive quarterly data relating to the outcome of hearings and the performance of our functions.  We do this because mental health law profoundly impacts upon the human rights of individuals and as such, within the confines of the strict privacy provisions that govern our hearings, we regard it as being incumbent on the Tribunal to make available as much information as possible to explain how the law is being interpreted and applied.  We welcome scrutiny based on this data, especially global data, which we acknowledged in our submission to the Royal Commission raises serious doubts about the extent to which expectations associated with the reforms embedded in the Act have been realised.  However, quite apart from the complexities referred to above, there is an overarching question that arises in any purely quantitative analysis of individual hearing outcomes which is – in the absence of case details what exactly can outcomes tell us?  The potential answer is – </w:t>
      </w:r>
      <w:r w:rsidR="00FF2F6A">
        <w:rPr>
          <w:rFonts w:ascii="Arial" w:hAnsi="Arial" w:cs="Arial"/>
          <w:sz w:val="20"/>
          <w:szCs w:val="20"/>
        </w:rPr>
        <w:t xml:space="preserve">often </w:t>
      </w:r>
      <w:r>
        <w:rPr>
          <w:rFonts w:ascii="Arial" w:hAnsi="Arial" w:cs="Arial"/>
          <w:sz w:val="20"/>
          <w:szCs w:val="20"/>
        </w:rPr>
        <w:t xml:space="preserve">very little.  Mental health is not a good/bad or </w:t>
      </w:r>
      <w:r w:rsidR="003702CE">
        <w:rPr>
          <w:rFonts w:ascii="Arial" w:hAnsi="Arial" w:cs="Arial"/>
          <w:sz w:val="20"/>
          <w:szCs w:val="20"/>
        </w:rPr>
        <w:t>win/loose</w:t>
      </w:r>
      <w:r>
        <w:rPr>
          <w:rFonts w:ascii="Arial" w:hAnsi="Arial" w:cs="Arial"/>
          <w:sz w:val="20"/>
          <w:szCs w:val="20"/>
        </w:rPr>
        <w:t xml:space="preserve"> jurisdiction.  The Tribunal always strives to promote the principles of the Act which strongly emphasise voluntary, least restrictive treatment and individual autonomy;</w:t>
      </w:r>
      <w:r>
        <w:rPr>
          <w:rStyle w:val="FootnoteReference"/>
          <w:rFonts w:ascii="Arial" w:hAnsi="Arial" w:cs="Arial"/>
          <w:sz w:val="20"/>
          <w:szCs w:val="20"/>
        </w:rPr>
        <w:footnoteReference w:id="12"/>
      </w:r>
      <w:r>
        <w:rPr>
          <w:rFonts w:ascii="Arial" w:hAnsi="Arial" w:cs="Arial"/>
          <w:sz w:val="20"/>
          <w:szCs w:val="20"/>
        </w:rPr>
        <w:t xml:space="preserve"> </w:t>
      </w:r>
      <w:r w:rsidR="002B7822">
        <w:rPr>
          <w:rFonts w:ascii="Arial" w:hAnsi="Arial" w:cs="Arial"/>
          <w:sz w:val="20"/>
          <w:szCs w:val="20"/>
        </w:rPr>
        <w:t>and</w:t>
      </w:r>
      <w:r>
        <w:rPr>
          <w:rFonts w:ascii="Arial" w:hAnsi="Arial" w:cs="Arial"/>
          <w:sz w:val="20"/>
          <w:szCs w:val="20"/>
        </w:rPr>
        <w:t xml:space="preserve"> also </w:t>
      </w:r>
      <w:r w:rsidR="00024B47">
        <w:rPr>
          <w:rFonts w:ascii="Arial" w:hAnsi="Arial" w:cs="Arial"/>
          <w:sz w:val="20"/>
          <w:szCs w:val="20"/>
        </w:rPr>
        <w:t xml:space="preserve">focus on </w:t>
      </w:r>
      <w:r>
        <w:rPr>
          <w:rFonts w:ascii="Arial" w:hAnsi="Arial" w:cs="Arial"/>
          <w:sz w:val="20"/>
          <w:szCs w:val="20"/>
        </w:rPr>
        <w:t>bringing about the best possible therapeutic outcomes, recovery and full participation in community life.</w:t>
      </w:r>
      <w:r>
        <w:rPr>
          <w:rStyle w:val="FootnoteReference"/>
          <w:rFonts w:ascii="Arial" w:hAnsi="Arial" w:cs="Arial"/>
          <w:sz w:val="20"/>
          <w:szCs w:val="20"/>
        </w:rPr>
        <w:footnoteReference w:id="13"/>
      </w:r>
      <w:r>
        <w:rPr>
          <w:rFonts w:ascii="Arial" w:hAnsi="Arial" w:cs="Arial"/>
          <w:sz w:val="20"/>
          <w:szCs w:val="20"/>
        </w:rPr>
        <w:t xml:space="preserve">  Churchill Fellow and VLA lawyer Eleanore Fritze makes a pertinent observation about the focus on whether mental health tribunals do or don’t make Orders:</w:t>
      </w:r>
      <w:r>
        <w:rPr>
          <w:rStyle w:val="FootnoteReference"/>
          <w:rFonts w:ascii="Arial" w:hAnsi="Arial" w:cs="Arial"/>
          <w:sz w:val="20"/>
          <w:szCs w:val="20"/>
        </w:rPr>
        <w:footnoteReference w:id="14"/>
      </w:r>
    </w:p>
    <w:p w14:paraId="4DCCC64E" w14:textId="77777777" w:rsidR="00091A22" w:rsidRDefault="00091A22" w:rsidP="00091A22">
      <w:pPr>
        <w:pStyle w:val="ListParagraph"/>
        <w:jc w:val="both"/>
        <w:rPr>
          <w:rFonts w:ascii="Arial" w:hAnsi="Arial" w:cs="Arial"/>
          <w:sz w:val="20"/>
          <w:szCs w:val="20"/>
        </w:rPr>
      </w:pPr>
    </w:p>
    <w:p w14:paraId="43E082F7" w14:textId="467C0388" w:rsidR="00091A22" w:rsidRPr="00FF2F6A" w:rsidRDefault="00FF2F6A" w:rsidP="00091A22">
      <w:pPr>
        <w:pStyle w:val="ListParagraph"/>
        <w:ind w:left="1440"/>
        <w:jc w:val="both"/>
        <w:rPr>
          <w:rFonts w:ascii="Arial" w:hAnsi="Arial" w:cs="Arial"/>
          <w:sz w:val="18"/>
          <w:szCs w:val="18"/>
        </w:rPr>
      </w:pPr>
      <w:r w:rsidRPr="00FF2F6A">
        <w:rPr>
          <w:rFonts w:ascii="Arial" w:hAnsi="Arial" w:cs="Arial"/>
          <w:i/>
          <w:sz w:val="18"/>
          <w:szCs w:val="18"/>
        </w:rPr>
        <w:t xml:space="preserve">While rates of discharge from detention at mental health hearings do indicate something, without more they do not reveal much about the extent to which judicial decision-makers are respectful of rights. </w:t>
      </w:r>
      <w:r w:rsidR="00091A22" w:rsidRPr="00FF2F6A">
        <w:rPr>
          <w:rFonts w:ascii="Arial" w:hAnsi="Arial" w:cs="Arial"/>
          <w:i/>
          <w:sz w:val="18"/>
          <w:szCs w:val="18"/>
        </w:rPr>
        <w:t>Not only do discharge rates reveal nothing about the processes and interactions between the decision-makers and hearing participants, there is no way to know whether a low discharge rate means the decision-makers are conservative and not open to persuasion or whether it instead means that mental health services are rights-respecting and rarely present someone at a hearing who does not meet the statutory criteria…</w:t>
      </w:r>
    </w:p>
    <w:p w14:paraId="170D1566" w14:textId="77777777" w:rsidR="00091A22" w:rsidRPr="00FF2F6A" w:rsidRDefault="00091A22" w:rsidP="00091A22">
      <w:pPr>
        <w:pStyle w:val="ListParagraph"/>
        <w:jc w:val="both"/>
        <w:rPr>
          <w:rFonts w:ascii="Arial" w:hAnsi="Arial" w:cs="Arial"/>
          <w:sz w:val="18"/>
          <w:szCs w:val="18"/>
        </w:rPr>
      </w:pPr>
    </w:p>
    <w:p w14:paraId="6BFAB176" w14:textId="493125E5" w:rsidR="00091A22" w:rsidRPr="004B028A" w:rsidRDefault="00091A22" w:rsidP="00091A22">
      <w:pPr>
        <w:pStyle w:val="ListParagraph"/>
        <w:numPr>
          <w:ilvl w:val="0"/>
          <w:numId w:val="3"/>
        </w:numPr>
        <w:jc w:val="both"/>
        <w:rPr>
          <w:rFonts w:ascii="Arial" w:hAnsi="Arial" w:cs="Arial"/>
          <w:sz w:val="20"/>
          <w:szCs w:val="20"/>
        </w:rPr>
      </w:pPr>
      <w:r w:rsidRPr="004B028A">
        <w:rPr>
          <w:rFonts w:ascii="Arial" w:hAnsi="Arial" w:cs="Arial"/>
          <w:sz w:val="20"/>
          <w:szCs w:val="20"/>
        </w:rPr>
        <w:t>Having cited so many concerns about drawing conclusions regarding the link between legal representation and the outcomes of mental health tribunal hearings it may appear contradictory for this submission to refer to such data from N</w:t>
      </w:r>
      <w:r w:rsidR="000E0E18" w:rsidRPr="004B028A">
        <w:rPr>
          <w:rFonts w:ascii="Arial" w:hAnsi="Arial" w:cs="Arial"/>
          <w:sz w:val="20"/>
          <w:szCs w:val="20"/>
        </w:rPr>
        <w:t xml:space="preserve">ew </w:t>
      </w:r>
      <w:r w:rsidRPr="004B028A">
        <w:rPr>
          <w:rFonts w:ascii="Arial" w:hAnsi="Arial" w:cs="Arial"/>
          <w:sz w:val="20"/>
          <w:szCs w:val="20"/>
        </w:rPr>
        <w:t>S</w:t>
      </w:r>
      <w:r w:rsidR="000E0E18" w:rsidRPr="004B028A">
        <w:rPr>
          <w:rFonts w:ascii="Arial" w:hAnsi="Arial" w:cs="Arial"/>
          <w:sz w:val="20"/>
          <w:szCs w:val="20"/>
        </w:rPr>
        <w:t xml:space="preserve">outh </w:t>
      </w:r>
      <w:r w:rsidRPr="004B028A">
        <w:rPr>
          <w:rFonts w:ascii="Arial" w:hAnsi="Arial" w:cs="Arial"/>
          <w:sz w:val="20"/>
          <w:szCs w:val="20"/>
        </w:rPr>
        <w:t>W</w:t>
      </w:r>
      <w:r w:rsidR="000E0E18" w:rsidRPr="004B028A">
        <w:rPr>
          <w:rFonts w:ascii="Arial" w:hAnsi="Arial" w:cs="Arial"/>
          <w:sz w:val="20"/>
          <w:szCs w:val="20"/>
        </w:rPr>
        <w:t>ales</w:t>
      </w:r>
      <w:r w:rsidRPr="004B028A">
        <w:rPr>
          <w:rFonts w:ascii="Arial" w:hAnsi="Arial" w:cs="Arial"/>
          <w:sz w:val="20"/>
          <w:szCs w:val="20"/>
        </w:rPr>
        <w:t xml:space="preserve"> and Queensland</w:t>
      </w:r>
      <w:r w:rsidR="00FF2F6A">
        <w:rPr>
          <w:rFonts w:ascii="Arial" w:hAnsi="Arial" w:cs="Arial"/>
          <w:sz w:val="20"/>
          <w:szCs w:val="20"/>
        </w:rPr>
        <w:t xml:space="preserve"> (Appendix</w:t>
      </w:r>
      <w:r w:rsidR="002B7822">
        <w:rPr>
          <w:rFonts w:ascii="Arial" w:hAnsi="Arial" w:cs="Arial"/>
          <w:sz w:val="20"/>
          <w:szCs w:val="20"/>
        </w:rPr>
        <w:t xml:space="preserve"> – </w:t>
      </w:r>
      <w:r w:rsidR="00FF2F6A">
        <w:rPr>
          <w:rFonts w:ascii="Arial" w:hAnsi="Arial" w:cs="Arial"/>
          <w:sz w:val="20"/>
          <w:szCs w:val="20"/>
        </w:rPr>
        <w:t>Table 4)</w:t>
      </w:r>
      <w:r w:rsidRPr="004B028A">
        <w:rPr>
          <w:rFonts w:ascii="Arial" w:hAnsi="Arial" w:cs="Arial"/>
          <w:sz w:val="20"/>
          <w:szCs w:val="20"/>
        </w:rPr>
        <w:t xml:space="preserve">.  The Tribunal has done so for two reasons.  Both jurisdictions are logically cited as the comparator to Victoria because for a range of hearings before each states’ Mental Health Review Tribunal there </w:t>
      </w:r>
      <w:r w:rsidR="00FF2F6A">
        <w:rPr>
          <w:rFonts w:ascii="Arial" w:hAnsi="Arial" w:cs="Arial"/>
          <w:sz w:val="20"/>
          <w:szCs w:val="20"/>
        </w:rPr>
        <w:t>are</w:t>
      </w:r>
      <w:r w:rsidR="00442BC2">
        <w:rPr>
          <w:rFonts w:ascii="Arial" w:hAnsi="Arial" w:cs="Arial"/>
          <w:sz w:val="20"/>
          <w:szCs w:val="20"/>
        </w:rPr>
        <w:t xml:space="preserve"> much higher levels of legal representation, including</w:t>
      </w:r>
      <w:r w:rsidRPr="004B028A">
        <w:rPr>
          <w:rFonts w:ascii="Arial" w:hAnsi="Arial" w:cs="Arial"/>
          <w:sz w:val="20"/>
          <w:szCs w:val="20"/>
        </w:rPr>
        <w:t xml:space="preserve"> mandatory legal representation</w:t>
      </w:r>
      <w:r w:rsidR="003702CE" w:rsidRPr="004B028A">
        <w:rPr>
          <w:rFonts w:ascii="Arial" w:hAnsi="Arial" w:cs="Arial"/>
          <w:sz w:val="20"/>
          <w:szCs w:val="20"/>
        </w:rPr>
        <w:t xml:space="preserve"> in some hearings.  A</w:t>
      </w:r>
      <w:r w:rsidRPr="004B028A">
        <w:rPr>
          <w:rFonts w:ascii="Arial" w:hAnsi="Arial" w:cs="Arial"/>
          <w:sz w:val="20"/>
          <w:szCs w:val="20"/>
        </w:rPr>
        <w:t>s such the differences in the rates of representation are stark, but the profile of hearing outcomes is vastly different to what might be expected</w:t>
      </w:r>
      <w:r w:rsidR="003702CE" w:rsidRPr="004B028A">
        <w:rPr>
          <w:rFonts w:ascii="Arial" w:hAnsi="Arial" w:cs="Arial"/>
          <w:sz w:val="20"/>
          <w:szCs w:val="20"/>
        </w:rPr>
        <w:t xml:space="preserve"> in that both Tribunals revoke or refuse far fewer orders than the Victorian Tribunal</w:t>
      </w:r>
      <w:r w:rsidRPr="004B028A">
        <w:rPr>
          <w:rFonts w:ascii="Arial" w:hAnsi="Arial" w:cs="Arial"/>
          <w:sz w:val="20"/>
          <w:szCs w:val="20"/>
        </w:rPr>
        <w:t xml:space="preserve">.  We think this data is necessary firstly for the sake of completeness; and secondly, </w:t>
      </w:r>
      <w:r w:rsidR="00442BC2">
        <w:rPr>
          <w:rFonts w:ascii="Arial" w:hAnsi="Arial" w:cs="Arial"/>
          <w:sz w:val="20"/>
          <w:szCs w:val="20"/>
        </w:rPr>
        <w:t xml:space="preserve">to demonstrate </w:t>
      </w:r>
      <w:r w:rsidRPr="004B028A">
        <w:rPr>
          <w:rFonts w:ascii="Arial" w:hAnsi="Arial" w:cs="Arial"/>
          <w:sz w:val="20"/>
          <w:szCs w:val="20"/>
        </w:rPr>
        <w:t xml:space="preserve">that </w:t>
      </w:r>
      <w:r w:rsidR="00442BC2">
        <w:rPr>
          <w:rFonts w:ascii="Arial" w:hAnsi="Arial" w:cs="Arial"/>
          <w:sz w:val="20"/>
          <w:szCs w:val="20"/>
        </w:rPr>
        <w:t xml:space="preserve">it </w:t>
      </w:r>
      <w:r w:rsidRPr="004B028A">
        <w:rPr>
          <w:rFonts w:ascii="Arial" w:hAnsi="Arial" w:cs="Arial"/>
          <w:sz w:val="20"/>
          <w:szCs w:val="20"/>
        </w:rPr>
        <w:t>is diabolically complicated to reach any meaningful</w:t>
      </w:r>
      <w:r w:rsidR="00442BC2" w:rsidRPr="00442BC2">
        <w:rPr>
          <w:rFonts w:ascii="Arial" w:hAnsi="Arial" w:cs="Arial"/>
          <w:sz w:val="20"/>
          <w:szCs w:val="20"/>
        </w:rPr>
        <w:t xml:space="preserve"> </w:t>
      </w:r>
      <w:r w:rsidR="00442BC2" w:rsidRPr="004B028A">
        <w:rPr>
          <w:rFonts w:ascii="Arial" w:hAnsi="Arial" w:cs="Arial"/>
          <w:sz w:val="20"/>
          <w:szCs w:val="20"/>
        </w:rPr>
        <w:t>conclusion about the link between legal representation and hearing outcomes</w:t>
      </w:r>
      <w:r w:rsidRPr="004B028A">
        <w:rPr>
          <w:rFonts w:ascii="Arial" w:hAnsi="Arial" w:cs="Arial"/>
          <w:sz w:val="20"/>
          <w:szCs w:val="20"/>
        </w:rPr>
        <w:t>.</w:t>
      </w:r>
    </w:p>
    <w:p w14:paraId="0B76D9AE" w14:textId="77777777" w:rsidR="00091A22" w:rsidRDefault="00091A22" w:rsidP="00091A22">
      <w:pPr>
        <w:jc w:val="both"/>
        <w:rPr>
          <w:rFonts w:ascii="Arial" w:hAnsi="Arial" w:cs="Arial"/>
          <w:sz w:val="20"/>
          <w:szCs w:val="20"/>
        </w:rPr>
      </w:pPr>
    </w:p>
    <w:p w14:paraId="6989AB92" w14:textId="61B58CDC" w:rsidR="00091A22" w:rsidRPr="00B051C9" w:rsidRDefault="000A5C18" w:rsidP="00091A22">
      <w:pPr>
        <w:jc w:val="both"/>
        <w:rPr>
          <w:rFonts w:ascii="Arial" w:hAnsi="Arial" w:cs="Arial"/>
          <w:b/>
          <w:sz w:val="20"/>
          <w:szCs w:val="20"/>
        </w:rPr>
      </w:pPr>
      <w:r>
        <w:rPr>
          <w:rFonts w:ascii="Arial" w:hAnsi="Arial" w:cs="Arial"/>
          <w:b/>
          <w:sz w:val="20"/>
          <w:szCs w:val="20"/>
        </w:rPr>
        <w:t xml:space="preserve">3.2  </w:t>
      </w:r>
      <w:r w:rsidR="00091A22" w:rsidRPr="00B051C9">
        <w:rPr>
          <w:rFonts w:ascii="Arial" w:hAnsi="Arial" w:cs="Arial"/>
          <w:b/>
          <w:sz w:val="20"/>
          <w:szCs w:val="20"/>
        </w:rPr>
        <w:t xml:space="preserve">Data for legal representation and hearing outcomes in the Victorian Mental Health Tribunal </w:t>
      </w:r>
      <w:r>
        <w:rPr>
          <w:rFonts w:ascii="Arial" w:hAnsi="Arial" w:cs="Arial"/>
          <w:b/>
          <w:sz w:val="20"/>
          <w:szCs w:val="20"/>
        </w:rPr>
        <w:t>and New South Wales and Queensland Mental Health Review Tribunals</w:t>
      </w:r>
    </w:p>
    <w:p w14:paraId="6187E531" w14:textId="77777777" w:rsidR="00091A22" w:rsidRDefault="00091A22" w:rsidP="00091A22">
      <w:pPr>
        <w:jc w:val="both"/>
        <w:rPr>
          <w:rFonts w:ascii="Arial" w:hAnsi="Arial" w:cs="Arial"/>
          <w:sz w:val="20"/>
          <w:szCs w:val="20"/>
        </w:rPr>
      </w:pPr>
    </w:p>
    <w:p w14:paraId="35706AE2" w14:textId="6EB0EF1B" w:rsidR="00091A22" w:rsidRDefault="002B7822" w:rsidP="00091A22">
      <w:pPr>
        <w:jc w:val="both"/>
        <w:rPr>
          <w:rFonts w:ascii="Arial" w:hAnsi="Arial" w:cs="Arial"/>
          <w:sz w:val="20"/>
          <w:szCs w:val="20"/>
        </w:rPr>
      </w:pPr>
      <w:r>
        <w:rPr>
          <w:rFonts w:ascii="Arial" w:hAnsi="Arial" w:cs="Arial"/>
          <w:sz w:val="20"/>
          <w:szCs w:val="20"/>
        </w:rPr>
        <w:t>The a</w:t>
      </w:r>
      <w:r w:rsidR="00091A22">
        <w:rPr>
          <w:rFonts w:ascii="Arial" w:hAnsi="Arial" w:cs="Arial"/>
          <w:sz w:val="20"/>
          <w:szCs w:val="20"/>
        </w:rPr>
        <w:t xml:space="preserve">ppendix </w:t>
      </w:r>
      <w:r>
        <w:rPr>
          <w:rFonts w:ascii="Arial" w:hAnsi="Arial" w:cs="Arial"/>
          <w:sz w:val="20"/>
          <w:szCs w:val="20"/>
        </w:rPr>
        <w:t>to this submission</w:t>
      </w:r>
      <w:r w:rsidR="00091A22">
        <w:rPr>
          <w:rFonts w:ascii="Arial" w:hAnsi="Arial" w:cs="Arial"/>
          <w:sz w:val="20"/>
          <w:szCs w:val="20"/>
        </w:rPr>
        <w:t xml:space="preserve"> contains data that the Tribunal has been able to extract from its case management system and other sources that may assist the Productivity Commission’s inquiry.  The data relating to Victorian hearing outcomes has been separated into outcomes for Treatment Order hearings and outcomes for ECT Order hearings and is further broken down to express outcomes by reference to consumer attendance</w:t>
      </w:r>
      <w:r w:rsidR="00442BC2">
        <w:rPr>
          <w:rFonts w:ascii="Arial" w:hAnsi="Arial" w:cs="Arial"/>
          <w:sz w:val="20"/>
          <w:szCs w:val="20"/>
        </w:rPr>
        <w:t xml:space="preserve"> or </w:t>
      </w:r>
      <w:r w:rsidR="00787885">
        <w:rPr>
          <w:rFonts w:ascii="Arial" w:hAnsi="Arial" w:cs="Arial"/>
          <w:sz w:val="20"/>
          <w:szCs w:val="20"/>
        </w:rPr>
        <w:t>non-attendance</w:t>
      </w:r>
      <w:r w:rsidR="00091A22">
        <w:rPr>
          <w:rFonts w:ascii="Arial" w:hAnsi="Arial" w:cs="Arial"/>
          <w:sz w:val="20"/>
          <w:szCs w:val="20"/>
        </w:rPr>
        <w:t>, and outcomes where the consumer attends and is represented by a lawyer.  As noted above, the Tribunal’s view is that it is the participation of the consumer that is the most critical variable in terms of hearing outcomes.</w:t>
      </w:r>
    </w:p>
    <w:p w14:paraId="34C13106" w14:textId="77777777" w:rsidR="00091A22" w:rsidRDefault="00091A22" w:rsidP="00091A22">
      <w:pPr>
        <w:jc w:val="both"/>
        <w:rPr>
          <w:rFonts w:ascii="Arial" w:hAnsi="Arial" w:cs="Arial"/>
          <w:sz w:val="20"/>
          <w:szCs w:val="20"/>
        </w:rPr>
      </w:pPr>
    </w:p>
    <w:p w14:paraId="2A463649" w14:textId="14D1C17E" w:rsidR="00091A22" w:rsidRDefault="00091A22" w:rsidP="00091A22">
      <w:pPr>
        <w:jc w:val="both"/>
        <w:rPr>
          <w:rFonts w:ascii="Arial" w:hAnsi="Arial" w:cs="Arial"/>
          <w:sz w:val="20"/>
          <w:szCs w:val="20"/>
        </w:rPr>
      </w:pPr>
      <w:r w:rsidRPr="004B028A">
        <w:rPr>
          <w:rFonts w:ascii="Arial" w:hAnsi="Arial" w:cs="Arial"/>
          <w:sz w:val="20"/>
          <w:szCs w:val="20"/>
        </w:rPr>
        <w:t>We have also included data from N</w:t>
      </w:r>
      <w:r w:rsidR="00FF2F6A">
        <w:rPr>
          <w:rFonts w:ascii="Arial" w:hAnsi="Arial" w:cs="Arial"/>
          <w:sz w:val="20"/>
          <w:szCs w:val="20"/>
        </w:rPr>
        <w:t xml:space="preserve">ew </w:t>
      </w:r>
      <w:r w:rsidRPr="004B028A">
        <w:rPr>
          <w:rFonts w:ascii="Arial" w:hAnsi="Arial" w:cs="Arial"/>
          <w:sz w:val="20"/>
          <w:szCs w:val="20"/>
        </w:rPr>
        <w:t>S</w:t>
      </w:r>
      <w:r w:rsidR="00FF2F6A">
        <w:rPr>
          <w:rFonts w:ascii="Arial" w:hAnsi="Arial" w:cs="Arial"/>
          <w:sz w:val="20"/>
          <w:szCs w:val="20"/>
        </w:rPr>
        <w:t xml:space="preserve">outh </w:t>
      </w:r>
      <w:r w:rsidRPr="004B028A">
        <w:rPr>
          <w:rFonts w:ascii="Arial" w:hAnsi="Arial" w:cs="Arial"/>
          <w:sz w:val="20"/>
          <w:szCs w:val="20"/>
        </w:rPr>
        <w:t>W</w:t>
      </w:r>
      <w:r w:rsidR="00FF2F6A">
        <w:rPr>
          <w:rFonts w:ascii="Arial" w:hAnsi="Arial" w:cs="Arial"/>
          <w:sz w:val="20"/>
          <w:szCs w:val="20"/>
        </w:rPr>
        <w:t>ales</w:t>
      </w:r>
      <w:r w:rsidRPr="004B028A">
        <w:rPr>
          <w:rFonts w:ascii="Arial" w:hAnsi="Arial" w:cs="Arial"/>
          <w:sz w:val="20"/>
          <w:szCs w:val="20"/>
        </w:rPr>
        <w:t xml:space="preserve"> and Queensland regarding hearing outcomes, the relevant levels of legal representation in those hearings, and the Victorian equivalent for the past two years.  The Tribunal has consulted with the N</w:t>
      </w:r>
      <w:r w:rsidR="00FF2F6A">
        <w:rPr>
          <w:rFonts w:ascii="Arial" w:hAnsi="Arial" w:cs="Arial"/>
          <w:sz w:val="20"/>
          <w:szCs w:val="20"/>
        </w:rPr>
        <w:t xml:space="preserve">ew </w:t>
      </w:r>
      <w:r w:rsidRPr="004B028A">
        <w:rPr>
          <w:rFonts w:ascii="Arial" w:hAnsi="Arial" w:cs="Arial"/>
          <w:sz w:val="20"/>
          <w:szCs w:val="20"/>
        </w:rPr>
        <w:t>S</w:t>
      </w:r>
      <w:r w:rsidR="00FF2F6A">
        <w:rPr>
          <w:rFonts w:ascii="Arial" w:hAnsi="Arial" w:cs="Arial"/>
          <w:sz w:val="20"/>
          <w:szCs w:val="20"/>
        </w:rPr>
        <w:t xml:space="preserve">outh </w:t>
      </w:r>
      <w:r w:rsidRPr="004B028A">
        <w:rPr>
          <w:rFonts w:ascii="Arial" w:hAnsi="Arial" w:cs="Arial"/>
          <w:sz w:val="20"/>
          <w:szCs w:val="20"/>
        </w:rPr>
        <w:t>W</w:t>
      </w:r>
      <w:r w:rsidR="00FF2F6A">
        <w:rPr>
          <w:rFonts w:ascii="Arial" w:hAnsi="Arial" w:cs="Arial"/>
          <w:sz w:val="20"/>
          <w:szCs w:val="20"/>
        </w:rPr>
        <w:t>ales</w:t>
      </w:r>
      <w:r w:rsidRPr="004B028A">
        <w:rPr>
          <w:rFonts w:ascii="Arial" w:hAnsi="Arial" w:cs="Arial"/>
          <w:sz w:val="20"/>
          <w:szCs w:val="20"/>
        </w:rPr>
        <w:t xml:space="preserve"> and Queensland Mental Health Review Tribunals to confirm that our interpretation of their published statistics is accurate and that our proposed Victorian equivalent is valid, taking into account the </w:t>
      </w:r>
      <w:r w:rsidR="004C5EDC" w:rsidRPr="004B028A">
        <w:rPr>
          <w:rFonts w:ascii="Arial" w:hAnsi="Arial" w:cs="Arial"/>
          <w:sz w:val="20"/>
          <w:szCs w:val="20"/>
        </w:rPr>
        <w:t>differences</w:t>
      </w:r>
      <w:r w:rsidRPr="004B028A">
        <w:rPr>
          <w:rFonts w:ascii="Arial" w:hAnsi="Arial" w:cs="Arial"/>
          <w:sz w:val="20"/>
          <w:szCs w:val="20"/>
        </w:rPr>
        <w:t xml:space="preserve"> between the legislation and hearing procedures in each jurisdiction.</w:t>
      </w:r>
    </w:p>
    <w:p w14:paraId="3ECC8545" w14:textId="77777777" w:rsidR="00AA3E1D" w:rsidRDefault="00AA3E1D" w:rsidP="00091A22">
      <w:pPr>
        <w:jc w:val="both"/>
        <w:rPr>
          <w:rFonts w:ascii="Arial" w:hAnsi="Arial" w:cs="Arial"/>
          <w:sz w:val="20"/>
          <w:szCs w:val="20"/>
        </w:rPr>
        <w:sectPr w:rsidR="00AA3E1D" w:rsidSect="007C3DF2">
          <w:footerReference w:type="default" r:id="rId9"/>
          <w:headerReference w:type="first" r:id="rId10"/>
          <w:footerReference w:type="first" r:id="rId11"/>
          <w:pgSz w:w="11900" w:h="16840"/>
          <w:pgMar w:top="1528" w:right="1418" w:bottom="1134" w:left="1134" w:header="0" w:footer="709" w:gutter="0"/>
          <w:cols w:space="708"/>
          <w:titlePg/>
          <w:docGrid w:linePitch="360"/>
        </w:sectPr>
      </w:pPr>
    </w:p>
    <w:p w14:paraId="629D4F08" w14:textId="11066E92" w:rsidR="00091A22" w:rsidRDefault="00091A22" w:rsidP="00091A22">
      <w:pPr>
        <w:jc w:val="both"/>
        <w:rPr>
          <w:rFonts w:ascii="Arial" w:hAnsi="Arial" w:cs="Arial"/>
          <w:sz w:val="20"/>
          <w:szCs w:val="20"/>
        </w:rPr>
      </w:pPr>
    </w:p>
    <w:p w14:paraId="09239A11" w14:textId="77777777" w:rsidR="00091A22" w:rsidRDefault="00091A22" w:rsidP="00091A22">
      <w:pPr>
        <w:jc w:val="both"/>
        <w:rPr>
          <w:rFonts w:ascii="Arial" w:hAnsi="Arial" w:cs="Arial"/>
          <w:b/>
          <w:sz w:val="20"/>
          <w:szCs w:val="20"/>
        </w:rPr>
      </w:pPr>
      <w:r>
        <w:rPr>
          <w:rFonts w:ascii="Arial" w:hAnsi="Arial" w:cs="Arial"/>
          <w:b/>
          <w:sz w:val="20"/>
          <w:szCs w:val="20"/>
        </w:rPr>
        <w:t>APPENDIX 1</w:t>
      </w:r>
    </w:p>
    <w:p w14:paraId="35DA40DD" w14:textId="77777777" w:rsidR="00091A22" w:rsidRDefault="00091A22" w:rsidP="00091A22">
      <w:pPr>
        <w:jc w:val="both"/>
        <w:rPr>
          <w:rFonts w:ascii="Arial" w:hAnsi="Arial" w:cs="Arial"/>
          <w:b/>
          <w:sz w:val="20"/>
          <w:szCs w:val="20"/>
        </w:rPr>
      </w:pPr>
    </w:p>
    <w:p w14:paraId="10F72B17" w14:textId="77777777" w:rsidR="00091A22" w:rsidRDefault="00091A22" w:rsidP="00091A22">
      <w:pPr>
        <w:jc w:val="both"/>
        <w:rPr>
          <w:rFonts w:ascii="Arial" w:hAnsi="Arial" w:cs="Arial"/>
          <w:b/>
          <w:sz w:val="20"/>
          <w:szCs w:val="20"/>
        </w:rPr>
      </w:pPr>
    </w:p>
    <w:p w14:paraId="753CCBCC" w14:textId="7E421A32" w:rsidR="00091A22" w:rsidRPr="00B32B7B" w:rsidRDefault="00091A22" w:rsidP="00091A22">
      <w:pPr>
        <w:jc w:val="both"/>
        <w:rPr>
          <w:rFonts w:ascii="Arial" w:hAnsi="Arial" w:cs="Arial"/>
          <w:b/>
          <w:sz w:val="20"/>
          <w:szCs w:val="20"/>
        </w:rPr>
      </w:pPr>
      <w:r>
        <w:rPr>
          <w:rFonts w:ascii="Arial" w:hAnsi="Arial" w:cs="Arial"/>
          <w:b/>
          <w:sz w:val="20"/>
          <w:szCs w:val="20"/>
        </w:rPr>
        <w:t>Table 1:</w:t>
      </w:r>
      <w:r w:rsidR="00C659B5">
        <w:rPr>
          <w:rFonts w:ascii="Arial" w:hAnsi="Arial" w:cs="Arial"/>
          <w:b/>
          <w:sz w:val="20"/>
          <w:szCs w:val="20"/>
        </w:rPr>
        <w:tab/>
      </w:r>
      <w:r>
        <w:rPr>
          <w:rFonts w:ascii="Arial" w:hAnsi="Arial" w:cs="Arial"/>
          <w:b/>
          <w:sz w:val="20"/>
          <w:szCs w:val="20"/>
        </w:rPr>
        <w:t xml:space="preserve">Legal </w:t>
      </w:r>
      <w:r w:rsidR="00272900">
        <w:rPr>
          <w:rFonts w:ascii="Arial" w:hAnsi="Arial" w:cs="Arial"/>
          <w:b/>
          <w:sz w:val="20"/>
          <w:szCs w:val="20"/>
        </w:rPr>
        <w:t>r</w:t>
      </w:r>
      <w:r>
        <w:rPr>
          <w:rFonts w:ascii="Arial" w:hAnsi="Arial" w:cs="Arial"/>
          <w:b/>
          <w:sz w:val="20"/>
          <w:szCs w:val="20"/>
        </w:rPr>
        <w:t>epresentation in Victorian Mental Health Tribunal hearings</w:t>
      </w:r>
    </w:p>
    <w:p w14:paraId="34164606" w14:textId="23234F13" w:rsidR="00091A22" w:rsidRDefault="00091A22" w:rsidP="00091A22">
      <w:pPr>
        <w:jc w:val="both"/>
        <w:rPr>
          <w:rFonts w:ascii="Arial" w:hAnsi="Arial" w:cs="Arial"/>
          <w:sz w:val="20"/>
          <w:szCs w:val="20"/>
        </w:rPr>
      </w:pPr>
    </w:p>
    <w:p w14:paraId="1C9D5017" w14:textId="77777777" w:rsidR="00883D7B" w:rsidRDefault="00883D7B" w:rsidP="00091A22">
      <w:pPr>
        <w:jc w:val="both"/>
        <w:rPr>
          <w:rFonts w:ascii="Arial" w:hAnsi="Arial" w:cs="Arial"/>
          <w:sz w:val="20"/>
          <w:szCs w:val="20"/>
        </w:rPr>
      </w:pPr>
    </w:p>
    <w:p w14:paraId="4B915599" w14:textId="5D339978" w:rsidR="00D16A7D" w:rsidRDefault="00D16A7D" w:rsidP="00091A22">
      <w:pPr>
        <w:jc w:val="both"/>
        <w:rPr>
          <w:rFonts w:ascii="Arial" w:hAnsi="Arial" w:cs="Arial"/>
          <w:sz w:val="20"/>
          <w:szCs w:val="20"/>
        </w:rPr>
      </w:pPr>
      <w:r>
        <w:rPr>
          <w:rFonts w:ascii="Arial" w:hAnsi="Arial" w:cs="Arial"/>
          <w:sz w:val="20"/>
          <w:szCs w:val="20"/>
        </w:rPr>
        <w:t>N = hearings conducted in which a final determination was made.</w:t>
      </w:r>
    </w:p>
    <w:p w14:paraId="1F937839" w14:textId="644A5A13" w:rsidR="00D16A7D" w:rsidRDefault="00D16A7D" w:rsidP="00091A22">
      <w:pPr>
        <w:jc w:val="both"/>
        <w:rPr>
          <w:rFonts w:ascii="Arial" w:hAnsi="Arial" w:cs="Arial"/>
          <w:sz w:val="20"/>
          <w:szCs w:val="20"/>
        </w:rPr>
      </w:pPr>
      <w:r>
        <w:rPr>
          <w:rFonts w:ascii="Arial" w:hAnsi="Arial" w:cs="Arial"/>
          <w:sz w:val="20"/>
          <w:szCs w:val="20"/>
        </w:rPr>
        <w:t>n = hearings in which the consumer was legally represented.</w:t>
      </w:r>
    </w:p>
    <w:p w14:paraId="534F1FB9" w14:textId="77777777" w:rsidR="00D16A7D" w:rsidRDefault="00D16A7D" w:rsidP="00091A22">
      <w:pPr>
        <w:jc w:val="both"/>
        <w:rPr>
          <w:rFonts w:ascii="Arial" w:hAnsi="Arial" w:cs="Arial"/>
          <w:sz w:val="20"/>
          <w:szCs w:val="20"/>
        </w:rPr>
      </w:pPr>
    </w:p>
    <w:tbl>
      <w:tblPr>
        <w:tblStyle w:val="TableGrid"/>
        <w:tblW w:w="15446" w:type="dxa"/>
        <w:tblLook w:val="04A0" w:firstRow="1" w:lastRow="0" w:firstColumn="1" w:lastColumn="0" w:noHBand="0" w:noVBand="1"/>
      </w:tblPr>
      <w:tblGrid>
        <w:gridCol w:w="2835"/>
        <w:gridCol w:w="1288"/>
        <w:gridCol w:w="1288"/>
        <w:gridCol w:w="1288"/>
        <w:gridCol w:w="1288"/>
        <w:gridCol w:w="1288"/>
        <w:gridCol w:w="1288"/>
        <w:gridCol w:w="1288"/>
        <w:gridCol w:w="1288"/>
        <w:gridCol w:w="1288"/>
        <w:gridCol w:w="1019"/>
      </w:tblGrid>
      <w:tr w:rsidR="00337B32" w14:paraId="1AA2A3EE" w14:textId="7B391A23" w:rsidTr="004B028A">
        <w:tc>
          <w:tcPr>
            <w:tcW w:w="2835" w:type="dxa"/>
            <w:vMerge w:val="restart"/>
          </w:tcPr>
          <w:p w14:paraId="6069A1AE" w14:textId="77777777" w:rsidR="00337B32" w:rsidRDefault="00337B32" w:rsidP="00091A22">
            <w:pPr>
              <w:jc w:val="both"/>
              <w:rPr>
                <w:rFonts w:ascii="Arial" w:hAnsi="Arial" w:cs="Arial"/>
                <w:sz w:val="20"/>
                <w:szCs w:val="20"/>
              </w:rPr>
            </w:pPr>
          </w:p>
        </w:tc>
        <w:tc>
          <w:tcPr>
            <w:tcW w:w="2576" w:type="dxa"/>
            <w:gridSpan w:val="2"/>
          </w:tcPr>
          <w:p w14:paraId="657A418A" w14:textId="77777777" w:rsidR="00337B32" w:rsidRDefault="005D0EE3" w:rsidP="00CC607A">
            <w:pPr>
              <w:jc w:val="center"/>
              <w:rPr>
                <w:rFonts w:ascii="Arial" w:hAnsi="Arial" w:cs="Arial"/>
                <w:b/>
                <w:sz w:val="20"/>
                <w:szCs w:val="20"/>
              </w:rPr>
            </w:pPr>
            <w:r>
              <w:rPr>
                <w:rFonts w:ascii="Arial" w:hAnsi="Arial" w:cs="Arial"/>
                <w:b/>
                <w:sz w:val="20"/>
                <w:szCs w:val="20"/>
              </w:rPr>
              <w:t>2014/15</w:t>
            </w:r>
          </w:p>
          <w:p w14:paraId="10A57E70" w14:textId="63668888" w:rsidR="00122AA1" w:rsidRPr="00EA0EED" w:rsidRDefault="00AE3317" w:rsidP="00CC607A">
            <w:pPr>
              <w:jc w:val="center"/>
              <w:rPr>
                <w:rFonts w:ascii="Arial" w:hAnsi="Arial" w:cs="Arial"/>
                <w:b/>
                <w:sz w:val="20"/>
                <w:szCs w:val="20"/>
              </w:rPr>
            </w:pPr>
            <w:r>
              <w:rPr>
                <w:rFonts w:ascii="Arial" w:hAnsi="Arial" w:cs="Arial"/>
                <w:b/>
                <w:sz w:val="20"/>
                <w:szCs w:val="20"/>
              </w:rPr>
              <w:t>(</w:t>
            </w:r>
            <w:r w:rsidR="00D16A7D">
              <w:rPr>
                <w:rFonts w:ascii="Arial" w:hAnsi="Arial" w:cs="Arial"/>
                <w:b/>
                <w:sz w:val="20"/>
                <w:szCs w:val="20"/>
              </w:rPr>
              <w:t xml:space="preserve">N = </w:t>
            </w:r>
            <w:r>
              <w:rPr>
                <w:rFonts w:ascii="Arial" w:hAnsi="Arial" w:cs="Arial"/>
                <w:b/>
                <w:sz w:val="20"/>
                <w:szCs w:val="20"/>
              </w:rPr>
              <w:t>6</w:t>
            </w:r>
            <w:r w:rsidR="00447E4C">
              <w:rPr>
                <w:rFonts w:ascii="Arial" w:hAnsi="Arial" w:cs="Arial"/>
                <w:b/>
                <w:sz w:val="20"/>
                <w:szCs w:val="20"/>
              </w:rPr>
              <w:t>182</w:t>
            </w:r>
            <w:r>
              <w:rPr>
                <w:rFonts w:ascii="Arial" w:hAnsi="Arial" w:cs="Arial"/>
                <w:b/>
                <w:sz w:val="20"/>
                <w:szCs w:val="20"/>
              </w:rPr>
              <w:t xml:space="preserve"> hearings)</w:t>
            </w:r>
          </w:p>
        </w:tc>
        <w:tc>
          <w:tcPr>
            <w:tcW w:w="2576" w:type="dxa"/>
            <w:gridSpan w:val="2"/>
          </w:tcPr>
          <w:p w14:paraId="71B4B915" w14:textId="77777777" w:rsidR="00337B32" w:rsidRDefault="005D0EE3" w:rsidP="00CC607A">
            <w:pPr>
              <w:jc w:val="center"/>
              <w:rPr>
                <w:rFonts w:ascii="Arial" w:hAnsi="Arial" w:cs="Arial"/>
                <w:b/>
                <w:sz w:val="20"/>
                <w:szCs w:val="20"/>
              </w:rPr>
            </w:pPr>
            <w:r>
              <w:rPr>
                <w:rFonts w:ascii="Arial" w:hAnsi="Arial" w:cs="Arial"/>
                <w:b/>
                <w:sz w:val="20"/>
                <w:szCs w:val="20"/>
              </w:rPr>
              <w:t>2015/</w:t>
            </w:r>
            <w:r w:rsidR="002C2454">
              <w:rPr>
                <w:rFonts w:ascii="Arial" w:hAnsi="Arial" w:cs="Arial"/>
                <w:b/>
                <w:sz w:val="20"/>
                <w:szCs w:val="20"/>
              </w:rPr>
              <w:t>16</w:t>
            </w:r>
          </w:p>
          <w:p w14:paraId="15F94483" w14:textId="422FAE31" w:rsidR="00AE3317" w:rsidRPr="00EA0EED" w:rsidRDefault="00963F05" w:rsidP="00CC607A">
            <w:pPr>
              <w:jc w:val="center"/>
              <w:rPr>
                <w:rFonts w:ascii="Arial" w:hAnsi="Arial" w:cs="Arial"/>
                <w:b/>
                <w:sz w:val="20"/>
                <w:szCs w:val="20"/>
              </w:rPr>
            </w:pPr>
            <w:r>
              <w:rPr>
                <w:rFonts w:ascii="Arial" w:hAnsi="Arial" w:cs="Arial"/>
                <w:b/>
                <w:sz w:val="20"/>
                <w:szCs w:val="20"/>
              </w:rPr>
              <w:t>(</w:t>
            </w:r>
            <w:r w:rsidR="00D16A7D">
              <w:rPr>
                <w:rFonts w:ascii="Arial" w:hAnsi="Arial" w:cs="Arial"/>
                <w:b/>
                <w:sz w:val="20"/>
                <w:szCs w:val="20"/>
              </w:rPr>
              <w:t xml:space="preserve">N = </w:t>
            </w:r>
            <w:r>
              <w:rPr>
                <w:rFonts w:ascii="Arial" w:hAnsi="Arial" w:cs="Arial"/>
                <w:b/>
                <w:sz w:val="20"/>
                <w:szCs w:val="20"/>
              </w:rPr>
              <w:t>68</w:t>
            </w:r>
            <w:r w:rsidR="00D16A7D">
              <w:rPr>
                <w:rFonts w:ascii="Arial" w:hAnsi="Arial" w:cs="Arial"/>
                <w:b/>
                <w:sz w:val="20"/>
                <w:szCs w:val="20"/>
              </w:rPr>
              <w:t>71</w:t>
            </w:r>
            <w:r>
              <w:rPr>
                <w:rFonts w:ascii="Arial" w:hAnsi="Arial" w:cs="Arial"/>
                <w:b/>
                <w:sz w:val="20"/>
                <w:szCs w:val="20"/>
              </w:rPr>
              <w:t xml:space="preserve"> hearings)</w:t>
            </w:r>
          </w:p>
        </w:tc>
        <w:tc>
          <w:tcPr>
            <w:tcW w:w="2576" w:type="dxa"/>
            <w:gridSpan w:val="2"/>
          </w:tcPr>
          <w:p w14:paraId="1B766E31" w14:textId="77777777" w:rsidR="00337B32" w:rsidRDefault="002C2454" w:rsidP="00CC607A">
            <w:pPr>
              <w:jc w:val="center"/>
              <w:rPr>
                <w:rFonts w:ascii="Arial" w:hAnsi="Arial" w:cs="Arial"/>
                <w:b/>
                <w:sz w:val="20"/>
                <w:szCs w:val="20"/>
              </w:rPr>
            </w:pPr>
            <w:r>
              <w:rPr>
                <w:rFonts w:ascii="Arial" w:hAnsi="Arial" w:cs="Arial"/>
                <w:b/>
                <w:sz w:val="20"/>
                <w:szCs w:val="20"/>
              </w:rPr>
              <w:t>2016/17</w:t>
            </w:r>
          </w:p>
          <w:p w14:paraId="47E07121" w14:textId="51031C2A" w:rsidR="00D16A7D" w:rsidRPr="00EA0EED" w:rsidRDefault="00D16A7D" w:rsidP="00CC607A">
            <w:pPr>
              <w:jc w:val="center"/>
              <w:rPr>
                <w:rFonts w:ascii="Arial" w:hAnsi="Arial" w:cs="Arial"/>
                <w:b/>
                <w:sz w:val="20"/>
                <w:szCs w:val="20"/>
              </w:rPr>
            </w:pPr>
            <w:r>
              <w:rPr>
                <w:rFonts w:ascii="Arial" w:hAnsi="Arial" w:cs="Arial"/>
                <w:b/>
                <w:sz w:val="20"/>
                <w:szCs w:val="20"/>
              </w:rPr>
              <w:t>(N = 7198 hearings)</w:t>
            </w:r>
          </w:p>
        </w:tc>
        <w:tc>
          <w:tcPr>
            <w:tcW w:w="2576" w:type="dxa"/>
            <w:gridSpan w:val="2"/>
          </w:tcPr>
          <w:p w14:paraId="210364A4" w14:textId="77777777" w:rsidR="00337B32" w:rsidRDefault="002C2454" w:rsidP="00CC607A">
            <w:pPr>
              <w:jc w:val="center"/>
              <w:rPr>
                <w:rFonts w:ascii="Arial" w:hAnsi="Arial" w:cs="Arial"/>
                <w:b/>
                <w:sz w:val="20"/>
                <w:szCs w:val="20"/>
              </w:rPr>
            </w:pPr>
            <w:r>
              <w:rPr>
                <w:rFonts w:ascii="Arial" w:hAnsi="Arial" w:cs="Arial"/>
                <w:b/>
                <w:sz w:val="20"/>
                <w:szCs w:val="20"/>
              </w:rPr>
              <w:t>2017/18</w:t>
            </w:r>
          </w:p>
          <w:p w14:paraId="07FA9CB7" w14:textId="39F65D67" w:rsidR="00D16A7D" w:rsidRPr="00EA0EED" w:rsidRDefault="00D16A7D" w:rsidP="00CC607A">
            <w:pPr>
              <w:jc w:val="center"/>
              <w:rPr>
                <w:rFonts w:ascii="Arial" w:hAnsi="Arial" w:cs="Arial"/>
                <w:b/>
                <w:sz w:val="20"/>
                <w:szCs w:val="20"/>
              </w:rPr>
            </w:pPr>
            <w:r>
              <w:rPr>
                <w:rFonts w:ascii="Arial" w:hAnsi="Arial" w:cs="Arial"/>
                <w:b/>
                <w:sz w:val="20"/>
                <w:szCs w:val="20"/>
              </w:rPr>
              <w:t>(N = 7520 hearings)</w:t>
            </w:r>
          </w:p>
        </w:tc>
        <w:tc>
          <w:tcPr>
            <w:tcW w:w="2307" w:type="dxa"/>
            <w:gridSpan w:val="2"/>
          </w:tcPr>
          <w:p w14:paraId="6FECC694" w14:textId="77777777" w:rsidR="00337B32" w:rsidRDefault="002C2454" w:rsidP="00CC607A">
            <w:pPr>
              <w:jc w:val="center"/>
              <w:rPr>
                <w:rFonts w:ascii="Arial" w:hAnsi="Arial" w:cs="Arial"/>
                <w:b/>
                <w:sz w:val="20"/>
                <w:szCs w:val="20"/>
              </w:rPr>
            </w:pPr>
            <w:r>
              <w:rPr>
                <w:rFonts w:ascii="Arial" w:hAnsi="Arial" w:cs="Arial"/>
                <w:b/>
                <w:sz w:val="20"/>
                <w:szCs w:val="20"/>
              </w:rPr>
              <w:t>2018/19</w:t>
            </w:r>
          </w:p>
          <w:p w14:paraId="58ACA4ED" w14:textId="68F24DD2" w:rsidR="00D16A7D" w:rsidRPr="00EA0EED" w:rsidRDefault="00D16A7D" w:rsidP="00CC607A">
            <w:pPr>
              <w:jc w:val="center"/>
              <w:rPr>
                <w:rFonts w:ascii="Arial" w:hAnsi="Arial" w:cs="Arial"/>
                <w:b/>
                <w:sz w:val="20"/>
                <w:szCs w:val="20"/>
              </w:rPr>
            </w:pPr>
            <w:r>
              <w:rPr>
                <w:rFonts w:ascii="Arial" w:hAnsi="Arial" w:cs="Arial"/>
                <w:b/>
                <w:sz w:val="20"/>
                <w:szCs w:val="20"/>
              </w:rPr>
              <w:t>(N = 7751 hearings)</w:t>
            </w:r>
          </w:p>
        </w:tc>
      </w:tr>
      <w:tr w:rsidR="00337B32" w14:paraId="7EE27DAB" w14:textId="72400DCF" w:rsidTr="004B028A">
        <w:tc>
          <w:tcPr>
            <w:tcW w:w="2835" w:type="dxa"/>
            <w:vMerge/>
          </w:tcPr>
          <w:p w14:paraId="6C779010" w14:textId="77777777" w:rsidR="00337B32" w:rsidRDefault="00337B32" w:rsidP="00091A22">
            <w:pPr>
              <w:jc w:val="both"/>
              <w:rPr>
                <w:rFonts w:ascii="Arial" w:hAnsi="Arial" w:cs="Arial"/>
                <w:sz w:val="20"/>
                <w:szCs w:val="20"/>
              </w:rPr>
            </w:pPr>
          </w:p>
        </w:tc>
        <w:tc>
          <w:tcPr>
            <w:tcW w:w="1288" w:type="dxa"/>
          </w:tcPr>
          <w:p w14:paraId="41DEB544" w14:textId="33DA09D5" w:rsidR="00337B32" w:rsidRPr="00EA0EED" w:rsidRDefault="0081412A" w:rsidP="00CC607A">
            <w:pPr>
              <w:jc w:val="center"/>
              <w:rPr>
                <w:rFonts w:ascii="Arial" w:hAnsi="Arial" w:cs="Arial"/>
                <w:b/>
                <w:sz w:val="20"/>
                <w:szCs w:val="20"/>
              </w:rPr>
            </w:pPr>
            <w:r>
              <w:rPr>
                <w:rFonts w:ascii="Arial" w:hAnsi="Arial" w:cs="Arial"/>
                <w:b/>
                <w:sz w:val="20"/>
                <w:szCs w:val="20"/>
              </w:rPr>
              <w:t>n</w:t>
            </w:r>
          </w:p>
        </w:tc>
        <w:tc>
          <w:tcPr>
            <w:tcW w:w="1288" w:type="dxa"/>
          </w:tcPr>
          <w:p w14:paraId="17DCCA7F" w14:textId="13C63236" w:rsidR="00337B32" w:rsidRPr="00EA0EED" w:rsidRDefault="00973FE9" w:rsidP="00CC607A">
            <w:pPr>
              <w:jc w:val="center"/>
              <w:rPr>
                <w:rFonts w:ascii="Arial" w:hAnsi="Arial" w:cs="Arial"/>
                <w:b/>
                <w:sz w:val="20"/>
                <w:szCs w:val="20"/>
              </w:rPr>
            </w:pPr>
            <w:r>
              <w:rPr>
                <w:rFonts w:ascii="Arial" w:hAnsi="Arial" w:cs="Arial"/>
                <w:b/>
                <w:sz w:val="20"/>
                <w:szCs w:val="20"/>
              </w:rPr>
              <w:t>%</w:t>
            </w:r>
          </w:p>
        </w:tc>
        <w:tc>
          <w:tcPr>
            <w:tcW w:w="1288" w:type="dxa"/>
          </w:tcPr>
          <w:p w14:paraId="0C5126FB" w14:textId="3580FF82" w:rsidR="00337B32" w:rsidRPr="00EA0EED" w:rsidRDefault="00973FE9" w:rsidP="00CC607A">
            <w:pPr>
              <w:jc w:val="center"/>
              <w:rPr>
                <w:rFonts w:ascii="Arial" w:hAnsi="Arial" w:cs="Arial"/>
                <w:b/>
                <w:sz w:val="20"/>
                <w:szCs w:val="20"/>
              </w:rPr>
            </w:pPr>
            <w:r>
              <w:rPr>
                <w:rFonts w:ascii="Arial" w:hAnsi="Arial" w:cs="Arial"/>
                <w:b/>
                <w:sz w:val="20"/>
                <w:szCs w:val="20"/>
              </w:rPr>
              <w:t>n</w:t>
            </w:r>
          </w:p>
        </w:tc>
        <w:tc>
          <w:tcPr>
            <w:tcW w:w="1288" w:type="dxa"/>
          </w:tcPr>
          <w:p w14:paraId="2051318B" w14:textId="30D6F96A" w:rsidR="00337B32" w:rsidRPr="00EA0EED" w:rsidRDefault="00973FE9" w:rsidP="00CC607A">
            <w:pPr>
              <w:jc w:val="center"/>
              <w:rPr>
                <w:rFonts w:ascii="Arial" w:hAnsi="Arial" w:cs="Arial"/>
                <w:b/>
                <w:sz w:val="20"/>
                <w:szCs w:val="20"/>
              </w:rPr>
            </w:pPr>
            <w:r>
              <w:rPr>
                <w:rFonts w:ascii="Arial" w:hAnsi="Arial" w:cs="Arial"/>
                <w:b/>
                <w:sz w:val="20"/>
                <w:szCs w:val="20"/>
              </w:rPr>
              <w:t>%</w:t>
            </w:r>
          </w:p>
        </w:tc>
        <w:tc>
          <w:tcPr>
            <w:tcW w:w="1288" w:type="dxa"/>
          </w:tcPr>
          <w:p w14:paraId="65E66A79" w14:textId="398DFF95" w:rsidR="00337B32" w:rsidRPr="00EA0EED" w:rsidRDefault="00973FE9" w:rsidP="00CC607A">
            <w:pPr>
              <w:jc w:val="center"/>
              <w:rPr>
                <w:rFonts w:ascii="Arial" w:hAnsi="Arial" w:cs="Arial"/>
                <w:b/>
                <w:sz w:val="20"/>
                <w:szCs w:val="20"/>
              </w:rPr>
            </w:pPr>
            <w:r>
              <w:rPr>
                <w:rFonts w:ascii="Arial" w:hAnsi="Arial" w:cs="Arial"/>
                <w:b/>
                <w:sz w:val="20"/>
                <w:szCs w:val="20"/>
              </w:rPr>
              <w:t>n</w:t>
            </w:r>
          </w:p>
        </w:tc>
        <w:tc>
          <w:tcPr>
            <w:tcW w:w="1288" w:type="dxa"/>
          </w:tcPr>
          <w:p w14:paraId="538FA103" w14:textId="3751B4A8" w:rsidR="00337B32" w:rsidRPr="00EA0EED" w:rsidRDefault="00F91EF8" w:rsidP="00CC607A">
            <w:pPr>
              <w:jc w:val="center"/>
              <w:rPr>
                <w:rFonts w:ascii="Arial" w:hAnsi="Arial" w:cs="Arial"/>
                <w:b/>
                <w:sz w:val="20"/>
                <w:szCs w:val="20"/>
              </w:rPr>
            </w:pPr>
            <w:r>
              <w:rPr>
                <w:rFonts w:ascii="Arial" w:hAnsi="Arial" w:cs="Arial"/>
                <w:b/>
                <w:sz w:val="20"/>
                <w:szCs w:val="20"/>
              </w:rPr>
              <w:t>%</w:t>
            </w:r>
          </w:p>
        </w:tc>
        <w:tc>
          <w:tcPr>
            <w:tcW w:w="1288" w:type="dxa"/>
          </w:tcPr>
          <w:p w14:paraId="4820CFFF" w14:textId="548C518B" w:rsidR="00337B32" w:rsidRPr="00EA0EED" w:rsidRDefault="00F91EF8" w:rsidP="00CC607A">
            <w:pPr>
              <w:jc w:val="center"/>
              <w:rPr>
                <w:rFonts w:ascii="Arial" w:hAnsi="Arial" w:cs="Arial"/>
                <w:b/>
                <w:sz w:val="20"/>
                <w:szCs w:val="20"/>
              </w:rPr>
            </w:pPr>
            <w:r>
              <w:rPr>
                <w:rFonts w:ascii="Arial" w:hAnsi="Arial" w:cs="Arial"/>
                <w:b/>
                <w:sz w:val="20"/>
                <w:szCs w:val="20"/>
              </w:rPr>
              <w:t>n</w:t>
            </w:r>
          </w:p>
        </w:tc>
        <w:tc>
          <w:tcPr>
            <w:tcW w:w="1288" w:type="dxa"/>
          </w:tcPr>
          <w:p w14:paraId="2DD856A9" w14:textId="68C10293" w:rsidR="00337B32" w:rsidRPr="00EA0EED" w:rsidRDefault="009B1331" w:rsidP="00CC607A">
            <w:pPr>
              <w:jc w:val="center"/>
              <w:rPr>
                <w:rFonts w:ascii="Arial" w:hAnsi="Arial" w:cs="Arial"/>
                <w:b/>
                <w:sz w:val="20"/>
                <w:szCs w:val="20"/>
              </w:rPr>
            </w:pPr>
            <w:r>
              <w:rPr>
                <w:rFonts w:ascii="Arial" w:hAnsi="Arial" w:cs="Arial"/>
                <w:b/>
                <w:sz w:val="20"/>
                <w:szCs w:val="20"/>
              </w:rPr>
              <w:t>%</w:t>
            </w:r>
          </w:p>
        </w:tc>
        <w:tc>
          <w:tcPr>
            <w:tcW w:w="1288" w:type="dxa"/>
          </w:tcPr>
          <w:p w14:paraId="5F814FE2" w14:textId="48E258A3" w:rsidR="00337B32" w:rsidRPr="00EA0EED" w:rsidRDefault="00D16A7D" w:rsidP="00CC607A">
            <w:pPr>
              <w:jc w:val="center"/>
              <w:rPr>
                <w:rFonts w:ascii="Arial" w:hAnsi="Arial" w:cs="Arial"/>
                <w:b/>
                <w:sz w:val="20"/>
                <w:szCs w:val="20"/>
              </w:rPr>
            </w:pPr>
            <w:r>
              <w:rPr>
                <w:rFonts w:ascii="Arial" w:hAnsi="Arial" w:cs="Arial"/>
                <w:b/>
                <w:sz w:val="20"/>
                <w:szCs w:val="20"/>
              </w:rPr>
              <w:t>n</w:t>
            </w:r>
          </w:p>
        </w:tc>
        <w:tc>
          <w:tcPr>
            <w:tcW w:w="1019" w:type="dxa"/>
          </w:tcPr>
          <w:p w14:paraId="1E5EA5C1" w14:textId="456FBFF5" w:rsidR="00337B32" w:rsidRPr="00EA0EED" w:rsidRDefault="004C0A50" w:rsidP="00CC607A">
            <w:pPr>
              <w:jc w:val="center"/>
              <w:rPr>
                <w:rFonts w:ascii="Arial" w:hAnsi="Arial" w:cs="Arial"/>
                <w:b/>
                <w:sz w:val="20"/>
                <w:szCs w:val="20"/>
              </w:rPr>
            </w:pPr>
            <w:r>
              <w:rPr>
                <w:rFonts w:ascii="Arial" w:hAnsi="Arial" w:cs="Arial"/>
                <w:b/>
                <w:sz w:val="20"/>
                <w:szCs w:val="20"/>
              </w:rPr>
              <w:t>%</w:t>
            </w:r>
          </w:p>
        </w:tc>
      </w:tr>
      <w:tr w:rsidR="00AA3E1D" w14:paraId="118EEBAC" w14:textId="300991CA" w:rsidTr="004B028A">
        <w:tc>
          <w:tcPr>
            <w:tcW w:w="2835" w:type="dxa"/>
          </w:tcPr>
          <w:p w14:paraId="32F50CAB" w14:textId="77777777" w:rsidR="00E72EF4" w:rsidRDefault="00E72EF4" w:rsidP="00091A22">
            <w:pPr>
              <w:jc w:val="both"/>
              <w:rPr>
                <w:rFonts w:ascii="Arial" w:hAnsi="Arial" w:cs="Arial"/>
                <w:sz w:val="20"/>
                <w:szCs w:val="20"/>
              </w:rPr>
            </w:pPr>
          </w:p>
          <w:p w14:paraId="4FE46B3B" w14:textId="77777777" w:rsidR="00AA3E1D" w:rsidRDefault="000B2EDC" w:rsidP="00091A22">
            <w:pPr>
              <w:jc w:val="both"/>
              <w:rPr>
                <w:rFonts w:ascii="Arial" w:hAnsi="Arial" w:cs="Arial"/>
                <w:sz w:val="20"/>
                <w:szCs w:val="20"/>
              </w:rPr>
            </w:pPr>
            <w:r>
              <w:rPr>
                <w:rFonts w:ascii="Arial" w:hAnsi="Arial" w:cs="Arial"/>
                <w:sz w:val="20"/>
                <w:szCs w:val="20"/>
              </w:rPr>
              <w:t>Victoria Legal Aid</w:t>
            </w:r>
          </w:p>
          <w:p w14:paraId="51FC10E4" w14:textId="6C7E99F0" w:rsidR="00A704C3" w:rsidRDefault="00A704C3" w:rsidP="00091A22">
            <w:pPr>
              <w:jc w:val="both"/>
              <w:rPr>
                <w:rFonts w:ascii="Arial" w:hAnsi="Arial" w:cs="Arial"/>
                <w:sz w:val="20"/>
                <w:szCs w:val="20"/>
              </w:rPr>
            </w:pPr>
          </w:p>
        </w:tc>
        <w:tc>
          <w:tcPr>
            <w:tcW w:w="1288" w:type="dxa"/>
          </w:tcPr>
          <w:p w14:paraId="7CE3B4BF" w14:textId="77777777" w:rsidR="00AA3E1D" w:rsidRDefault="00AA3E1D" w:rsidP="00CC607A">
            <w:pPr>
              <w:jc w:val="center"/>
              <w:rPr>
                <w:rFonts w:ascii="Arial" w:hAnsi="Arial" w:cs="Arial"/>
                <w:sz w:val="20"/>
                <w:szCs w:val="20"/>
              </w:rPr>
            </w:pPr>
          </w:p>
          <w:p w14:paraId="4E20D9C3" w14:textId="2D93D608" w:rsidR="000F458F" w:rsidRDefault="000F458F" w:rsidP="00CC607A">
            <w:pPr>
              <w:jc w:val="center"/>
              <w:rPr>
                <w:rFonts w:ascii="Arial" w:hAnsi="Arial" w:cs="Arial"/>
                <w:sz w:val="20"/>
                <w:szCs w:val="20"/>
              </w:rPr>
            </w:pPr>
            <w:r>
              <w:rPr>
                <w:rFonts w:ascii="Arial" w:hAnsi="Arial" w:cs="Arial"/>
                <w:sz w:val="20"/>
                <w:szCs w:val="20"/>
              </w:rPr>
              <w:t>1101</w:t>
            </w:r>
          </w:p>
        </w:tc>
        <w:tc>
          <w:tcPr>
            <w:tcW w:w="1288" w:type="dxa"/>
          </w:tcPr>
          <w:p w14:paraId="2D17F23D" w14:textId="77777777" w:rsidR="00AA3E1D" w:rsidRDefault="00AA3E1D" w:rsidP="00CC607A">
            <w:pPr>
              <w:jc w:val="center"/>
              <w:rPr>
                <w:rFonts w:ascii="Arial" w:hAnsi="Arial" w:cs="Arial"/>
                <w:sz w:val="20"/>
                <w:szCs w:val="20"/>
              </w:rPr>
            </w:pPr>
          </w:p>
          <w:p w14:paraId="5D4EECFF" w14:textId="056336EF" w:rsidR="00DE5E05" w:rsidRDefault="00DE5E05" w:rsidP="00CC607A">
            <w:pPr>
              <w:jc w:val="center"/>
              <w:rPr>
                <w:rFonts w:ascii="Arial" w:hAnsi="Arial" w:cs="Arial"/>
                <w:sz w:val="20"/>
                <w:szCs w:val="20"/>
              </w:rPr>
            </w:pPr>
            <w:r>
              <w:rPr>
                <w:rFonts w:ascii="Arial" w:hAnsi="Arial" w:cs="Arial"/>
                <w:sz w:val="20"/>
                <w:szCs w:val="20"/>
              </w:rPr>
              <w:t>17</w:t>
            </w:r>
            <w:r w:rsidR="00AB2E1B">
              <w:rPr>
                <w:rFonts w:ascii="Arial" w:hAnsi="Arial" w:cs="Arial"/>
                <w:sz w:val="20"/>
                <w:szCs w:val="20"/>
              </w:rPr>
              <w:t>%</w:t>
            </w:r>
          </w:p>
        </w:tc>
        <w:tc>
          <w:tcPr>
            <w:tcW w:w="1288" w:type="dxa"/>
          </w:tcPr>
          <w:p w14:paraId="79256284" w14:textId="77777777" w:rsidR="00AA3E1D" w:rsidRDefault="00AA3E1D" w:rsidP="00CC607A">
            <w:pPr>
              <w:jc w:val="center"/>
              <w:rPr>
                <w:rFonts w:ascii="Arial" w:hAnsi="Arial" w:cs="Arial"/>
                <w:sz w:val="20"/>
                <w:szCs w:val="20"/>
              </w:rPr>
            </w:pPr>
          </w:p>
          <w:p w14:paraId="37E6E6B4" w14:textId="1B3D290F" w:rsidR="006C4BB1" w:rsidRDefault="006C4BB1" w:rsidP="00CC607A">
            <w:pPr>
              <w:jc w:val="center"/>
              <w:rPr>
                <w:rFonts w:ascii="Arial" w:hAnsi="Arial" w:cs="Arial"/>
                <w:sz w:val="20"/>
                <w:szCs w:val="20"/>
              </w:rPr>
            </w:pPr>
            <w:r>
              <w:rPr>
                <w:rFonts w:ascii="Arial" w:hAnsi="Arial" w:cs="Arial"/>
                <w:sz w:val="20"/>
                <w:szCs w:val="20"/>
              </w:rPr>
              <w:t>919</w:t>
            </w:r>
          </w:p>
        </w:tc>
        <w:tc>
          <w:tcPr>
            <w:tcW w:w="1288" w:type="dxa"/>
          </w:tcPr>
          <w:p w14:paraId="4CC8433F" w14:textId="77777777" w:rsidR="00AA3E1D" w:rsidRDefault="00AA3E1D" w:rsidP="00CC607A">
            <w:pPr>
              <w:jc w:val="center"/>
              <w:rPr>
                <w:rFonts w:ascii="Arial" w:hAnsi="Arial" w:cs="Arial"/>
                <w:sz w:val="20"/>
                <w:szCs w:val="20"/>
              </w:rPr>
            </w:pPr>
          </w:p>
          <w:p w14:paraId="302D48BB" w14:textId="64491412" w:rsidR="006C4BB1" w:rsidRDefault="006C4BB1" w:rsidP="00CC607A">
            <w:pPr>
              <w:jc w:val="center"/>
              <w:rPr>
                <w:rFonts w:ascii="Arial" w:hAnsi="Arial" w:cs="Arial"/>
                <w:sz w:val="20"/>
                <w:szCs w:val="20"/>
              </w:rPr>
            </w:pPr>
            <w:r>
              <w:rPr>
                <w:rFonts w:ascii="Arial" w:hAnsi="Arial" w:cs="Arial"/>
                <w:sz w:val="20"/>
                <w:szCs w:val="20"/>
              </w:rPr>
              <w:t>13%</w:t>
            </w:r>
          </w:p>
        </w:tc>
        <w:tc>
          <w:tcPr>
            <w:tcW w:w="1288" w:type="dxa"/>
          </w:tcPr>
          <w:p w14:paraId="0AC92287" w14:textId="77777777" w:rsidR="00AA3E1D" w:rsidRDefault="00AA3E1D" w:rsidP="00CC607A">
            <w:pPr>
              <w:jc w:val="center"/>
              <w:rPr>
                <w:rFonts w:ascii="Arial" w:hAnsi="Arial" w:cs="Arial"/>
                <w:sz w:val="20"/>
                <w:szCs w:val="20"/>
              </w:rPr>
            </w:pPr>
          </w:p>
          <w:p w14:paraId="544BF065" w14:textId="7AA0A813" w:rsidR="00D16A7D" w:rsidRDefault="00D16A7D" w:rsidP="00CC607A">
            <w:pPr>
              <w:jc w:val="center"/>
              <w:rPr>
                <w:rFonts w:ascii="Arial" w:hAnsi="Arial" w:cs="Arial"/>
                <w:sz w:val="20"/>
                <w:szCs w:val="20"/>
              </w:rPr>
            </w:pPr>
            <w:r>
              <w:rPr>
                <w:rFonts w:ascii="Arial" w:hAnsi="Arial" w:cs="Arial"/>
                <w:sz w:val="20"/>
                <w:szCs w:val="20"/>
              </w:rPr>
              <w:t>1058</w:t>
            </w:r>
          </w:p>
        </w:tc>
        <w:tc>
          <w:tcPr>
            <w:tcW w:w="1288" w:type="dxa"/>
          </w:tcPr>
          <w:p w14:paraId="0593A1CD" w14:textId="77777777" w:rsidR="00AA3E1D" w:rsidRDefault="00AA3E1D" w:rsidP="00CC607A">
            <w:pPr>
              <w:jc w:val="center"/>
              <w:rPr>
                <w:rFonts w:ascii="Arial" w:hAnsi="Arial" w:cs="Arial"/>
                <w:sz w:val="20"/>
                <w:szCs w:val="20"/>
              </w:rPr>
            </w:pPr>
          </w:p>
          <w:p w14:paraId="005230F5" w14:textId="15DE8379" w:rsidR="00D16A7D" w:rsidRDefault="00D16A7D" w:rsidP="00CC607A">
            <w:pPr>
              <w:jc w:val="center"/>
              <w:rPr>
                <w:rFonts w:ascii="Arial" w:hAnsi="Arial" w:cs="Arial"/>
                <w:sz w:val="20"/>
                <w:szCs w:val="20"/>
              </w:rPr>
            </w:pPr>
            <w:r>
              <w:rPr>
                <w:rFonts w:ascii="Arial" w:hAnsi="Arial" w:cs="Arial"/>
                <w:sz w:val="20"/>
                <w:szCs w:val="20"/>
              </w:rPr>
              <w:t>14%</w:t>
            </w:r>
          </w:p>
        </w:tc>
        <w:tc>
          <w:tcPr>
            <w:tcW w:w="1288" w:type="dxa"/>
          </w:tcPr>
          <w:p w14:paraId="04429327" w14:textId="77777777" w:rsidR="00AA3E1D" w:rsidRDefault="00AA3E1D" w:rsidP="00CC607A">
            <w:pPr>
              <w:jc w:val="center"/>
              <w:rPr>
                <w:rFonts w:ascii="Arial" w:hAnsi="Arial" w:cs="Arial"/>
                <w:sz w:val="20"/>
                <w:szCs w:val="20"/>
              </w:rPr>
            </w:pPr>
          </w:p>
          <w:p w14:paraId="6C2CC772" w14:textId="6F640A2B" w:rsidR="00D16A7D" w:rsidRDefault="00D16A7D" w:rsidP="00CC607A">
            <w:pPr>
              <w:jc w:val="center"/>
              <w:rPr>
                <w:rFonts w:ascii="Arial" w:hAnsi="Arial" w:cs="Arial"/>
                <w:sz w:val="20"/>
                <w:szCs w:val="20"/>
              </w:rPr>
            </w:pPr>
            <w:r>
              <w:rPr>
                <w:rFonts w:ascii="Arial" w:hAnsi="Arial" w:cs="Arial"/>
                <w:sz w:val="20"/>
                <w:szCs w:val="20"/>
              </w:rPr>
              <w:t>1063</w:t>
            </w:r>
          </w:p>
        </w:tc>
        <w:tc>
          <w:tcPr>
            <w:tcW w:w="1288" w:type="dxa"/>
          </w:tcPr>
          <w:p w14:paraId="16196F11" w14:textId="77777777" w:rsidR="00AA3E1D" w:rsidRDefault="00AA3E1D" w:rsidP="00CC607A">
            <w:pPr>
              <w:jc w:val="center"/>
              <w:rPr>
                <w:rFonts w:ascii="Arial" w:hAnsi="Arial" w:cs="Arial"/>
                <w:sz w:val="20"/>
                <w:szCs w:val="20"/>
              </w:rPr>
            </w:pPr>
          </w:p>
          <w:p w14:paraId="0CEC5336" w14:textId="225134D1" w:rsidR="00D16A7D" w:rsidRDefault="00D16A7D" w:rsidP="00CC607A">
            <w:pPr>
              <w:jc w:val="center"/>
              <w:rPr>
                <w:rFonts w:ascii="Arial" w:hAnsi="Arial" w:cs="Arial"/>
                <w:sz w:val="20"/>
                <w:szCs w:val="20"/>
              </w:rPr>
            </w:pPr>
            <w:r>
              <w:rPr>
                <w:rFonts w:ascii="Arial" w:hAnsi="Arial" w:cs="Arial"/>
                <w:sz w:val="20"/>
                <w:szCs w:val="20"/>
              </w:rPr>
              <w:t>13%</w:t>
            </w:r>
          </w:p>
        </w:tc>
        <w:tc>
          <w:tcPr>
            <w:tcW w:w="1288" w:type="dxa"/>
          </w:tcPr>
          <w:p w14:paraId="62FDE7E3" w14:textId="77777777" w:rsidR="00AA3E1D" w:rsidRDefault="00AA3E1D" w:rsidP="00CC607A">
            <w:pPr>
              <w:jc w:val="center"/>
              <w:rPr>
                <w:rFonts w:ascii="Arial" w:hAnsi="Arial" w:cs="Arial"/>
                <w:sz w:val="20"/>
                <w:szCs w:val="20"/>
              </w:rPr>
            </w:pPr>
          </w:p>
          <w:p w14:paraId="6140E49B" w14:textId="798924C2" w:rsidR="00D16A7D" w:rsidRDefault="00D16A7D" w:rsidP="00CC607A">
            <w:pPr>
              <w:jc w:val="center"/>
              <w:rPr>
                <w:rFonts w:ascii="Arial" w:hAnsi="Arial" w:cs="Arial"/>
                <w:sz w:val="20"/>
                <w:szCs w:val="20"/>
              </w:rPr>
            </w:pPr>
            <w:r>
              <w:rPr>
                <w:rFonts w:ascii="Arial" w:hAnsi="Arial" w:cs="Arial"/>
                <w:sz w:val="20"/>
                <w:szCs w:val="20"/>
              </w:rPr>
              <w:t>1003</w:t>
            </w:r>
          </w:p>
        </w:tc>
        <w:tc>
          <w:tcPr>
            <w:tcW w:w="1019" w:type="dxa"/>
          </w:tcPr>
          <w:p w14:paraId="3E0F6D8B" w14:textId="77777777" w:rsidR="00AA3E1D" w:rsidRDefault="00AA3E1D" w:rsidP="00CC607A">
            <w:pPr>
              <w:jc w:val="center"/>
              <w:rPr>
                <w:rFonts w:ascii="Arial" w:hAnsi="Arial" w:cs="Arial"/>
                <w:sz w:val="20"/>
                <w:szCs w:val="20"/>
              </w:rPr>
            </w:pPr>
          </w:p>
          <w:p w14:paraId="7A2AC074" w14:textId="22240E97" w:rsidR="00D16A7D" w:rsidRDefault="00D16A7D" w:rsidP="00CC607A">
            <w:pPr>
              <w:jc w:val="center"/>
              <w:rPr>
                <w:rFonts w:ascii="Arial" w:hAnsi="Arial" w:cs="Arial"/>
                <w:sz w:val="20"/>
                <w:szCs w:val="20"/>
              </w:rPr>
            </w:pPr>
            <w:r>
              <w:rPr>
                <w:rFonts w:ascii="Arial" w:hAnsi="Arial" w:cs="Arial"/>
                <w:sz w:val="20"/>
                <w:szCs w:val="20"/>
              </w:rPr>
              <w:t>12%</w:t>
            </w:r>
          </w:p>
        </w:tc>
      </w:tr>
      <w:tr w:rsidR="00AA3E1D" w14:paraId="5440D0F5" w14:textId="55262CAF" w:rsidTr="004B028A">
        <w:tc>
          <w:tcPr>
            <w:tcW w:w="2835" w:type="dxa"/>
          </w:tcPr>
          <w:p w14:paraId="5AF1F1FB" w14:textId="77777777" w:rsidR="00A704C3" w:rsidRDefault="00A704C3" w:rsidP="00091A22">
            <w:pPr>
              <w:jc w:val="both"/>
              <w:rPr>
                <w:rFonts w:ascii="Arial" w:hAnsi="Arial" w:cs="Arial"/>
                <w:sz w:val="20"/>
                <w:szCs w:val="20"/>
              </w:rPr>
            </w:pPr>
          </w:p>
          <w:p w14:paraId="53CCFF5D" w14:textId="77777777" w:rsidR="00AA3E1D" w:rsidRDefault="000B2EDC" w:rsidP="00091A22">
            <w:pPr>
              <w:jc w:val="both"/>
              <w:rPr>
                <w:rFonts w:ascii="Arial" w:hAnsi="Arial" w:cs="Arial"/>
                <w:sz w:val="20"/>
                <w:szCs w:val="20"/>
              </w:rPr>
            </w:pPr>
            <w:r>
              <w:rPr>
                <w:rFonts w:ascii="Arial" w:hAnsi="Arial" w:cs="Arial"/>
                <w:sz w:val="20"/>
                <w:szCs w:val="20"/>
              </w:rPr>
              <w:t>Mental Health Legal Centre</w:t>
            </w:r>
          </w:p>
          <w:p w14:paraId="32F3E566" w14:textId="0EDD1DCD" w:rsidR="00A704C3" w:rsidRDefault="00A704C3" w:rsidP="00091A22">
            <w:pPr>
              <w:jc w:val="both"/>
              <w:rPr>
                <w:rFonts w:ascii="Arial" w:hAnsi="Arial" w:cs="Arial"/>
                <w:sz w:val="20"/>
                <w:szCs w:val="20"/>
              </w:rPr>
            </w:pPr>
          </w:p>
        </w:tc>
        <w:tc>
          <w:tcPr>
            <w:tcW w:w="1288" w:type="dxa"/>
          </w:tcPr>
          <w:p w14:paraId="744FE76A" w14:textId="77777777" w:rsidR="00AA3E1D" w:rsidRDefault="00AA3E1D" w:rsidP="00CC607A">
            <w:pPr>
              <w:jc w:val="center"/>
              <w:rPr>
                <w:rFonts w:ascii="Arial" w:hAnsi="Arial" w:cs="Arial"/>
                <w:sz w:val="20"/>
                <w:szCs w:val="20"/>
              </w:rPr>
            </w:pPr>
          </w:p>
          <w:p w14:paraId="51B45192" w14:textId="3A1CCDEE" w:rsidR="00AB2E1B" w:rsidRDefault="002B1999" w:rsidP="00CC607A">
            <w:pPr>
              <w:jc w:val="center"/>
              <w:rPr>
                <w:rFonts w:ascii="Arial" w:hAnsi="Arial" w:cs="Arial"/>
                <w:sz w:val="20"/>
                <w:szCs w:val="20"/>
              </w:rPr>
            </w:pPr>
            <w:r>
              <w:rPr>
                <w:rFonts w:ascii="Arial" w:hAnsi="Arial" w:cs="Arial"/>
                <w:sz w:val="20"/>
                <w:szCs w:val="20"/>
              </w:rPr>
              <w:t>40</w:t>
            </w:r>
          </w:p>
        </w:tc>
        <w:tc>
          <w:tcPr>
            <w:tcW w:w="1288" w:type="dxa"/>
          </w:tcPr>
          <w:p w14:paraId="06E73D68" w14:textId="77777777" w:rsidR="00AA3E1D" w:rsidRDefault="00AA3E1D" w:rsidP="00CC607A">
            <w:pPr>
              <w:jc w:val="center"/>
              <w:rPr>
                <w:rFonts w:ascii="Arial" w:hAnsi="Arial" w:cs="Arial"/>
                <w:sz w:val="20"/>
                <w:szCs w:val="20"/>
              </w:rPr>
            </w:pPr>
          </w:p>
          <w:p w14:paraId="0DAA2DE0" w14:textId="593D0628" w:rsidR="002B1999" w:rsidRDefault="002B1999" w:rsidP="00CC607A">
            <w:pPr>
              <w:jc w:val="center"/>
              <w:rPr>
                <w:rFonts w:ascii="Arial" w:hAnsi="Arial" w:cs="Arial"/>
                <w:sz w:val="20"/>
                <w:szCs w:val="20"/>
              </w:rPr>
            </w:pPr>
            <w:r>
              <w:rPr>
                <w:rFonts w:ascii="Arial" w:hAnsi="Arial" w:cs="Arial"/>
                <w:sz w:val="20"/>
                <w:szCs w:val="20"/>
              </w:rPr>
              <w:t>&lt;1%</w:t>
            </w:r>
          </w:p>
        </w:tc>
        <w:tc>
          <w:tcPr>
            <w:tcW w:w="1288" w:type="dxa"/>
          </w:tcPr>
          <w:p w14:paraId="5EFDE4C2" w14:textId="77777777" w:rsidR="00AA3E1D" w:rsidRDefault="00AA3E1D" w:rsidP="00CC607A">
            <w:pPr>
              <w:jc w:val="center"/>
              <w:rPr>
                <w:rFonts w:ascii="Arial" w:hAnsi="Arial" w:cs="Arial"/>
                <w:sz w:val="20"/>
                <w:szCs w:val="20"/>
              </w:rPr>
            </w:pPr>
          </w:p>
          <w:p w14:paraId="54AEAA10" w14:textId="5554F393" w:rsidR="006C4BB1" w:rsidRDefault="00EC39B4" w:rsidP="00CC607A">
            <w:pPr>
              <w:jc w:val="center"/>
              <w:rPr>
                <w:rFonts w:ascii="Arial" w:hAnsi="Arial" w:cs="Arial"/>
                <w:sz w:val="20"/>
                <w:szCs w:val="20"/>
              </w:rPr>
            </w:pPr>
            <w:r>
              <w:rPr>
                <w:rFonts w:ascii="Arial" w:hAnsi="Arial" w:cs="Arial"/>
                <w:sz w:val="20"/>
                <w:szCs w:val="20"/>
              </w:rPr>
              <w:t>73</w:t>
            </w:r>
          </w:p>
        </w:tc>
        <w:tc>
          <w:tcPr>
            <w:tcW w:w="1288" w:type="dxa"/>
          </w:tcPr>
          <w:p w14:paraId="2C693459" w14:textId="77777777" w:rsidR="00AA3E1D" w:rsidRDefault="00AA3E1D" w:rsidP="00CC607A">
            <w:pPr>
              <w:jc w:val="center"/>
              <w:rPr>
                <w:rFonts w:ascii="Arial" w:hAnsi="Arial" w:cs="Arial"/>
                <w:sz w:val="20"/>
                <w:szCs w:val="20"/>
              </w:rPr>
            </w:pPr>
          </w:p>
          <w:p w14:paraId="4BBF10C9" w14:textId="28595FD6" w:rsidR="00EC39B4" w:rsidRDefault="00EC39B4" w:rsidP="00CC607A">
            <w:pPr>
              <w:jc w:val="center"/>
              <w:rPr>
                <w:rFonts w:ascii="Arial" w:hAnsi="Arial" w:cs="Arial"/>
                <w:sz w:val="20"/>
                <w:szCs w:val="20"/>
              </w:rPr>
            </w:pPr>
            <w:r>
              <w:rPr>
                <w:rFonts w:ascii="Arial" w:hAnsi="Arial" w:cs="Arial"/>
                <w:sz w:val="20"/>
                <w:szCs w:val="20"/>
              </w:rPr>
              <w:t>1%</w:t>
            </w:r>
          </w:p>
        </w:tc>
        <w:tc>
          <w:tcPr>
            <w:tcW w:w="1288" w:type="dxa"/>
          </w:tcPr>
          <w:p w14:paraId="38690F5A" w14:textId="77777777" w:rsidR="00AA3E1D" w:rsidRDefault="00AA3E1D" w:rsidP="00CC607A">
            <w:pPr>
              <w:jc w:val="center"/>
              <w:rPr>
                <w:rFonts w:ascii="Arial" w:hAnsi="Arial" w:cs="Arial"/>
                <w:sz w:val="20"/>
                <w:szCs w:val="20"/>
              </w:rPr>
            </w:pPr>
          </w:p>
          <w:p w14:paraId="7BF3DB36" w14:textId="64DEA2C8" w:rsidR="00D16A7D" w:rsidRDefault="00D16A7D" w:rsidP="00CC607A">
            <w:pPr>
              <w:jc w:val="center"/>
              <w:rPr>
                <w:rFonts w:ascii="Arial" w:hAnsi="Arial" w:cs="Arial"/>
                <w:sz w:val="20"/>
                <w:szCs w:val="20"/>
              </w:rPr>
            </w:pPr>
            <w:r>
              <w:rPr>
                <w:rFonts w:ascii="Arial" w:hAnsi="Arial" w:cs="Arial"/>
                <w:sz w:val="20"/>
                <w:szCs w:val="20"/>
              </w:rPr>
              <w:t>80</w:t>
            </w:r>
          </w:p>
        </w:tc>
        <w:tc>
          <w:tcPr>
            <w:tcW w:w="1288" w:type="dxa"/>
          </w:tcPr>
          <w:p w14:paraId="179BB421" w14:textId="77777777" w:rsidR="00AA3E1D" w:rsidRDefault="00AA3E1D" w:rsidP="00CC607A">
            <w:pPr>
              <w:jc w:val="center"/>
              <w:rPr>
                <w:rFonts w:ascii="Arial" w:hAnsi="Arial" w:cs="Arial"/>
                <w:sz w:val="20"/>
                <w:szCs w:val="20"/>
              </w:rPr>
            </w:pPr>
          </w:p>
          <w:p w14:paraId="552DB1E8" w14:textId="5AD32D40" w:rsidR="00D16A7D" w:rsidRDefault="00D16A7D" w:rsidP="00CC607A">
            <w:pPr>
              <w:jc w:val="center"/>
              <w:rPr>
                <w:rFonts w:ascii="Arial" w:hAnsi="Arial" w:cs="Arial"/>
                <w:sz w:val="20"/>
                <w:szCs w:val="20"/>
              </w:rPr>
            </w:pPr>
            <w:r>
              <w:rPr>
                <w:rFonts w:ascii="Arial" w:hAnsi="Arial" w:cs="Arial"/>
                <w:sz w:val="20"/>
                <w:szCs w:val="20"/>
              </w:rPr>
              <w:t>1%</w:t>
            </w:r>
          </w:p>
        </w:tc>
        <w:tc>
          <w:tcPr>
            <w:tcW w:w="1288" w:type="dxa"/>
          </w:tcPr>
          <w:p w14:paraId="2B21216A" w14:textId="77777777" w:rsidR="00AA3E1D" w:rsidRDefault="00AA3E1D" w:rsidP="00CC607A">
            <w:pPr>
              <w:jc w:val="center"/>
              <w:rPr>
                <w:rFonts w:ascii="Arial" w:hAnsi="Arial" w:cs="Arial"/>
                <w:sz w:val="20"/>
                <w:szCs w:val="20"/>
              </w:rPr>
            </w:pPr>
          </w:p>
          <w:p w14:paraId="550F04E5" w14:textId="296DC188" w:rsidR="00D16A7D" w:rsidRDefault="00D16A7D" w:rsidP="00CC607A">
            <w:pPr>
              <w:jc w:val="center"/>
              <w:rPr>
                <w:rFonts w:ascii="Arial" w:hAnsi="Arial" w:cs="Arial"/>
                <w:sz w:val="20"/>
                <w:szCs w:val="20"/>
              </w:rPr>
            </w:pPr>
            <w:r>
              <w:rPr>
                <w:rFonts w:ascii="Arial" w:hAnsi="Arial" w:cs="Arial"/>
                <w:sz w:val="20"/>
                <w:szCs w:val="20"/>
              </w:rPr>
              <w:t>95</w:t>
            </w:r>
          </w:p>
        </w:tc>
        <w:tc>
          <w:tcPr>
            <w:tcW w:w="1288" w:type="dxa"/>
          </w:tcPr>
          <w:p w14:paraId="34CFBCA6" w14:textId="77777777" w:rsidR="00AA3E1D" w:rsidRDefault="00AA3E1D" w:rsidP="00CC607A">
            <w:pPr>
              <w:jc w:val="center"/>
              <w:rPr>
                <w:rFonts w:ascii="Arial" w:hAnsi="Arial" w:cs="Arial"/>
                <w:sz w:val="20"/>
                <w:szCs w:val="20"/>
              </w:rPr>
            </w:pPr>
          </w:p>
          <w:p w14:paraId="3C3BA972" w14:textId="71216B3D" w:rsidR="00D16A7D" w:rsidRDefault="00D16A7D" w:rsidP="00CC607A">
            <w:pPr>
              <w:jc w:val="center"/>
              <w:rPr>
                <w:rFonts w:ascii="Arial" w:hAnsi="Arial" w:cs="Arial"/>
                <w:sz w:val="20"/>
                <w:szCs w:val="20"/>
              </w:rPr>
            </w:pPr>
            <w:r>
              <w:rPr>
                <w:rFonts w:ascii="Arial" w:hAnsi="Arial" w:cs="Arial"/>
                <w:sz w:val="20"/>
                <w:szCs w:val="20"/>
              </w:rPr>
              <w:t>1%</w:t>
            </w:r>
          </w:p>
        </w:tc>
        <w:tc>
          <w:tcPr>
            <w:tcW w:w="1288" w:type="dxa"/>
          </w:tcPr>
          <w:p w14:paraId="7F741483" w14:textId="77777777" w:rsidR="00AA3E1D" w:rsidRDefault="00AA3E1D" w:rsidP="00CC607A">
            <w:pPr>
              <w:jc w:val="center"/>
              <w:rPr>
                <w:rFonts w:ascii="Arial" w:hAnsi="Arial" w:cs="Arial"/>
                <w:sz w:val="20"/>
                <w:szCs w:val="20"/>
              </w:rPr>
            </w:pPr>
          </w:p>
          <w:p w14:paraId="57E0559A" w14:textId="2E1D7565" w:rsidR="00D16A7D" w:rsidRDefault="00D16A7D" w:rsidP="00CC607A">
            <w:pPr>
              <w:jc w:val="center"/>
              <w:rPr>
                <w:rFonts w:ascii="Arial" w:hAnsi="Arial" w:cs="Arial"/>
                <w:sz w:val="20"/>
                <w:szCs w:val="20"/>
              </w:rPr>
            </w:pPr>
            <w:r>
              <w:rPr>
                <w:rFonts w:ascii="Arial" w:hAnsi="Arial" w:cs="Arial"/>
                <w:sz w:val="20"/>
                <w:szCs w:val="20"/>
              </w:rPr>
              <w:t>123</w:t>
            </w:r>
          </w:p>
        </w:tc>
        <w:tc>
          <w:tcPr>
            <w:tcW w:w="1019" w:type="dxa"/>
          </w:tcPr>
          <w:p w14:paraId="18533F48" w14:textId="77777777" w:rsidR="00AA3E1D" w:rsidRDefault="00AA3E1D" w:rsidP="00CC607A">
            <w:pPr>
              <w:jc w:val="center"/>
              <w:rPr>
                <w:rFonts w:ascii="Arial" w:hAnsi="Arial" w:cs="Arial"/>
                <w:sz w:val="20"/>
                <w:szCs w:val="20"/>
              </w:rPr>
            </w:pPr>
          </w:p>
          <w:p w14:paraId="348D09DF" w14:textId="5B2A1C98" w:rsidR="00D16A7D" w:rsidRDefault="00D16A7D" w:rsidP="00CC607A">
            <w:pPr>
              <w:jc w:val="center"/>
              <w:rPr>
                <w:rFonts w:ascii="Arial" w:hAnsi="Arial" w:cs="Arial"/>
                <w:sz w:val="20"/>
                <w:szCs w:val="20"/>
              </w:rPr>
            </w:pPr>
            <w:r>
              <w:rPr>
                <w:rFonts w:ascii="Arial" w:hAnsi="Arial" w:cs="Arial"/>
                <w:sz w:val="20"/>
                <w:szCs w:val="20"/>
              </w:rPr>
              <w:t>1%</w:t>
            </w:r>
          </w:p>
        </w:tc>
      </w:tr>
      <w:tr w:rsidR="00AA3E1D" w14:paraId="5220879A" w14:textId="21C070C0" w:rsidTr="004B028A">
        <w:tc>
          <w:tcPr>
            <w:tcW w:w="2835" w:type="dxa"/>
          </w:tcPr>
          <w:p w14:paraId="5320C578" w14:textId="77777777" w:rsidR="00A704C3" w:rsidRDefault="00A704C3" w:rsidP="00091A22">
            <w:pPr>
              <w:jc w:val="both"/>
              <w:rPr>
                <w:rFonts w:ascii="Arial" w:hAnsi="Arial" w:cs="Arial"/>
                <w:sz w:val="20"/>
                <w:szCs w:val="20"/>
              </w:rPr>
            </w:pPr>
          </w:p>
          <w:p w14:paraId="3AE8B223" w14:textId="3FB6D9E7" w:rsidR="00AA3E1D" w:rsidRDefault="000B2EDC" w:rsidP="00091A22">
            <w:pPr>
              <w:jc w:val="both"/>
              <w:rPr>
                <w:rFonts w:ascii="Arial" w:hAnsi="Arial" w:cs="Arial"/>
                <w:sz w:val="20"/>
                <w:szCs w:val="20"/>
              </w:rPr>
            </w:pPr>
            <w:r>
              <w:rPr>
                <w:rFonts w:ascii="Arial" w:hAnsi="Arial" w:cs="Arial"/>
                <w:sz w:val="20"/>
                <w:szCs w:val="20"/>
              </w:rPr>
              <w:t>Other</w:t>
            </w:r>
            <w:r w:rsidR="00D459E1">
              <w:rPr>
                <w:rFonts w:ascii="Arial" w:hAnsi="Arial" w:cs="Arial"/>
                <w:sz w:val="20"/>
                <w:szCs w:val="20"/>
              </w:rPr>
              <w:t xml:space="preserve"> legal representation</w:t>
            </w:r>
          </w:p>
          <w:p w14:paraId="559D22F1" w14:textId="05EB9CBD" w:rsidR="00BF7565" w:rsidRDefault="00BF7565" w:rsidP="00091A22">
            <w:pPr>
              <w:jc w:val="both"/>
              <w:rPr>
                <w:rFonts w:ascii="Arial" w:hAnsi="Arial" w:cs="Arial"/>
                <w:sz w:val="20"/>
                <w:szCs w:val="20"/>
              </w:rPr>
            </w:pPr>
          </w:p>
        </w:tc>
        <w:tc>
          <w:tcPr>
            <w:tcW w:w="1288" w:type="dxa"/>
          </w:tcPr>
          <w:p w14:paraId="5507DFEF" w14:textId="77777777" w:rsidR="00AA3E1D" w:rsidRDefault="00AA3E1D" w:rsidP="00CC607A">
            <w:pPr>
              <w:jc w:val="center"/>
              <w:rPr>
                <w:rFonts w:ascii="Arial" w:hAnsi="Arial" w:cs="Arial"/>
                <w:sz w:val="20"/>
                <w:szCs w:val="20"/>
              </w:rPr>
            </w:pPr>
          </w:p>
          <w:p w14:paraId="08524C86" w14:textId="2608C07E" w:rsidR="002B1999" w:rsidRDefault="001E66DB" w:rsidP="00CC607A">
            <w:pPr>
              <w:jc w:val="center"/>
              <w:rPr>
                <w:rFonts w:ascii="Arial" w:hAnsi="Arial" w:cs="Arial"/>
                <w:sz w:val="20"/>
                <w:szCs w:val="20"/>
              </w:rPr>
            </w:pPr>
            <w:r>
              <w:rPr>
                <w:rFonts w:ascii="Arial" w:hAnsi="Arial" w:cs="Arial"/>
                <w:sz w:val="20"/>
                <w:szCs w:val="20"/>
              </w:rPr>
              <w:t>46</w:t>
            </w:r>
          </w:p>
        </w:tc>
        <w:tc>
          <w:tcPr>
            <w:tcW w:w="1288" w:type="dxa"/>
          </w:tcPr>
          <w:p w14:paraId="3B5746E0" w14:textId="77777777" w:rsidR="00AA3E1D" w:rsidRDefault="00AA3E1D" w:rsidP="00CC607A">
            <w:pPr>
              <w:jc w:val="center"/>
              <w:rPr>
                <w:rFonts w:ascii="Arial" w:hAnsi="Arial" w:cs="Arial"/>
                <w:sz w:val="20"/>
                <w:szCs w:val="20"/>
              </w:rPr>
            </w:pPr>
          </w:p>
          <w:p w14:paraId="584E6368" w14:textId="4DAE65DF" w:rsidR="001E66DB" w:rsidRDefault="00D55FFD" w:rsidP="00CC607A">
            <w:pPr>
              <w:jc w:val="center"/>
              <w:rPr>
                <w:rFonts w:ascii="Arial" w:hAnsi="Arial" w:cs="Arial"/>
                <w:sz w:val="20"/>
                <w:szCs w:val="20"/>
              </w:rPr>
            </w:pPr>
            <w:r>
              <w:rPr>
                <w:rFonts w:ascii="Arial" w:hAnsi="Arial" w:cs="Arial"/>
                <w:sz w:val="20"/>
                <w:szCs w:val="20"/>
              </w:rPr>
              <w:t>&lt;1%</w:t>
            </w:r>
          </w:p>
        </w:tc>
        <w:tc>
          <w:tcPr>
            <w:tcW w:w="1288" w:type="dxa"/>
          </w:tcPr>
          <w:p w14:paraId="2DBC71CA" w14:textId="77777777" w:rsidR="00AA3E1D" w:rsidRDefault="00AA3E1D" w:rsidP="00CC607A">
            <w:pPr>
              <w:jc w:val="center"/>
              <w:rPr>
                <w:rFonts w:ascii="Arial" w:hAnsi="Arial" w:cs="Arial"/>
                <w:sz w:val="20"/>
                <w:szCs w:val="20"/>
              </w:rPr>
            </w:pPr>
          </w:p>
          <w:p w14:paraId="5248657F" w14:textId="1F22F458" w:rsidR="00EC39B4" w:rsidRDefault="00FE175A" w:rsidP="00CC607A">
            <w:pPr>
              <w:jc w:val="center"/>
              <w:rPr>
                <w:rFonts w:ascii="Arial" w:hAnsi="Arial" w:cs="Arial"/>
                <w:sz w:val="20"/>
                <w:szCs w:val="20"/>
              </w:rPr>
            </w:pPr>
            <w:r>
              <w:rPr>
                <w:rFonts w:ascii="Arial" w:hAnsi="Arial" w:cs="Arial"/>
                <w:sz w:val="20"/>
                <w:szCs w:val="20"/>
              </w:rPr>
              <w:t>54</w:t>
            </w:r>
          </w:p>
        </w:tc>
        <w:tc>
          <w:tcPr>
            <w:tcW w:w="1288" w:type="dxa"/>
          </w:tcPr>
          <w:p w14:paraId="1942A147" w14:textId="77777777" w:rsidR="00AA3E1D" w:rsidRDefault="00AA3E1D" w:rsidP="00CC607A">
            <w:pPr>
              <w:jc w:val="center"/>
              <w:rPr>
                <w:rFonts w:ascii="Arial" w:hAnsi="Arial" w:cs="Arial"/>
                <w:sz w:val="20"/>
                <w:szCs w:val="20"/>
              </w:rPr>
            </w:pPr>
          </w:p>
          <w:p w14:paraId="3E6A9560" w14:textId="51E89B82" w:rsidR="00FE175A" w:rsidRDefault="00FE175A" w:rsidP="00CC607A">
            <w:pPr>
              <w:jc w:val="center"/>
              <w:rPr>
                <w:rFonts w:ascii="Arial" w:hAnsi="Arial" w:cs="Arial"/>
                <w:sz w:val="20"/>
                <w:szCs w:val="20"/>
              </w:rPr>
            </w:pPr>
            <w:r>
              <w:rPr>
                <w:rFonts w:ascii="Arial" w:hAnsi="Arial" w:cs="Arial"/>
                <w:sz w:val="20"/>
                <w:szCs w:val="20"/>
              </w:rPr>
              <w:t>&lt;1</w:t>
            </w:r>
            <w:r w:rsidR="00071C88">
              <w:rPr>
                <w:rFonts w:ascii="Arial" w:hAnsi="Arial" w:cs="Arial"/>
                <w:sz w:val="20"/>
                <w:szCs w:val="20"/>
              </w:rPr>
              <w:t>%</w:t>
            </w:r>
          </w:p>
        </w:tc>
        <w:tc>
          <w:tcPr>
            <w:tcW w:w="1288" w:type="dxa"/>
          </w:tcPr>
          <w:p w14:paraId="150FA2FC" w14:textId="77777777" w:rsidR="00AA3E1D" w:rsidRDefault="00AA3E1D" w:rsidP="00CC607A">
            <w:pPr>
              <w:jc w:val="center"/>
              <w:rPr>
                <w:rFonts w:ascii="Arial" w:hAnsi="Arial" w:cs="Arial"/>
                <w:sz w:val="20"/>
                <w:szCs w:val="20"/>
              </w:rPr>
            </w:pPr>
          </w:p>
          <w:p w14:paraId="19F14E5B" w14:textId="6B3AECDE" w:rsidR="00D16A7D" w:rsidRDefault="00D16A7D" w:rsidP="00CC607A">
            <w:pPr>
              <w:jc w:val="center"/>
              <w:rPr>
                <w:rFonts w:ascii="Arial" w:hAnsi="Arial" w:cs="Arial"/>
                <w:sz w:val="20"/>
                <w:szCs w:val="20"/>
              </w:rPr>
            </w:pPr>
            <w:r>
              <w:rPr>
                <w:rFonts w:ascii="Arial" w:hAnsi="Arial" w:cs="Arial"/>
                <w:sz w:val="20"/>
                <w:szCs w:val="20"/>
              </w:rPr>
              <w:t>59</w:t>
            </w:r>
          </w:p>
        </w:tc>
        <w:tc>
          <w:tcPr>
            <w:tcW w:w="1288" w:type="dxa"/>
          </w:tcPr>
          <w:p w14:paraId="1C8E1439" w14:textId="77777777" w:rsidR="00AA3E1D" w:rsidRDefault="00AA3E1D" w:rsidP="00CC607A">
            <w:pPr>
              <w:jc w:val="center"/>
              <w:rPr>
                <w:rFonts w:ascii="Arial" w:hAnsi="Arial" w:cs="Arial"/>
                <w:sz w:val="20"/>
                <w:szCs w:val="20"/>
              </w:rPr>
            </w:pPr>
          </w:p>
          <w:p w14:paraId="5957C1AA" w14:textId="341F9875" w:rsidR="00D16A7D" w:rsidRDefault="00D16A7D" w:rsidP="00CC607A">
            <w:pPr>
              <w:jc w:val="center"/>
              <w:rPr>
                <w:rFonts w:ascii="Arial" w:hAnsi="Arial" w:cs="Arial"/>
                <w:sz w:val="20"/>
                <w:szCs w:val="20"/>
              </w:rPr>
            </w:pPr>
            <w:r>
              <w:rPr>
                <w:rFonts w:ascii="Arial" w:hAnsi="Arial" w:cs="Arial"/>
                <w:sz w:val="20"/>
                <w:szCs w:val="20"/>
              </w:rPr>
              <w:t>&lt;1%</w:t>
            </w:r>
          </w:p>
        </w:tc>
        <w:tc>
          <w:tcPr>
            <w:tcW w:w="1288" w:type="dxa"/>
          </w:tcPr>
          <w:p w14:paraId="1A06EE7E" w14:textId="77777777" w:rsidR="00AA3E1D" w:rsidRDefault="00AA3E1D" w:rsidP="00CC607A">
            <w:pPr>
              <w:jc w:val="center"/>
              <w:rPr>
                <w:rFonts w:ascii="Arial" w:hAnsi="Arial" w:cs="Arial"/>
                <w:sz w:val="20"/>
                <w:szCs w:val="20"/>
              </w:rPr>
            </w:pPr>
          </w:p>
          <w:p w14:paraId="16AD70F9" w14:textId="4971D2C5" w:rsidR="00D16A7D" w:rsidRDefault="00D16A7D" w:rsidP="00CC607A">
            <w:pPr>
              <w:jc w:val="center"/>
              <w:rPr>
                <w:rFonts w:ascii="Arial" w:hAnsi="Arial" w:cs="Arial"/>
                <w:sz w:val="20"/>
                <w:szCs w:val="20"/>
              </w:rPr>
            </w:pPr>
            <w:r>
              <w:rPr>
                <w:rFonts w:ascii="Arial" w:hAnsi="Arial" w:cs="Arial"/>
                <w:sz w:val="20"/>
                <w:szCs w:val="20"/>
              </w:rPr>
              <w:t>53</w:t>
            </w:r>
          </w:p>
        </w:tc>
        <w:tc>
          <w:tcPr>
            <w:tcW w:w="1288" w:type="dxa"/>
          </w:tcPr>
          <w:p w14:paraId="0ED9A29F" w14:textId="77777777" w:rsidR="00AA3E1D" w:rsidRDefault="00AA3E1D" w:rsidP="00CC607A">
            <w:pPr>
              <w:jc w:val="center"/>
              <w:rPr>
                <w:rFonts w:ascii="Arial" w:hAnsi="Arial" w:cs="Arial"/>
                <w:sz w:val="20"/>
                <w:szCs w:val="20"/>
              </w:rPr>
            </w:pPr>
          </w:p>
          <w:p w14:paraId="16D3CE9C" w14:textId="5996029B" w:rsidR="00D16A7D" w:rsidRDefault="00D16A7D" w:rsidP="00CC607A">
            <w:pPr>
              <w:jc w:val="center"/>
              <w:rPr>
                <w:rFonts w:ascii="Arial" w:hAnsi="Arial" w:cs="Arial"/>
                <w:sz w:val="20"/>
                <w:szCs w:val="20"/>
              </w:rPr>
            </w:pPr>
            <w:r>
              <w:rPr>
                <w:rFonts w:ascii="Arial" w:hAnsi="Arial" w:cs="Arial"/>
                <w:sz w:val="20"/>
                <w:szCs w:val="20"/>
              </w:rPr>
              <w:t>&lt;1%</w:t>
            </w:r>
          </w:p>
        </w:tc>
        <w:tc>
          <w:tcPr>
            <w:tcW w:w="1288" w:type="dxa"/>
          </w:tcPr>
          <w:p w14:paraId="47800049" w14:textId="77777777" w:rsidR="00AA3E1D" w:rsidRDefault="00AA3E1D" w:rsidP="00CC607A">
            <w:pPr>
              <w:jc w:val="center"/>
              <w:rPr>
                <w:rFonts w:ascii="Arial" w:hAnsi="Arial" w:cs="Arial"/>
                <w:sz w:val="20"/>
                <w:szCs w:val="20"/>
              </w:rPr>
            </w:pPr>
          </w:p>
          <w:p w14:paraId="56A9FB74" w14:textId="1E29BDDF" w:rsidR="00D16A7D" w:rsidRDefault="00D16A7D" w:rsidP="00CC607A">
            <w:pPr>
              <w:jc w:val="center"/>
              <w:rPr>
                <w:rFonts w:ascii="Arial" w:hAnsi="Arial" w:cs="Arial"/>
                <w:sz w:val="20"/>
                <w:szCs w:val="20"/>
              </w:rPr>
            </w:pPr>
            <w:r>
              <w:rPr>
                <w:rFonts w:ascii="Arial" w:hAnsi="Arial" w:cs="Arial"/>
                <w:sz w:val="20"/>
                <w:szCs w:val="20"/>
              </w:rPr>
              <w:t>36</w:t>
            </w:r>
          </w:p>
        </w:tc>
        <w:tc>
          <w:tcPr>
            <w:tcW w:w="1019" w:type="dxa"/>
          </w:tcPr>
          <w:p w14:paraId="5209AE72" w14:textId="77777777" w:rsidR="00AA3E1D" w:rsidRDefault="00AA3E1D" w:rsidP="00CC607A">
            <w:pPr>
              <w:jc w:val="center"/>
              <w:rPr>
                <w:rFonts w:ascii="Arial" w:hAnsi="Arial" w:cs="Arial"/>
                <w:sz w:val="20"/>
                <w:szCs w:val="20"/>
              </w:rPr>
            </w:pPr>
          </w:p>
          <w:p w14:paraId="6EB24D30" w14:textId="74667B97" w:rsidR="00D16A7D" w:rsidRDefault="00D16A7D" w:rsidP="00CC607A">
            <w:pPr>
              <w:jc w:val="center"/>
              <w:rPr>
                <w:rFonts w:ascii="Arial" w:hAnsi="Arial" w:cs="Arial"/>
                <w:sz w:val="20"/>
                <w:szCs w:val="20"/>
              </w:rPr>
            </w:pPr>
            <w:r>
              <w:rPr>
                <w:rFonts w:ascii="Arial" w:hAnsi="Arial" w:cs="Arial"/>
                <w:sz w:val="20"/>
                <w:szCs w:val="20"/>
              </w:rPr>
              <w:t>&lt;1%</w:t>
            </w:r>
          </w:p>
        </w:tc>
      </w:tr>
    </w:tbl>
    <w:p w14:paraId="55891D75" w14:textId="66C42ED1" w:rsidR="00091A22" w:rsidRDefault="00091A22" w:rsidP="00091A22">
      <w:pPr>
        <w:jc w:val="both"/>
        <w:rPr>
          <w:rFonts w:ascii="Arial" w:hAnsi="Arial" w:cs="Arial"/>
          <w:sz w:val="20"/>
          <w:szCs w:val="20"/>
        </w:rPr>
      </w:pPr>
    </w:p>
    <w:p w14:paraId="0F44F553" w14:textId="63842C1E" w:rsidR="00AA3E1D" w:rsidRDefault="00AA3E1D" w:rsidP="00091A22">
      <w:pPr>
        <w:jc w:val="both"/>
        <w:rPr>
          <w:rFonts w:ascii="Arial" w:hAnsi="Arial" w:cs="Arial"/>
          <w:sz w:val="20"/>
          <w:szCs w:val="20"/>
        </w:rPr>
      </w:pPr>
    </w:p>
    <w:p w14:paraId="64F19663" w14:textId="77777777" w:rsidR="00883D7B" w:rsidRDefault="00883D7B">
      <w:pPr>
        <w:spacing w:after="200" w:line="276" w:lineRule="auto"/>
        <w:rPr>
          <w:rFonts w:ascii="Arial" w:hAnsi="Arial" w:cs="Arial"/>
          <w:b/>
          <w:sz w:val="20"/>
          <w:szCs w:val="20"/>
        </w:rPr>
      </w:pPr>
      <w:r>
        <w:rPr>
          <w:rFonts w:ascii="Arial" w:hAnsi="Arial" w:cs="Arial"/>
          <w:b/>
          <w:sz w:val="20"/>
          <w:szCs w:val="20"/>
        </w:rPr>
        <w:br w:type="page"/>
      </w:r>
    </w:p>
    <w:p w14:paraId="609D793A" w14:textId="5CD94C55" w:rsidR="00AA3E1D" w:rsidRPr="00C659B5" w:rsidRDefault="00C659B5" w:rsidP="00091A22">
      <w:pPr>
        <w:jc w:val="both"/>
        <w:rPr>
          <w:rFonts w:ascii="Arial" w:hAnsi="Arial" w:cs="Arial"/>
          <w:b/>
          <w:sz w:val="20"/>
          <w:szCs w:val="20"/>
        </w:rPr>
      </w:pPr>
      <w:r>
        <w:rPr>
          <w:rFonts w:ascii="Arial" w:hAnsi="Arial" w:cs="Arial"/>
          <w:b/>
          <w:sz w:val="20"/>
          <w:szCs w:val="20"/>
        </w:rPr>
        <w:lastRenderedPageBreak/>
        <w:t>Table 2:</w:t>
      </w:r>
      <w:r>
        <w:rPr>
          <w:rFonts w:ascii="Arial" w:hAnsi="Arial" w:cs="Arial"/>
          <w:b/>
          <w:sz w:val="20"/>
          <w:szCs w:val="20"/>
        </w:rPr>
        <w:tab/>
        <w:t xml:space="preserve">Determinations in Victorian Mental Health Tribunal hearings </w:t>
      </w:r>
      <w:r w:rsidR="00272900">
        <w:rPr>
          <w:rFonts w:ascii="Arial" w:hAnsi="Arial" w:cs="Arial"/>
          <w:b/>
          <w:sz w:val="20"/>
          <w:szCs w:val="20"/>
        </w:rPr>
        <w:t xml:space="preserve">– </w:t>
      </w:r>
      <w:r>
        <w:rPr>
          <w:rFonts w:ascii="Arial" w:hAnsi="Arial" w:cs="Arial"/>
          <w:b/>
          <w:sz w:val="20"/>
          <w:szCs w:val="20"/>
        </w:rPr>
        <w:t>Treatment Orders</w:t>
      </w:r>
    </w:p>
    <w:p w14:paraId="0D0D3F58" w14:textId="19A2BF7B" w:rsidR="00D16A7D" w:rsidRDefault="00D16A7D" w:rsidP="00091A22">
      <w:pPr>
        <w:jc w:val="both"/>
        <w:rPr>
          <w:rFonts w:ascii="Arial" w:hAnsi="Arial" w:cs="Arial"/>
          <w:sz w:val="20"/>
          <w:szCs w:val="20"/>
        </w:rPr>
      </w:pPr>
    </w:p>
    <w:p w14:paraId="1398878F" w14:textId="5D95436D" w:rsidR="00C659B5" w:rsidRDefault="00C659B5" w:rsidP="00091A22">
      <w:pPr>
        <w:jc w:val="both"/>
        <w:rPr>
          <w:rFonts w:ascii="Arial" w:hAnsi="Arial" w:cs="Arial"/>
          <w:sz w:val="20"/>
          <w:szCs w:val="20"/>
        </w:rPr>
      </w:pPr>
    </w:p>
    <w:tbl>
      <w:tblPr>
        <w:tblStyle w:val="TableGrid"/>
        <w:tblW w:w="15446" w:type="dxa"/>
        <w:tblLook w:val="04A0" w:firstRow="1" w:lastRow="0" w:firstColumn="1" w:lastColumn="0" w:noHBand="0" w:noVBand="1"/>
      </w:tblPr>
      <w:tblGrid>
        <w:gridCol w:w="2835"/>
        <w:gridCol w:w="1288"/>
        <w:gridCol w:w="1288"/>
        <w:gridCol w:w="1288"/>
        <w:gridCol w:w="1288"/>
        <w:gridCol w:w="1288"/>
        <w:gridCol w:w="1288"/>
        <w:gridCol w:w="1288"/>
        <w:gridCol w:w="1288"/>
        <w:gridCol w:w="1173"/>
        <w:gridCol w:w="1134"/>
      </w:tblGrid>
      <w:tr w:rsidR="00C659B5" w14:paraId="59C042E0" w14:textId="77777777" w:rsidTr="004B028A">
        <w:tc>
          <w:tcPr>
            <w:tcW w:w="2835" w:type="dxa"/>
            <w:vMerge w:val="restart"/>
          </w:tcPr>
          <w:p w14:paraId="57726A42" w14:textId="77777777" w:rsidR="00C659B5" w:rsidRDefault="00C659B5" w:rsidP="007C3DF2">
            <w:pPr>
              <w:jc w:val="both"/>
              <w:rPr>
                <w:rFonts w:ascii="Arial" w:hAnsi="Arial" w:cs="Arial"/>
                <w:sz w:val="20"/>
                <w:szCs w:val="20"/>
              </w:rPr>
            </w:pPr>
          </w:p>
        </w:tc>
        <w:tc>
          <w:tcPr>
            <w:tcW w:w="2576" w:type="dxa"/>
            <w:gridSpan w:val="2"/>
          </w:tcPr>
          <w:p w14:paraId="5B63377F" w14:textId="77777777" w:rsidR="00C659B5" w:rsidRDefault="00C659B5" w:rsidP="007C3DF2">
            <w:pPr>
              <w:jc w:val="center"/>
              <w:rPr>
                <w:rFonts w:ascii="Arial" w:hAnsi="Arial" w:cs="Arial"/>
                <w:b/>
                <w:sz w:val="20"/>
                <w:szCs w:val="20"/>
              </w:rPr>
            </w:pPr>
            <w:r>
              <w:rPr>
                <w:rFonts w:ascii="Arial" w:hAnsi="Arial" w:cs="Arial"/>
                <w:b/>
                <w:sz w:val="20"/>
                <w:szCs w:val="20"/>
              </w:rPr>
              <w:t>2014/15</w:t>
            </w:r>
          </w:p>
          <w:p w14:paraId="0854F4F5" w14:textId="13FE0968" w:rsidR="00C659B5" w:rsidRPr="00EA0EED" w:rsidRDefault="00C659B5" w:rsidP="007C3DF2">
            <w:pPr>
              <w:jc w:val="center"/>
              <w:rPr>
                <w:rFonts w:ascii="Arial" w:hAnsi="Arial" w:cs="Arial"/>
                <w:b/>
                <w:sz w:val="20"/>
                <w:szCs w:val="20"/>
              </w:rPr>
            </w:pPr>
            <w:r>
              <w:rPr>
                <w:rFonts w:ascii="Arial" w:hAnsi="Arial" w:cs="Arial"/>
                <w:b/>
                <w:sz w:val="20"/>
                <w:szCs w:val="20"/>
              </w:rPr>
              <w:t xml:space="preserve">(N = </w:t>
            </w:r>
            <w:r w:rsidR="00F84C33">
              <w:rPr>
                <w:rFonts w:ascii="Arial" w:hAnsi="Arial" w:cs="Arial"/>
                <w:b/>
                <w:sz w:val="20"/>
                <w:szCs w:val="20"/>
              </w:rPr>
              <w:t>5329</w:t>
            </w:r>
            <w:r>
              <w:rPr>
                <w:rFonts w:ascii="Arial" w:hAnsi="Arial" w:cs="Arial"/>
                <w:b/>
                <w:sz w:val="20"/>
                <w:szCs w:val="20"/>
              </w:rPr>
              <w:t xml:space="preserve"> hearings)</w:t>
            </w:r>
          </w:p>
        </w:tc>
        <w:tc>
          <w:tcPr>
            <w:tcW w:w="2576" w:type="dxa"/>
            <w:gridSpan w:val="2"/>
          </w:tcPr>
          <w:p w14:paraId="3E460B1C" w14:textId="77777777" w:rsidR="00C659B5" w:rsidRDefault="00C659B5" w:rsidP="007C3DF2">
            <w:pPr>
              <w:jc w:val="center"/>
              <w:rPr>
                <w:rFonts w:ascii="Arial" w:hAnsi="Arial" w:cs="Arial"/>
                <w:b/>
                <w:sz w:val="20"/>
                <w:szCs w:val="20"/>
              </w:rPr>
            </w:pPr>
            <w:r>
              <w:rPr>
                <w:rFonts w:ascii="Arial" w:hAnsi="Arial" w:cs="Arial"/>
                <w:b/>
                <w:sz w:val="20"/>
                <w:szCs w:val="20"/>
              </w:rPr>
              <w:t>2015/16</w:t>
            </w:r>
          </w:p>
          <w:p w14:paraId="2024FC2D" w14:textId="0FF772C6" w:rsidR="00C659B5" w:rsidRPr="00EA0EED" w:rsidRDefault="00C659B5" w:rsidP="007C3DF2">
            <w:pPr>
              <w:jc w:val="center"/>
              <w:rPr>
                <w:rFonts w:ascii="Arial" w:hAnsi="Arial" w:cs="Arial"/>
                <w:b/>
                <w:sz w:val="20"/>
                <w:szCs w:val="20"/>
              </w:rPr>
            </w:pPr>
            <w:r>
              <w:rPr>
                <w:rFonts w:ascii="Arial" w:hAnsi="Arial" w:cs="Arial"/>
                <w:b/>
                <w:sz w:val="20"/>
                <w:szCs w:val="20"/>
              </w:rPr>
              <w:t>(N</w:t>
            </w:r>
            <w:r w:rsidR="00F84C33">
              <w:rPr>
                <w:rFonts w:ascii="Arial" w:hAnsi="Arial" w:cs="Arial"/>
                <w:b/>
                <w:sz w:val="20"/>
                <w:szCs w:val="20"/>
              </w:rPr>
              <w:t xml:space="preserve"> = 5960</w:t>
            </w:r>
            <w:r>
              <w:rPr>
                <w:rFonts w:ascii="Arial" w:hAnsi="Arial" w:cs="Arial"/>
                <w:b/>
                <w:sz w:val="20"/>
                <w:szCs w:val="20"/>
              </w:rPr>
              <w:t xml:space="preserve"> hearings)</w:t>
            </w:r>
          </w:p>
        </w:tc>
        <w:tc>
          <w:tcPr>
            <w:tcW w:w="2576" w:type="dxa"/>
            <w:gridSpan w:val="2"/>
          </w:tcPr>
          <w:p w14:paraId="45EB1D5E" w14:textId="77777777" w:rsidR="00C659B5" w:rsidRDefault="00C659B5" w:rsidP="007C3DF2">
            <w:pPr>
              <w:jc w:val="center"/>
              <w:rPr>
                <w:rFonts w:ascii="Arial" w:hAnsi="Arial" w:cs="Arial"/>
                <w:b/>
                <w:sz w:val="20"/>
                <w:szCs w:val="20"/>
              </w:rPr>
            </w:pPr>
            <w:r>
              <w:rPr>
                <w:rFonts w:ascii="Arial" w:hAnsi="Arial" w:cs="Arial"/>
                <w:b/>
                <w:sz w:val="20"/>
                <w:szCs w:val="20"/>
              </w:rPr>
              <w:t>2016/17</w:t>
            </w:r>
          </w:p>
          <w:p w14:paraId="67D282E0" w14:textId="39A58B33" w:rsidR="00C659B5" w:rsidRPr="00EA0EED" w:rsidRDefault="00C659B5" w:rsidP="007C3DF2">
            <w:pPr>
              <w:jc w:val="center"/>
              <w:rPr>
                <w:rFonts w:ascii="Arial" w:hAnsi="Arial" w:cs="Arial"/>
                <w:b/>
                <w:sz w:val="20"/>
                <w:szCs w:val="20"/>
              </w:rPr>
            </w:pPr>
            <w:r>
              <w:rPr>
                <w:rFonts w:ascii="Arial" w:hAnsi="Arial" w:cs="Arial"/>
                <w:b/>
                <w:sz w:val="20"/>
                <w:szCs w:val="20"/>
              </w:rPr>
              <w:t xml:space="preserve">(N = </w:t>
            </w:r>
            <w:r w:rsidR="00F84C33">
              <w:rPr>
                <w:rFonts w:ascii="Arial" w:hAnsi="Arial" w:cs="Arial"/>
                <w:b/>
                <w:sz w:val="20"/>
                <w:szCs w:val="20"/>
              </w:rPr>
              <w:t>6296</w:t>
            </w:r>
            <w:r>
              <w:rPr>
                <w:rFonts w:ascii="Arial" w:hAnsi="Arial" w:cs="Arial"/>
                <w:b/>
                <w:sz w:val="20"/>
                <w:szCs w:val="20"/>
              </w:rPr>
              <w:t xml:space="preserve"> hearings)</w:t>
            </w:r>
          </w:p>
        </w:tc>
        <w:tc>
          <w:tcPr>
            <w:tcW w:w="2576" w:type="dxa"/>
            <w:gridSpan w:val="2"/>
          </w:tcPr>
          <w:p w14:paraId="11F3C284" w14:textId="77777777" w:rsidR="00C659B5" w:rsidRDefault="00C659B5" w:rsidP="007C3DF2">
            <w:pPr>
              <w:jc w:val="center"/>
              <w:rPr>
                <w:rFonts w:ascii="Arial" w:hAnsi="Arial" w:cs="Arial"/>
                <w:b/>
                <w:sz w:val="20"/>
                <w:szCs w:val="20"/>
              </w:rPr>
            </w:pPr>
            <w:r>
              <w:rPr>
                <w:rFonts w:ascii="Arial" w:hAnsi="Arial" w:cs="Arial"/>
                <w:b/>
                <w:sz w:val="20"/>
                <w:szCs w:val="20"/>
              </w:rPr>
              <w:t>2017/18</w:t>
            </w:r>
          </w:p>
          <w:p w14:paraId="4F79EE16" w14:textId="5B9EE254" w:rsidR="00C659B5" w:rsidRPr="00EA0EED" w:rsidRDefault="00C659B5" w:rsidP="007C3DF2">
            <w:pPr>
              <w:jc w:val="center"/>
              <w:rPr>
                <w:rFonts w:ascii="Arial" w:hAnsi="Arial" w:cs="Arial"/>
                <w:b/>
                <w:sz w:val="20"/>
                <w:szCs w:val="20"/>
              </w:rPr>
            </w:pPr>
            <w:r>
              <w:rPr>
                <w:rFonts w:ascii="Arial" w:hAnsi="Arial" w:cs="Arial"/>
                <w:b/>
                <w:sz w:val="20"/>
                <w:szCs w:val="20"/>
              </w:rPr>
              <w:t xml:space="preserve">(N = </w:t>
            </w:r>
            <w:r w:rsidR="00F84C33">
              <w:rPr>
                <w:rFonts w:ascii="Arial" w:hAnsi="Arial" w:cs="Arial"/>
                <w:b/>
                <w:sz w:val="20"/>
                <w:szCs w:val="20"/>
              </w:rPr>
              <w:t>6467</w:t>
            </w:r>
            <w:r>
              <w:rPr>
                <w:rFonts w:ascii="Arial" w:hAnsi="Arial" w:cs="Arial"/>
                <w:b/>
                <w:sz w:val="20"/>
                <w:szCs w:val="20"/>
              </w:rPr>
              <w:t xml:space="preserve"> hearings)</w:t>
            </w:r>
          </w:p>
        </w:tc>
        <w:tc>
          <w:tcPr>
            <w:tcW w:w="2307" w:type="dxa"/>
            <w:gridSpan w:val="2"/>
          </w:tcPr>
          <w:p w14:paraId="13AF9B4F" w14:textId="77777777" w:rsidR="00C659B5" w:rsidRDefault="00C659B5" w:rsidP="007C3DF2">
            <w:pPr>
              <w:jc w:val="center"/>
              <w:rPr>
                <w:rFonts w:ascii="Arial" w:hAnsi="Arial" w:cs="Arial"/>
                <w:b/>
                <w:sz w:val="20"/>
                <w:szCs w:val="20"/>
              </w:rPr>
            </w:pPr>
            <w:r>
              <w:rPr>
                <w:rFonts w:ascii="Arial" w:hAnsi="Arial" w:cs="Arial"/>
                <w:b/>
                <w:sz w:val="20"/>
                <w:szCs w:val="20"/>
              </w:rPr>
              <w:t>2018/19</w:t>
            </w:r>
          </w:p>
          <w:p w14:paraId="52E5ECF5" w14:textId="2B132C58" w:rsidR="00C659B5" w:rsidRPr="00EA0EED" w:rsidRDefault="00C659B5" w:rsidP="007C3DF2">
            <w:pPr>
              <w:jc w:val="center"/>
              <w:rPr>
                <w:rFonts w:ascii="Arial" w:hAnsi="Arial" w:cs="Arial"/>
                <w:b/>
                <w:sz w:val="20"/>
                <w:szCs w:val="20"/>
              </w:rPr>
            </w:pPr>
            <w:r>
              <w:rPr>
                <w:rFonts w:ascii="Arial" w:hAnsi="Arial" w:cs="Arial"/>
                <w:b/>
                <w:sz w:val="20"/>
                <w:szCs w:val="20"/>
              </w:rPr>
              <w:t xml:space="preserve">(N = </w:t>
            </w:r>
            <w:r w:rsidR="00F84C33">
              <w:rPr>
                <w:rFonts w:ascii="Arial" w:hAnsi="Arial" w:cs="Arial"/>
                <w:b/>
                <w:sz w:val="20"/>
                <w:szCs w:val="20"/>
              </w:rPr>
              <w:t>6794</w:t>
            </w:r>
            <w:r>
              <w:rPr>
                <w:rFonts w:ascii="Arial" w:hAnsi="Arial" w:cs="Arial"/>
                <w:b/>
                <w:sz w:val="20"/>
                <w:szCs w:val="20"/>
              </w:rPr>
              <w:t xml:space="preserve"> hearings)</w:t>
            </w:r>
          </w:p>
        </w:tc>
      </w:tr>
      <w:tr w:rsidR="00883D7B" w14:paraId="4901E176" w14:textId="77777777" w:rsidTr="004B028A">
        <w:tc>
          <w:tcPr>
            <w:tcW w:w="2835" w:type="dxa"/>
            <w:vMerge/>
          </w:tcPr>
          <w:p w14:paraId="3FD27D57" w14:textId="77777777" w:rsidR="00883D7B" w:rsidRDefault="00883D7B" w:rsidP="00883D7B">
            <w:pPr>
              <w:jc w:val="both"/>
              <w:rPr>
                <w:rFonts w:ascii="Arial" w:hAnsi="Arial" w:cs="Arial"/>
                <w:sz w:val="20"/>
                <w:szCs w:val="20"/>
              </w:rPr>
            </w:pPr>
          </w:p>
        </w:tc>
        <w:tc>
          <w:tcPr>
            <w:tcW w:w="1288" w:type="dxa"/>
          </w:tcPr>
          <w:p w14:paraId="0E875FEA" w14:textId="55B76A3D" w:rsidR="00883D7B" w:rsidRDefault="00883D7B" w:rsidP="00883D7B">
            <w:pPr>
              <w:jc w:val="center"/>
              <w:rPr>
                <w:rFonts w:ascii="Arial" w:hAnsi="Arial" w:cs="Arial"/>
                <w:b/>
                <w:sz w:val="20"/>
                <w:szCs w:val="20"/>
              </w:rPr>
            </w:pPr>
            <w:r>
              <w:rPr>
                <w:rFonts w:ascii="Arial" w:hAnsi="Arial" w:cs="Arial"/>
                <w:b/>
                <w:sz w:val="20"/>
                <w:szCs w:val="20"/>
              </w:rPr>
              <w:t>Make TO</w:t>
            </w:r>
          </w:p>
          <w:p w14:paraId="091F5703" w14:textId="3EAD0436" w:rsidR="00883D7B" w:rsidRPr="00EA0EED" w:rsidRDefault="00883D7B" w:rsidP="00883D7B">
            <w:pPr>
              <w:jc w:val="center"/>
              <w:rPr>
                <w:rFonts w:ascii="Arial" w:hAnsi="Arial" w:cs="Arial"/>
                <w:b/>
                <w:sz w:val="20"/>
                <w:szCs w:val="20"/>
              </w:rPr>
            </w:pPr>
            <w:r>
              <w:rPr>
                <w:rFonts w:ascii="Arial" w:hAnsi="Arial" w:cs="Arial"/>
                <w:b/>
                <w:sz w:val="20"/>
                <w:szCs w:val="20"/>
              </w:rPr>
              <w:t>%</w:t>
            </w:r>
          </w:p>
        </w:tc>
        <w:tc>
          <w:tcPr>
            <w:tcW w:w="1288" w:type="dxa"/>
          </w:tcPr>
          <w:p w14:paraId="1259D0DB" w14:textId="0C6E7B49" w:rsidR="00883D7B" w:rsidRPr="00EA0EED" w:rsidRDefault="00883D7B" w:rsidP="00883D7B">
            <w:pPr>
              <w:jc w:val="center"/>
              <w:rPr>
                <w:rFonts w:ascii="Arial" w:hAnsi="Arial" w:cs="Arial"/>
                <w:b/>
                <w:sz w:val="20"/>
                <w:szCs w:val="20"/>
              </w:rPr>
            </w:pPr>
            <w:r>
              <w:rPr>
                <w:rFonts w:ascii="Arial" w:hAnsi="Arial" w:cs="Arial"/>
                <w:b/>
                <w:sz w:val="20"/>
                <w:szCs w:val="20"/>
              </w:rPr>
              <w:t>Revoke TO %</w:t>
            </w:r>
          </w:p>
        </w:tc>
        <w:tc>
          <w:tcPr>
            <w:tcW w:w="1288" w:type="dxa"/>
          </w:tcPr>
          <w:p w14:paraId="0FFD1C2A" w14:textId="77777777" w:rsidR="00883D7B" w:rsidRDefault="00883D7B" w:rsidP="00883D7B">
            <w:pPr>
              <w:jc w:val="center"/>
              <w:rPr>
                <w:rFonts w:ascii="Arial" w:hAnsi="Arial" w:cs="Arial"/>
                <w:b/>
                <w:sz w:val="20"/>
                <w:szCs w:val="20"/>
              </w:rPr>
            </w:pPr>
            <w:r>
              <w:rPr>
                <w:rFonts w:ascii="Arial" w:hAnsi="Arial" w:cs="Arial"/>
                <w:b/>
                <w:sz w:val="20"/>
                <w:szCs w:val="20"/>
              </w:rPr>
              <w:t>Make TO</w:t>
            </w:r>
          </w:p>
          <w:p w14:paraId="1AAE0EF8" w14:textId="7C2E28A2" w:rsidR="00883D7B" w:rsidRPr="00EA0EED" w:rsidRDefault="00883D7B" w:rsidP="00883D7B">
            <w:pPr>
              <w:jc w:val="center"/>
              <w:rPr>
                <w:rFonts w:ascii="Arial" w:hAnsi="Arial" w:cs="Arial"/>
                <w:b/>
                <w:sz w:val="20"/>
                <w:szCs w:val="20"/>
              </w:rPr>
            </w:pPr>
            <w:r>
              <w:rPr>
                <w:rFonts w:ascii="Arial" w:hAnsi="Arial" w:cs="Arial"/>
                <w:b/>
                <w:sz w:val="20"/>
                <w:szCs w:val="20"/>
              </w:rPr>
              <w:t>%</w:t>
            </w:r>
          </w:p>
        </w:tc>
        <w:tc>
          <w:tcPr>
            <w:tcW w:w="1288" w:type="dxa"/>
          </w:tcPr>
          <w:p w14:paraId="2280F66B" w14:textId="11D9C398" w:rsidR="00883D7B" w:rsidRPr="00EA0EED" w:rsidRDefault="00883D7B" w:rsidP="00883D7B">
            <w:pPr>
              <w:jc w:val="center"/>
              <w:rPr>
                <w:rFonts w:ascii="Arial" w:hAnsi="Arial" w:cs="Arial"/>
                <w:b/>
                <w:sz w:val="20"/>
                <w:szCs w:val="20"/>
              </w:rPr>
            </w:pPr>
            <w:r>
              <w:rPr>
                <w:rFonts w:ascii="Arial" w:hAnsi="Arial" w:cs="Arial"/>
                <w:b/>
                <w:sz w:val="20"/>
                <w:szCs w:val="20"/>
              </w:rPr>
              <w:t>Revoke TO %</w:t>
            </w:r>
          </w:p>
        </w:tc>
        <w:tc>
          <w:tcPr>
            <w:tcW w:w="1288" w:type="dxa"/>
          </w:tcPr>
          <w:p w14:paraId="6A3151B1" w14:textId="77777777" w:rsidR="00883D7B" w:rsidRDefault="00883D7B" w:rsidP="00883D7B">
            <w:pPr>
              <w:jc w:val="center"/>
              <w:rPr>
                <w:rFonts w:ascii="Arial" w:hAnsi="Arial" w:cs="Arial"/>
                <w:b/>
                <w:sz w:val="20"/>
                <w:szCs w:val="20"/>
              </w:rPr>
            </w:pPr>
            <w:r>
              <w:rPr>
                <w:rFonts w:ascii="Arial" w:hAnsi="Arial" w:cs="Arial"/>
                <w:b/>
                <w:sz w:val="20"/>
                <w:szCs w:val="20"/>
              </w:rPr>
              <w:t>Make TO</w:t>
            </w:r>
          </w:p>
          <w:p w14:paraId="487A34CC" w14:textId="0117EB57" w:rsidR="00883D7B" w:rsidRPr="00EA0EED" w:rsidRDefault="00883D7B" w:rsidP="00883D7B">
            <w:pPr>
              <w:jc w:val="center"/>
              <w:rPr>
                <w:rFonts w:ascii="Arial" w:hAnsi="Arial" w:cs="Arial"/>
                <w:b/>
                <w:sz w:val="20"/>
                <w:szCs w:val="20"/>
              </w:rPr>
            </w:pPr>
            <w:r>
              <w:rPr>
                <w:rFonts w:ascii="Arial" w:hAnsi="Arial" w:cs="Arial"/>
                <w:b/>
                <w:sz w:val="20"/>
                <w:szCs w:val="20"/>
              </w:rPr>
              <w:t>%</w:t>
            </w:r>
          </w:p>
        </w:tc>
        <w:tc>
          <w:tcPr>
            <w:tcW w:w="1288" w:type="dxa"/>
          </w:tcPr>
          <w:p w14:paraId="13484C5B" w14:textId="0DAC1BA3" w:rsidR="00883D7B" w:rsidRPr="00EA0EED" w:rsidRDefault="00883D7B" w:rsidP="00883D7B">
            <w:pPr>
              <w:jc w:val="center"/>
              <w:rPr>
                <w:rFonts w:ascii="Arial" w:hAnsi="Arial" w:cs="Arial"/>
                <w:b/>
                <w:sz w:val="20"/>
                <w:szCs w:val="20"/>
              </w:rPr>
            </w:pPr>
            <w:r>
              <w:rPr>
                <w:rFonts w:ascii="Arial" w:hAnsi="Arial" w:cs="Arial"/>
                <w:b/>
                <w:sz w:val="20"/>
                <w:szCs w:val="20"/>
              </w:rPr>
              <w:t>Revoke TO %</w:t>
            </w:r>
          </w:p>
        </w:tc>
        <w:tc>
          <w:tcPr>
            <w:tcW w:w="1288" w:type="dxa"/>
          </w:tcPr>
          <w:p w14:paraId="1EACE415" w14:textId="77777777" w:rsidR="00883D7B" w:rsidRDefault="00883D7B" w:rsidP="00883D7B">
            <w:pPr>
              <w:jc w:val="center"/>
              <w:rPr>
                <w:rFonts w:ascii="Arial" w:hAnsi="Arial" w:cs="Arial"/>
                <w:b/>
                <w:sz w:val="20"/>
                <w:szCs w:val="20"/>
              </w:rPr>
            </w:pPr>
            <w:r>
              <w:rPr>
                <w:rFonts w:ascii="Arial" w:hAnsi="Arial" w:cs="Arial"/>
                <w:b/>
                <w:sz w:val="20"/>
                <w:szCs w:val="20"/>
              </w:rPr>
              <w:t>Make TO</w:t>
            </w:r>
          </w:p>
          <w:p w14:paraId="57A5F528" w14:textId="69B6AA84" w:rsidR="00883D7B" w:rsidRPr="00EA0EED" w:rsidRDefault="00883D7B" w:rsidP="00883D7B">
            <w:pPr>
              <w:jc w:val="center"/>
              <w:rPr>
                <w:rFonts w:ascii="Arial" w:hAnsi="Arial" w:cs="Arial"/>
                <w:b/>
                <w:sz w:val="20"/>
                <w:szCs w:val="20"/>
              </w:rPr>
            </w:pPr>
            <w:r>
              <w:rPr>
                <w:rFonts w:ascii="Arial" w:hAnsi="Arial" w:cs="Arial"/>
                <w:b/>
                <w:sz w:val="20"/>
                <w:szCs w:val="20"/>
              </w:rPr>
              <w:t>%</w:t>
            </w:r>
          </w:p>
        </w:tc>
        <w:tc>
          <w:tcPr>
            <w:tcW w:w="1288" w:type="dxa"/>
          </w:tcPr>
          <w:p w14:paraId="14BADEEB" w14:textId="1FB88AF2" w:rsidR="00883D7B" w:rsidRPr="00EA0EED" w:rsidRDefault="00883D7B" w:rsidP="00883D7B">
            <w:pPr>
              <w:jc w:val="center"/>
              <w:rPr>
                <w:rFonts w:ascii="Arial" w:hAnsi="Arial" w:cs="Arial"/>
                <w:b/>
                <w:sz w:val="20"/>
                <w:szCs w:val="20"/>
              </w:rPr>
            </w:pPr>
            <w:r>
              <w:rPr>
                <w:rFonts w:ascii="Arial" w:hAnsi="Arial" w:cs="Arial"/>
                <w:b/>
                <w:sz w:val="20"/>
                <w:szCs w:val="20"/>
              </w:rPr>
              <w:t>Revoke TO %</w:t>
            </w:r>
          </w:p>
        </w:tc>
        <w:tc>
          <w:tcPr>
            <w:tcW w:w="1173" w:type="dxa"/>
          </w:tcPr>
          <w:p w14:paraId="6006999D" w14:textId="0976B2B9" w:rsidR="00883D7B" w:rsidRPr="00EA0EED" w:rsidRDefault="00883D7B" w:rsidP="004B028A">
            <w:pPr>
              <w:jc w:val="center"/>
              <w:rPr>
                <w:rFonts w:ascii="Arial" w:hAnsi="Arial" w:cs="Arial"/>
                <w:b/>
                <w:sz w:val="20"/>
                <w:szCs w:val="20"/>
              </w:rPr>
            </w:pPr>
            <w:r>
              <w:rPr>
                <w:rFonts w:ascii="Arial" w:hAnsi="Arial" w:cs="Arial"/>
                <w:b/>
                <w:sz w:val="20"/>
                <w:szCs w:val="20"/>
              </w:rPr>
              <w:t>Make TO</w:t>
            </w:r>
            <w:r w:rsidR="004B028A">
              <w:rPr>
                <w:rFonts w:ascii="Arial" w:hAnsi="Arial" w:cs="Arial"/>
                <w:b/>
                <w:sz w:val="20"/>
                <w:szCs w:val="20"/>
              </w:rPr>
              <w:t xml:space="preserve"> </w:t>
            </w:r>
            <w:r>
              <w:rPr>
                <w:rFonts w:ascii="Arial" w:hAnsi="Arial" w:cs="Arial"/>
                <w:b/>
                <w:sz w:val="20"/>
                <w:szCs w:val="20"/>
              </w:rPr>
              <w:t>%</w:t>
            </w:r>
          </w:p>
        </w:tc>
        <w:tc>
          <w:tcPr>
            <w:tcW w:w="1134" w:type="dxa"/>
          </w:tcPr>
          <w:p w14:paraId="783FF75F" w14:textId="0B2D4392" w:rsidR="00883D7B" w:rsidRPr="00EA0EED" w:rsidRDefault="00883D7B" w:rsidP="00883D7B">
            <w:pPr>
              <w:jc w:val="center"/>
              <w:rPr>
                <w:rFonts w:ascii="Arial" w:hAnsi="Arial" w:cs="Arial"/>
                <w:b/>
                <w:sz w:val="20"/>
                <w:szCs w:val="20"/>
              </w:rPr>
            </w:pPr>
            <w:r>
              <w:rPr>
                <w:rFonts w:ascii="Arial" w:hAnsi="Arial" w:cs="Arial"/>
                <w:b/>
                <w:sz w:val="20"/>
                <w:szCs w:val="20"/>
              </w:rPr>
              <w:t>Revoke TO %</w:t>
            </w:r>
          </w:p>
        </w:tc>
      </w:tr>
      <w:tr w:rsidR="00C659B5" w14:paraId="3D84B007" w14:textId="77777777" w:rsidTr="004B028A">
        <w:tc>
          <w:tcPr>
            <w:tcW w:w="2835" w:type="dxa"/>
          </w:tcPr>
          <w:p w14:paraId="68333FB6" w14:textId="77777777" w:rsidR="00C659B5" w:rsidRDefault="00C659B5" w:rsidP="00883D7B">
            <w:pPr>
              <w:rPr>
                <w:rFonts w:ascii="Arial" w:hAnsi="Arial" w:cs="Arial"/>
                <w:sz w:val="20"/>
                <w:szCs w:val="20"/>
              </w:rPr>
            </w:pPr>
          </w:p>
          <w:p w14:paraId="11200CC6" w14:textId="353FD6BE" w:rsidR="00C659B5" w:rsidRDefault="00883D7B" w:rsidP="00883D7B">
            <w:pPr>
              <w:rPr>
                <w:rFonts w:ascii="Arial" w:hAnsi="Arial" w:cs="Arial"/>
                <w:sz w:val="20"/>
                <w:szCs w:val="20"/>
              </w:rPr>
            </w:pPr>
            <w:r>
              <w:rPr>
                <w:rFonts w:ascii="Arial" w:hAnsi="Arial" w:cs="Arial"/>
                <w:sz w:val="20"/>
                <w:szCs w:val="20"/>
              </w:rPr>
              <w:t>Global outcomes</w:t>
            </w:r>
          </w:p>
          <w:p w14:paraId="1596D1BD" w14:textId="77777777" w:rsidR="00C659B5" w:rsidRDefault="00C659B5" w:rsidP="00883D7B">
            <w:pPr>
              <w:rPr>
                <w:rFonts w:ascii="Arial" w:hAnsi="Arial" w:cs="Arial"/>
                <w:sz w:val="20"/>
                <w:szCs w:val="20"/>
              </w:rPr>
            </w:pPr>
          </w:p>
        </w:tc>
        <w:tc>
          <w:tcPr>
            <w:tcW w:w="1288" w:type="dxa"/>
          </w:tcPr>
          <w:p w14:paraId="0CB3BA25" w14:textId="77777777" w:rsidR="00C659B5" w:rsidRDefault="00C659B5" w:rsidP="007C3DF2">
            <w:pPr>
              <w:jc w:val="center"/>
              <w:rPr>
                <w:rFonts w:ascii="Arial" w:hAnsi="Arial" w:cs="Arial"/>
                <w:sz w:val="20"/>
                <w:szCs w:val="20"/>
              </w:rPr>
            </w:pPr>
          </w:p>
          <w:p w14:paraId="4A18BCF3" w14:textId="1DE46D25" w:rsidR="00883D7B" w:rsidRDefault="00F84C33" w:rsidP="007C3DF2">
            <w:pPr>
              <w:jc w:val="center"/>
              <w:rPr>
                <w:rFonts w:ascii="Arial" w:hAnsi="Arial" w:cs="Arial"/>
                <w:sz w:val="20"/>
                <w:szCs w:val="20"/>
              </w:rPr>
            </w:pPr>
            <w:r>
              <w:rPr>
                <w:rFonts w:ascii="Arial" w:hAnsi="Arial" w:cs="Arial"/>
                <w:sz w:val="20"/>
                <w:szCs w:val="20"/>
              </w:rPr>
              <w:t>92%</w:t>
            </w:r>
          </w:p>
        </w:tc>
        <w:tc>
          <w:tcPr>
            <w:tcW w:w="1288" w:type="dxa"/>
          </w:tcPr>
          <w:p w14:paraId="620B169A" w14:textId="77777777" w:rsidR="00C659B5" w:rsidRDefault="00C659B5" w:rsidP="007C3DF2">
            <w:pPr>
              <w:jc w:val="center"/>
              <w:rPr>
                <w:rFonts w:ascii="Arial" w:hAnsi="Arial" w:cs="Arial"/>
                <w:sz w:val="20"/>
                <w:szCs w:val="20"/>
              </w:rPr>
            </w:pPr>
          </w:p>
          <w:p w14:paraId="7E04DA90" w14:textId="16138154" w:rsidR="00883D7B" w:rsidRDefault="00F84C33" w:rsidP="007C3DF2">
            <w:pPr>
              <w:jc w:val="center"/>
              <w:rPr>
                <w:rFonts w:ascii="Arial" w:hAnsi="Arial" w:cs="Arial"/>
                <w:sz w:val="20"/>
                <w:szCs w:val="20"/>
              </w:rPr>
            </w:pPr>
            <w:r>
              <w:rPr>
                <w:rFonts w:ascii="Arial" w:hAnsi="Arial" w:cs="Arial"/>
                <w:sz w:val="20"/>
                <w:szCs w:val="20"/>
              </w:rPr>
              <w:t>8%</w:t>
            </w:r>
          </w:p>
        </w:tc>
        <w:tc>
          <w:tcPr>
            <w:tcW w:w="1288" w:type="dxa"/>
          </w:tcPr>
          <w:p w14:paraId="61274661" w14:textId="77777777" w:rsidR="00C659B5" w:rsidRDefault="00C659B5" w:rsidP="007C3DF2">
            <w:pPr>
              <w:jc w:val="center"/>
              <w:rPr>
                <w:rFonts w:ascii="Arial" w:hAnsi="Arial" w:cs="Arial"/>
                <w:sz w:val="20"/>
                <w:szCs w:val="20"/>
              </w:rPr>
            </w:pPr>
          </w:p>
          <w:p w14:paraId="42FF836E" w14:textId="774884A6" w:rsidR="00883D7B" w:rsidRDefault="00560CC8" w:rsidP="007C3DF2">
            <w:pPr>
              <w:jc w:val="center"/>
              <w:rPr>
                <w:rFonts w:ascii="Arial" w:hAnsi="Arial" w:cs="Arial"/>
                <w:sz w:val="20"/>
                <w:szCs w:val="20"/>
              </w:rPr>
            </w:pPr>
            <w:r>
              <w:rPr>
                <w:rFonts w:ascii="Arial" w:hAnsi="Arial" w:cs="Arial"/>
                <w:sz w:val="20"/>
                <w:szCs w:val="20"/>
              </w:rPr>
              <w:t>94%</w:t>
            </w:r>
          </w:p>
        </w:tc>
        <w:tc>
          <w:tcPr>
            <w:tcW w:w="1288" w:type="dxa"/>
          </w:tcPr>
          <w:p w14:paraId="05BAEE1A" w14:textId="77777777" w:rsidR="00C659B5" w:rsidRDefault="00C659B5" w:rsidP="007C3DF2">
            <w:pPr>
              <w:jc w:val="center"/>
              <w:rPr>
                <w:rFonts w:ascii="Arial" w:hAnsi="Arial" w:cs="Arial"/>
                <w:sz w:val="20"/>
                <w:szCs w:val="20"/>
              </w:rPr>
            </w:pPr>
          </w:p>
          <w:p w14:paraId="4B41E095" w14:textId="6F42B7C8" w:rsidR="00883D7B" w:rsidRDefault="00560CC8" w:rsidP="007C3DF2">
            <w:pPr>
              <w:jc w:val="center"/>
              <w:rPr>
                <w:rFonts w:ascii="Arial" w:hAnsi="Arial" w:cs="Arial"/>
                <w:sz w:val="20"/>
                <w:szCs w:val="20"/>
              </w:rPr>
            </w:pPr>
            <w:r>
              <w:rPr>
                <w:rFonts w:ascii="Arial" w:hAnsi="Arial" w:cs="Arial"/>
                <w:sz w:val="20"/>
                <w:szCs w:val="20"/>
              </w:rPr>
              <w:t>6%</w:t>
            </w:r>
          </w:p>
        </w:tc>
        <w:tc>
          <w:tcPr>
            <w:tcW w:w="1288" w:type="dxa"/>
          </w:tcPr>
          <w:p w14:paraId="4E0CD639" w14:textId="77777777" w:rsidR="00C659B5" w:rsidRDefault="00C659B5" w:rsidP="007C3DF2">
            <w:pPr>
              <w:jc w:val="center"/>
              <w:rPr>
                <w:rFonts w:ascii="Arial" w:hAnsi="Arial" w:cs="Arial"/>
                <w:sz w:val="20"/>
                <w:szCs w:val="20"/>
              </w:rPr>
            </w:pPr>
          </w:p>
          <w:p w14:paraId="0ADF7C54" w14:textId="578BC9F4" w:rsidR="00883D7B" w:rsidRDefault="00560CC8" w:rsidP="007C3DF2">
            <w:pPr>
              <w:jc w:val="center"/>
              <w:rPr>
                <w:rFonts w:ascii="Arial" w:hAnsi="Arial" w:cs="Arial"/>
                <w:sz w:val="20"/>
                <w:szCs w:val="20"/>
              </w:rPr>
            </w:pPr>
            <w:r>
              <w:rPr>
                <w:rFonts w:ascii="Arial" w:hAnsi="Arial" w:cs="Arial"/>
                <w:sz w:val="20"/>
                <w:szCs w:val="20"/>
              </w:rPr>
              <w:t>94%</w:t>
            </w:r>
          </w:p>
        </w:tc>
        <w:tc>
          <w:tcPr>
            <w:tcW w:w="1288" w:type="dxa"/>
          </w:tcPr>
          <w:p w14:paraId="312EA83C" w14:textId="77777777" w:rsidR="00C659B5" w:rsidRDefault="00C659B5" w:rsidP="007C3DF2">
            <w:pPr>
              <w:jc w:val="center"/>
              <w:rPr>
                <w:rFonts w:ascii="Arial" w:hAnsi="Arial" w:cs="Arial"/>
                <w:sz w:val="20"/>
                <w:szCs w:val="20"/>
              </w:rPr>
            </w:pPr>
          </w:p>
          <w:p w14:paraId="3E6DF7C4" w14:textId="32AA21D5" w:rsidR="00883D7B" w:rsidRDefault="00560CC8" w:rsidP="007C3DF2">
            <w:pPr>
              <w:jc w:val="center"/>
              <w:rPr>
                <w:rFonts w:ascii="Arial" w:hAnsi="Arial" w:cs="Arial"/>
                <w:sz w:val="20"/>
                <w:szCs w:val="20"/>
              </w:rPr>
            </w:pPr>
            <w:r>
              <w:rPr>
                <w:rFonts w:ascii="Arial" w:hAnsi="Arial" w:cs="Arial"/>
                <w:sz w:val="20"/>
                <w:szCs w:val="20"/>
              </w:rPr>
              <w:t>6%</w:t>
            </w:r>
          </w:p>
        </w:tc>
        <w:tc>
          <w:tcPr>
            <w:tcW w:w="1288" w:type="dxa"/>
          </w:tcPr>
          <w:p w14:paraId="140D8B67" w14:textId="77777777" w:rsidR="00C659B5" w:rsidRDefault="00C659B5" w:rsidP="007C3DF2">
            <w:pPr>
              <w:jc w:val="center"/>
              <w:rPr>
                <w:rFonts w:ascii="Arial" w:hAnsi="Arial" w:cs="Arial"/>
                <w:sz w:val="20"/>
                <w:szCs w:val="20"/>
              </w:rPr>
            </w:pPr>
          </w:p>
          <w:p w14:paraId="3C2DE8EB" w14:textId="7189100B" w:rsidR="00883D7B" w:rsidRDefault="00560CC8" w:rsidP="007C3DF2">
            <w:pPr>
              <w:jc w:val="center"/>
              <w:rPr>
                <w:rFonts w:ascii="Arial" w:hAnsi="Arial" w:cs="Arial"/>
                <w:sz w:val="20"/>
                <w:szCs w:val="20"/>
              </w:rPr>
            </w:pPr>
            <w:r>
              <w:rPr>
                <w:rFonts w:ascii="Arial" w:hAnsi="Arial" w:cs="Arial"/>
                <w:sz w:val="20"/>
                <w:szCs w:val="20"/>
              </w:rPr>
              <w:t>95%</w:t>
            </w:r>
          </w:p>
        </w:tc>
        <w:tc>
          <w:tcPr>
            <w:tcW w:w="1288" w:type="dxa"/>
          </w:tcPr>
          <w:p w14:paraId="2697B7F0" w14:textId="77777777" w:rsidR="00C659B5" w:rsidRDefault="00C659B5" w:rsidP="007C3DF2">
            <w:pPr>
              <w:jc w:val="center"/>
              <w:rPr>
                <w:rFonts w:ascii="Arial" w:hAnsi="Arial" w:cs="Arial"/>
                <w:sz w:val="20"/>
                <w:szCs w:val="20"/>
              </w:rPr>
            </w:pPr>
          </w:p>
          <w:p w14:paraId="57030537" w14:textId="611137C1" w:rsidR="00883D7B" w:rsidRDefault="00560CC8" w:rsidP="007C3DF2">
            <w:pPr>
              <w:jc w:val="center"/>
              <w:rPr>
                <w:rFonts w:ascii="Arial" w:hAnsi="Arial" w:cs="Arial"/>
                <w:sz w:val="20"/>
                <w:szCs w:val="20"/>
              </w:rPr>
            </w:pPr>
            <w:r>
              <w:rPr>
                <w:rFonts w:ascii="Arial" w:hAnsi="Arial" w:cs="Arial"/>
                <w:sz w:val="20"/>
                <w:szCs w:val="20"/>
              </w:rPr>
              <w:t>5%</w:t>
            </w:r>
          </w:p>
        </w:tc>
        <w:tc>
          <w:tcPr>
            <w:tcW w:w="1173" w:type="dxa"/>
          </w:tcPr>
          <w:p w14:paraId="1201061E" w14:textId="77777777" w:rsidR="00C659B5" w:rsidRDefault="00C659B5" w:rsidP="007C3DF2">
            <w:pPr>
              <w:jc w:val="center"/>
              <w:rPr>
                <w:rFonts w:ascii="Arial" w:hAnsi="Arial" w:cs="Arial"/>
                <w:sz w:val="20"/>
                <w:szCs w:val="20"/>
              </w:rPr>
            </w:pPr>
          </w:p>
          <w:p w14:paraId="5C29DC9F" w14:textId="56663918" w:rsidR="00883D7B" w:rsidRDefault="00560CC8" w:rsidP="007C3DF2">
            <w:pPr>
              <w:jc w:val="center"/>
              <w:rPr>
                <w:rFonts w:ascii="Arial" w:hAnsi="Arial" w:cs="Arial"/>
                <w:sz w:val="20"/>
                <w:szCs w:val="20"/>
              </w:rPr>
            </w:pPr>
            <w:r>
              <w:rPr>
                <w:rFonts w:ascii="Arial" w:hAnsi="Arial" w:cs="Arial"/>
                <w:sz w:val="20"/>
                <w:szCs w:val="20"/>
              </w:rPr>
              <w:t>93%</w:t>
            </w:r>
          </w:p>
        </w:tc>
        <w:tc>
          <w:tcPr>
            <w:tcW w:w="1134" w:type="dxa"/>
          </w:tcPr>
          <w:p w14:paraId="19FFAC2D" w14:textId="77777777" w:rsidR="00C659B5" w:rsidRDefault="00C659B5" w:rsidP="007C3DF2">
            <w:pPr>
              <w:jc w:val="center"/>
              <w:rPr>
                <w:rFonts w:ascii="Arial" w:hAnsi="Arial" w:cs="Arial"/>
                <w:sz w:val="20"/>
                <w:szCs w:val="20"/>
              </w:rPr>
            </w:pPr>
          </w:p>
          <w:p w14:paraId="52F28928" w14:textId="0C091945" w:rsidR="00883D7B" w:rsidRDefault="00560CC8" w:rsidP="007C3DF2">
            <w:pPr>
              <w:jc w:val="center"/>
              <w:rPr>
                <w:rFonts w:ascii="Arial" w:hAnsi="Arial" w:cs="Arial"/>
                <w:sz w:val="20"/>
                <w:szCs w:val="20"/>
              </w:rPr>
            </w:pPr>
            <w:r>
              <w:rPr>
                <w:rFonts w:ascii="Arial" w:hAnsi="Arial" w:cs="Arial"/>
                <w:sz w:val="20"/>
                <w:szCs w:val="20"/>
              </w:rPr>
              <w:t>7%</w:t>
            </w:r>
          </w:p>
        </w:tc>
      </w:tr>
      <w:tr w:rsidR="00774DB3" w14:paraId="26295BA0" w14:textId="77777777" w:rsidTr="007F6D3C">
        <w:tc>
          <w:tcPr>
            <w:tcW w:w="2835" w:type="dxa"/>
          </w:tcPr>
          <w:p w14:paraId="2C9CD8A3" w14:textId="77777777" w:rsidR="00774DB3" w:rsidRDefault="00774DB3" w:rsidP="007F6D3C">
            <w:pPr>
              <w:rPr>
                <w:rFonts w:ascii="Arial" w:hAnsi="Arial" w:cs="Arial"/>
                <w:sz w:val="20"/>
                <w:szCs w:val="20"/>
              </w:rPr>
            </w:pPr>
          </w:p>
          <w:p w14:paraId="182FA20F" w14:textId="77777777" w:rsidR="00774DB3" w:rsidRDefault="00774DB3" w:rsidP="007F6D3C">
            <w:pPr>
              <w:shd w:val="clear" w:color="auto" w:fill="FFFFFF" w:themeFill="background1"/>
              <w:rPr>
                <w:rFonts w:ascii="Arial" w:hAnsi="Arial" w:cs="Arial"/>
                <w:sz w:val="20"/>
                <w:szCs w:val="20"/>
              </w:rPr>
            </w:pPr>
            <w:r>
              <w:rPr>
                <w:rFonts w:ascii="Arial" w:hAnsi="Arial" w:cs="Arial"/>
                <w:sz w:val="20"/>
                <w:szCs w:val="20"/>
              </w:rPr>
              <w:t>Outcomes in hearings where the consumer did not attend (excluding revocations based on s5(c) of the Act).</w:t>
            </w:r>
            <w:r>
              <w:rPr>
                <w:rStyle w:val="FootnoteReference"/>
                <w:rFonts w:ascii="Arial" w:hAnsi="Arial" w:cs="Arial"/>
                <w:sz w:val="20"/>
                <w:szCs w:val="20"/>
              </w:rPr>
              <w:footnoteReference w:id="15"/>
            </w:r>
          </w:p>
          <w:p w14:paraId="7668DFCE" w14:textId="77777777" w:rsidR="00774DB3" w:rsidRDefault="00774DB3" w:rsidP="007F6D3C">
            <w:pPr>
              <w:rPr>
                <w:rFonts w:ascii="Arial" w:hAnsi="Arial" w:cs="Arial"/>
                <w:sz w:val="20"/>
                <w:szCs w:val="20"/>
              </w:rPr>
            </w:pPr>
          </w:p>
        </w:tc>
        <w:tc>
          <w:tcPr>
            <w:tcW w:w="1288" w:type="dxa"/>
          </w:tcPr>
          <w:p w14:paraId="305ED12E" w14:textId="77777777" w:rsidR="00774DB3" w:rsidRDefault="00774DB3" w:rsidP="007F6D3C">
            <w:pPr>
              <w:jc w:val="center"/>
              <w:rPr>
                <w:rFonts w:ascii="Arial" w:hAnsi="Arial" w:cs="Arial"/>
                <w:sz w:val="20"/>
                <w:szCs w:val="20"/>
              </w:rPr>
            </w:pPr>
          </w:p>
          <w:p w14:paraId="408BA88E" w14:textId="77777777" w:rsidR="00774DB3" w:rsidRDefault="00774DB3" w:rsidP="007F6D3C">
            <w:pPr>
              <w:jc w:val="center"/>
              <w:rPr>
                <w:rFonts w:ascii="Arial" w:hAnsi="Arial" w:cs="Arial"/>
                <w:sz w:val="20"/>
                <w:szCs w:val="20"/>
              </w:rPr>
            </w:pPr>
            <w:r>
              <w:rPr>
                <w:rFonts w:ascii="Arial" w:hAnsi="Arial" w:cs="Arial"/>
                <w:sz w:val="20"/>
                <w:szCs w:val="20"/>
              </w:rPr>
              <w:t>95%</w:t>
            </w:r>
          </w:p>
        </w:tc>
        <w:tc>
          <w:tcPr>
            <w:tcW w:w="1288" w:type="dxa"/>
          </w:tcPr>
          <w:p w14:paraId="48CE1711" w14:textId="77777777" w:rsidR="00774DB3" w:rsidRDefault="00774DB3" w:rsidP="007F6D3C">
            <w:pPr>
              <w:jc w:val="center"/>
              <w:rPr>
                <w:rFonts w:ascii="Arial" w:hAnsi="Arial" w:cs="Arial"/>
                <w:sz w:val="20"/>
                <w:szCs w:val="20"/>
              </w:rPr>
            </w:pPr>
          </w:p>
          <w:p w14:paraId="2557CBF5" w14:textId="77777777" w:rsidR="00774DB3" w:rsidRDefault="00774DB3" w:rsidP="007F6D3C">
            <w:pPr>
              <w:jc w:val="center"/>
              <w:rPr>
                <w:rFonts w:ascii="Arial" w:hAnsi="Arial" w:cs="Arial"/>
                <w:sz w:val="20"/>
                <w:szCs w:val="20"/>
              </w:rPr>
            </w:pPr>
            <w:r>
              <w:rPr>
                <w:rFonts w:ascii="Arial" w:hAnsi="Arial" w:cs="Arial"/>
                <w:sz w:val="20"/>
                <w:szCs w:val="20"/>
              </w:rPr>
              <w:t>5%</w:t>
            </w:r>
          </w:p>
        </w:tc>
        <w:tc>
          <w:tcPr>
            <w:tcW w:w="1288" w:type="dxa"/>
          </w:tcPr>
          <w:p w14:paraId="3438353F" w14:textId="77777777" w:rsidR="00774DB3" w:rsidRDefault="00774DB3" w:rsidP="007F6D3C">
            <w:pPr>
              <w:jc w:val="center"/>
              <w:rPr>
                <w:rFonts w:ascii="Arial" w:hAnsi="Arial" w:cs="Arial"/>
                <w:sz w:val="20"/>
                <w:szCs w:val="20"/>
              </w:rPr>
            </w:pPr>
          </w:p>
          <w:p w14:paraId="6B5F710D" w14:textId="77777777" w:rsidR="00774DB3" w:rsidRDefault="00774DB3" w:rsidP="007F6D3C">
            <w:pPr>
              <w:jc w:val="center"/>
              <w:rPr>
                <w:rFonts w:ascii="Arial" w:hAnsi="Arial" w:cs="Arial"/>
                <w:sz w:val="20"/>
                <w:szCs w:val="20"/>
              </w:rPr>
            </w:pPr>
            <w:r>
              <w:rPr>
                <w:rFonts w:ascii="Arial" w:hAnsi="Arial" w:cs="Arial"/>
                <w:sz w:val="20"/>
                <w:szCs w:val="20"/>
              </w:rPr>
              <w:t>97%</w:t>
            </w:r>
          </w:p>
        </w:tc>
        <w:tc>
          <w:tcPr>
            <w:tcW w:w="1288" w:type="dxa"/>
          </w:tcPr>
          <w:p w14:paraId="4780DE48" w14:textId="77777777" w:rsidR="00774DB3" w:rsidRDefault="00774DB3" w:rsidP="007F6D3C">
            <w:pPr>
              <w:jc w:val="center"/>
              <w:rPr>
                <w:rFonts w:ascii="Arial" w:hAnsi="Arial" w:cs="Arial"/>
                <w:sz w:val="20"/>
                <w:szCs w:val="20"/>
              </w:rPr>
            </w:pPr>
          </w:p>
          <w:p w14:paraId="35DC52FD" w14:textId="77777777" w:rsidR="00774DB3" w:rsidRDefault="00774DB3" w:rsidP="007F6D3C">
            <w:pPr>
              <w:jc w:val="center"/>
              <w:rPr>
                <w:rFonts w:ascii="Arial" w:hAnsi="Arial" w:cs="Arial"/>
                <w:sz w:val="20"/>
                <w:szCs w:val="20"/>
              </w:rPr>
            </w:pPr>
            <w:r>
              <w:rPr>
                <w:rFonts w:ascii="Arial" w:hAnsi="Arial" w:cs="Arial"/>
                <w:sz w:val="20"/>
                <w:szCs w:val="20"/>
              </w:rPr>
              <w:t>3%</w:t>
            </w:r>
          </w:p>
        </w:tc>
        <w:tc>
          <w:tcPr>
            <w:tcW w:w="1288" w:type="dxa"/>
          </w:tcPr>
          <w:p w14:paraId="60687DCA" w14:textId="77777777" w:rsidR="00774DB3" w:rsidRDefault="00774DB3" w:rsidP="007F6D3C">
            <w:pPr>
              <w:jc w:val="center"/>
              <w:rPr>
                <w:rFonts w:ascii="Arial" w:hAnsi="Arial" w:cs="Arial"/>
                <w:sz w:val="20"/>
                <w:szCs w:val="20"/>
              </w:rPr>
            </w:pPr>
          </w:p>
          <w:p w14:paraId="23AE8BF8" w14:textId="77777777" w:rsidR="00774DB3" w:rsidRDefault="00774DB3" w:rsidP="007F6D3C">
            <w:pPr>
              <w:jc w:val="center"/>
              <w:rPr>
                <w:rFonts w:ascii="Arial" w:hAnsi="Arial" w:cs="Arial"/>
                <w:sz w:val="20"/>
                <w:szCs w:val="20"/>
              </w:rPr>
            </w:pPr>
            <w:r>
              <w:rPr>
                <w:rFonts w:ascii="Arial" w:hAnsi="Arial" w:cs="Arial"/>
                <w:sz w:val="20"/>
                <w:szCs w:val="20"/>
              </w:rPr>
              <w:t>98%</w:t>
            </w:r>
          </w:p>
        </w:tc>
        <w:tc>
          <w:tcPr>
            <w:tcW w:w="1288" w:type="dxa"/>
          </w:tcPr>
          <w:p w14:paraId="7A3C7DE9" w14:textId="77777777" w:rsidR="00774DB3" w:rsidRDefault="00774DB3" w:rsidP="007F6D3C">
            <w:pPr>
              <w:jc w:val="center"/>
              <w:rPr>
                <w:rFonts w:ascii="Arial" w:hAnsi="Arial" w:cs="Arial"/>
                <w:sz w:val="20"/>
                <w:szCs w:val="20"/>
              </w:rPr>
            </w:pPr>
          </w:p>
          <w:p w14:paraId="7DB74528" w14:textId="77777777" w:rsidR="00774DB3" w:rsidRDefault="00774DB3" w:rsidP="007F6D3C">
            <w:pPr>
              <w:jc w:val="center"/>
              <w:rPr>
                <w:rFonts w:ascii="Arial" w:hAnsi="Arial" w:cs="Arial"/>
                <w:sz w:val="20"/>
                <w:szCs w:val="20"/>
              </w:rPr>
            </w:pPr>
            <w:r>
              <w:rPr>
                <w:rFonts w:ascii="Arial" w:hAnsi="Arial" w:cs="Arial"/>
                <w:sz w:val="20"/>
                <w:szCs w:val="20"/>
              </w:rPr>
              <w:t>2%</w:t>
            </w:r>
          </w:p>
        </w:tc>
        <w:tc>
          <w:tcPr>
            <w:tcW w:w="1288" w:type="dxa"/>
          </w:tcPr>
          <w:p w14:paraId="7AE516EC" w14:textId="77777777" w:rsidR="00774DB3" w:rsidRDefault="00774DB3" w:rsidP="007F6D3C">
            <w:pPr>
              <w:jc w:val="center"/>
              <w:rPr>
                <w:rFonts w:ascii="Arial" w:hAnsi="Arial" w:cs="Arial"/>
                <w:sz w:val="20"/>
                <w:szCs w:val="20"/>
              </w:rPr>
            </w:pPr>
          </w:p>
          <w:p w14:paraId="41AD64A1" w14:textId="77777777" w:rsidR="00774DB3" w:rsidRDefault="00774DB3" w:rsidP="007F6D3C">
            <w:pPr>
              <w:jc w:val="center"/>
              <w:rPr>
                <w:rFonts w:ascii="Arial" w:hAnsi="Arial" w:cs="Arial"/>
                <w:sz w:val="20"/>
                <w:szCs w:val="20"/>
              </w:rPr>
            </w:pPr>
            <w:r>
              <w:rPr>
                <w:rFonts w:ascii="Arial" w:hAnsi="Arial" w:cs="Arial"/>
                <w:sz w:val="20"/>
                <w:szCs w:val="20"/>
              </w:rPr>
              <w:t>98%</w:t>
            </w:r>
          </w:p>
        </w:tc>
        <w:tc>
          <w:tcPr>
            <w:tcW w:w="1288" w:type="dxa"/>
          </w:tcPr>
          <w:p w14:paraId="33FA48EF" w14:textId="77777777" w:rsidR="00774DB3" w:rsidRDefault="00774DB3" w:rsidP="007F6D3C">
            <w:pPr>
              <w:jc w:val="center"/>
              <w:rPr>
                <w:rFonts w:ascii="Arial" w:hAnsi="Arial" w:cs="Arial"/>
                <w:sz w:val="20"/>
                <w:szCs w:val="20"/>
              </w:rPr>
            </w:pPr>
          </w:p>
          <w:p w14:paraId="23CCC780" w14:textId="77777777" w:rsidR="00774DB3" w:rsidRDefault="00774DB3" w:rsidP="007F6D3C">
            <w:pPr>
              <w:jc w:val="center"/>
              <w:rPr>
                <w:rFonts w:ascii="Arial" w:hAnsi="Arial" w:cs="Arial"/>
                <w:sz w:val="20"/>
                <w:szCs w:val="20"/>
              </w:rPr>
            </w:pPr>
            <w:r>
              <w:rPr>
                <w:rFonts w:ascii="Arial" w:hAnsi="Arial" w:cs="Arial"/>
                <w:sz w:val="20"/>
                <w:szCs w:val="20"/>
              </w:rPr>
              <w:t>2%</w:t>
            </w:r>
          </w:p>
        </w:tc>
        <w:tc>
          <w:tcPr>
            <w:tcW w:w="1173" w:type="dxa"/>
          </w:tcPr>
          <w:p w14:paraId="020E48B4" w14:textId="77777777" w:rsidR="00774DB3" w:rsidRDefault="00774DB3" w:rsidP="007F6D3C">
            <w:pPr>
              <w:jc w:val="center"/>
              <w:rPr>
                <w:rFonts w:ascii="Arial" w:hAnsi="Arial" w:cs="Arial"/>
                <w:sz w:val="20"/>
                <w:szCs w:val="20"/>
              </w:rPr>
            </w:pPr>
          </w:p>
          <w:p w14:paraId="7907D4A3" w14:textId="77777777" w:rsidR="00774DB3" w:rsidRDefault="00774DB3" w:rsidP="007F6D3C">
            <w:pPr>
              <w:jc w:val="center"/>
              <w:rPr>
                <w:rFonts w:ascii="Arial" w:hAnsi="Arial" w:cs="Arial"/>
                <w:sz w:val="20"/>
                <w:szCs w:val="20"/>
              </w:rPr>
            </w:pPr>
            <w:r>
              <w:rPr>
                <w:rFonts w:ascii="Arial" w:hAnsi="Arial" w:cs="Arial"/>
                <w:sz w:val="20"/>
                <w:szCs w:val="20"/>
              </w:rPr>
              <w:t>98%</w:t>
            </w:r>
          </w:p>
        </w:tc>
        <w:tc>
          <w:tcPr>
            <w:tcW w:w="1134" w:type="dxa"/>
          </w:tcPr>
          <w:p w14:paraId="3C757AB6" w14:textId="77777777" w:rsidR="00774DB3" w:rsidRDefault="00774DB3" w:rsidP="007F6D3C">
            <w:pPr>
              <w:jc w:val="center"/>
              <w:rPr>
                <w:rFonts w:ascii="Arial" w:hAnsi="Arial" w:cs="Arial"/>
                <w:sz w:val="20"/>
                <w:szCs w:val="20"/>
              </w:rPr>
            </w:pPr>
          </w:p>
          <w:p w14:paraId="01F16E83" w14:textId="77777777" w:rsidR="00774DB3" w:rsidRDefault="00774DB3" w:rsidP="007F6D3C">
            <w:pPr>
              <w:jc w:val="center"/>
              <w:rPr>
                <w:rFonts w:ascii="Arial" w:hAnsi="Arial" w:cs="Arial"/>
                <w:sz w:val="20"/>
                <w:szCs w:val="20"/>
              </w:rPr>
            </w:pPr>
            <w:r>
              <w:rPr>
                <w:rFonts w:ascii="Arial" w:hAnsi="Arial" w:cs="Arial"/>
                <w:sz w:val="20"/>
                <w:szCs w:val="20"/>
              </w:rPr>
              <w:t>2%</w:t>
            </w:r>
          </w:p>
        </w:tc>
      </w:tr>
      <w:tr w:rsidR="00C659B5" w14:paraId="510E14C7" w14:textId="77777777" w:rsidTr="004B028A">
        <w:tc>
          <w:tcPr>
            <w:tcW w:w="2835" w:type="dxa"/>
          </w:tcPr>
          <w:p w14:paraId="2661D6FC" w14:textId="77777777" w:rsidR="00C659B5" w:rsidRDefault="00C659B5" w:rsidP="00883D7B">
            <w:pPr>
              <w:rPr>
                <w:rFonts w:ascii="Arial" w:hAnsi="Arial" w:cs="Arial"/>
                <w:sz w:val="20"/>
                <w:szCs w:val="20"/>
              </w:rPr>
            </w:pPr>
          </w:p>
          <w:p w14:paraId="12813E3E" w14:textId="46BC4292" w:rsidR="00C659B5" w:rsidRDefault="00883D7B" w:rsidP="00883D7B">
            <w:pPr>
              <w:rPr>
                <w:rFonts w:ascii="Arial" w:hAnsi="Arial" w:cs="Arial"/>
                <w:sz w:val="20"/>
                <w:szCs w:val="20"/>
              </w:rPr>
            </w:pPr>
            <w:r>
              <w:rPr>
                <w:rFonts w:ascii="Arial" w:hAnsi="Arial" w:cs="Arial"/>
                <w:sz w:val="20"/>
                <w:szCs w:val="20"/>
              </w:rPr>
              <w:t>Outcomes in hearings where the consumer attended but was not represented</w:t>
            </w:r>
          </w:p>
          <w:p w14:paraId="033D88F3" w14:textId="77777777" w:rsidR="00C659B5" w:rsidRDefault="00C659B5" w:rsidP="00883D7B">
            <w:pPr>
              <w:rPr>
                <w:rFonts w:ascii="Arial" w:hAnsi="Arial" w:cs="Arial"/>
                <w:sz w:val="20"/>
                <w:szCs w:val="20"/>
              </w:rPr>
            </w:pPr>
          </w:p>
        </w:tc>
        <w:tc>
          <w:tcPr>
            <w:tcW w:w="1288" w:type="dxa"/>
          </w:tcPr>
          <w:p w14:paraId="138AEF08" w14:textId="77777777" w:rsidR="00C659B5" w:rsidRDefault="00C659B5" w:rsidP="007C3DF2">
            <w:pPr>
              <w:jc w:val="center"/>
              <w:rPr>
                <w:rFonts w:ascii="Arial" w:hAnsi="Arial" w:cs="Arial"/>
                <w:sz w:val="20"/>
                <w:szCs w:val="20"/>
              </w:rPr>
            </w:pPr>
          </w:p>
          <w:p w14:paraId="35BC7DA9" w14:textId="7A20CD4D" w:rsidR="00883D7B" w:rsidRDefault="00F84C33" w:rsidP="007C3DF2">
            <w:pPr>
              <w:jc w:val="center"/>
              <w:rPr>
                <w:rFonts w:ascii="Arial" w:hAnsi="Arial" w:cs="Arial"/>
                <w:sz w:val="20"/>
                <w:szCs w:val="20"/>
              </w:rPr>
            </w:pPr>
            <w:r>
              <w:rPr>
                <w:rFonts w:ascii="Arial" w:hAnsi="Arial" w:cs="Arial"/>
                <w:sz w:val="20"/>
                <w:szCs w:val="20"/>
              </w:rPr>
              <w:t>94%</w:t>
            </w:r>
          </w:p>
        </w:tc>
        <w:tc>
          <w:tcPr>
            <w:tcW w:w="1288" w:type="dxa"/>
          </w:tcPr>
          <w:p w14:paraId="3FE900C2" w14:textId="77777777" w:rsidR="00C659B5" w:rsidRDefault="00C659B5" w:rsidP="007C3DF2">
            <w:pPr>
              <w:jc w:val="center"/>
              <w:rPr>
                <w:rFonts w:ascii="Arial" w:hAnsi="Arial" w:cs="Arial"/>
                <w:sz w:val="20"/>
                <w:szCs w:val="20"/>
              </w:rPr>
            </w:pPr>
          </w:p>
          <w:p w14:paraId="3E931159" w14:textId="00AF847A" w:rsidR="00883D7B" w:rsidRDefault="00F84C33" w:rsidP="007C3DF2">
            <w:pPr>
              <w:jc w:val="center"/>
              <w:rPr>
                <w:rFonts w:ascii="Arial" w:hAnsi="Arial" w:cs="Arial"/>
                <w:sz w:val="20"/>
                <w:szCs w:val="20"/>
              </w:rPr>
            </w:pPr>
            <w:r>
              <w:rPr>
                <w:rFonts w:ascii="Arial" w:hAnsi="Arial" w:cs="Arial"/>
                <w:sz w:val="20"/>
                <w:szCs w:val="20"/>
              </w:rPr>
              <w:t>6%</w:t>
            </w:r>
          </w:p>
        </w:tc>
        <w:tc>
          <w:tcPr>
            <w:tcW w:w="1288" w:type="dxa"/>
          </w:tcPr>
          <w:p w14:paraId="06AE6D21" w14:textId="77777777" w:rsidR="00C659B5" w:rsidRDefault="00C659B5" w:rsidP="007C3DF2">
            <w:pPr>
              <w:jc w:val="center"/>
              <w:rPr>
                <w:rFonts w:ascii="Arial" w:hAnsi="Arial" w:cs="Arial"/>
                <w:sz w:val="20"/>
                <w:szCs w:val="20"/>
              </w:rPr>
            </w:pPr>
          </w:p>
          <w:p w14:paraId="3BF2A4B1" w14:textId="6BD13E79" w:rsidR="00883D7B" w:rsidRDefault="00560CC8" w:rsidP="007C3DF2">
            <w:pPr>
              <w:jc w:val="center"/>
              <w:rPr>
                <w:rFonts w:ascii="Arial" w:hAnsi="Arial" w:cs="Arial"/>
                <w:sz w:val="20"/>
                <w:szCs w:val="20"/>
              </w:rPr>
            </w:pPr>
            <w:r>
              <w:rPr>
                <w:rFonts w:ascii="Arial" w:hAnsi="Arial" w:cs="Arial"/>
                <w:sz w:val="20"/>
                <w:szCs w:val="20"/>
              </w:rPr>
              <w:t>95%</w:t>
            </w:r>
          </w:p>
        </w:tc>
        <w:tc>
          <w:tcPr>
            <w:tcW w:w="1288" w:type="dxa"/>
          </w:tcPr>
          <w:p w14:paraId="7C13F074" w14:textId="77777777" w:rsidR="00C659B5" w:rsidRDefault="00C659B5" w:rsidP="007C3DF2">
            <w:pPr>
              <w:jc w:val="center"/>
              <w:rPr>
                <w:rFonts w:ascii="Arial" w:hAnsi="Arial" w:cs="Arial"/>
                <w:sz w:val="20"/>
                <w:szCs w:val="20"/>
              </w:rPr>
            </w:pPr>
          </w:p>
          <w:p w14:paraId="5DB0435B" w14:textId="7D78CEE0" w:rsidR="00883D7B" w:rsidRDefault="00560CC8" w:rsidP="007C3DF2">
            <w:pPr>
              <w:jc w:val="center"/>
              <w:rPr>
                <w:rFonts w:ascii="Arial" w:hAnsi="Arial" w:cs="Arial"/>
                <w:sz w:val="20"/>
                <w:szCs w:val="20"/>
              </w:rPr>
            </w:pPr>
            <w:r>
              <w:rPr>
                <w:rFonts w:ascii="Arial" w:hAnsi="Arial" w:cs="Arial"/>
                <w:sz w:val="20"/>
                <w:szCs w:val="20"/>
              </w:rPr>
              <w:t>5%</w:t>
            </w:r>
          </w:p>
        </w:tc>
        <w:tc>
          <w:tcPr>
            <w:tcW w:w="1288" w:type="dxa"/>
          </w:tcPr>
          <w:p w14:paraId="0B697FAE" w14:textId="77777777" w:rsidR="00C659B5" w:rsidRDefault="00C659B5" w:rsidP="007C3DF2">
            <w:pPr>
              <w:jc w:val="center"/>
              <w:rPr>
                <w:rFonts w:ascii="Arial" w:hAnsi="Arial" w:cs="Arial"/>
                <w:sz w:val="20"/>
                <w:szCs w:val="20"/>
              </w:rPr>
            </w:pPr>
          </w:p>
          <w:p w14:paraId="1433C0A3" w14:textId="6A4DCD4F" w:rsidR="00883D7B" w:rsidRDefault="00560CC8" w:rsidP="007C3DF2">
            <w:pPr>
              <w:jc w:val="center"/>
              <w:rPr>
                <w:rFonts w:ascii="Arial" w:hAnsi="Arial" w:cs="Arial"/>
                <w:sz w:val="20"/>
                <w:szCs w:val="20"/>
              </w:rPr>
            </w:pPr>
            <w:r>
              <w:rPr>
                <w:rFonts w:ascii="Arial" w:hAnsi="Arial" w:cs="Arial"/>
                <w:sz w:val="20"/>
                <w:szCs w:val="20"/>
              </w:rPr>
              <w:t>95%</w:t>
            </w:r>
          </w:p>
        </w:tc>
        <w:tc>
          <w:tcPr>
            <w:tcW w:w="1288" w:type="dxa"/>
          </w:tcPr>
          <w:p w14:paraId="399A03D1" w14:textId="77777777" w:rsidR="00C659B5" w:rsidRDefault="00C659B5" w:rsidP="007C3DF2">
            <w:pPr>
              <w:jc w:val="center"/>
              <w:rPr>
                <w:rFonts w:ascii="Arial" w:hAnsi="Arial" w:cs="Arial"/>
                <w:sz w:val="20"/>
                <w:szCs w:val="20"/>
              </w:rPr>
            </w:pPr>
          </w:p>
          <w:p w14:paraId="4E6659B6" w14:textId="1EBBC4B6" w:rsidR="00883D7B" w:rsidRDefault="00560CC8" w:rsidP="007C3DF2">
            <w:pPr>
              <w:jc w:val="center"/>
              <w:rPr>
                <w:rFonts w:ascii="Arial" w:hAnsi="Arial" w:cs="Arial"/>
                <w:sz w:val="20"/>
                <w:szCs w:val="20"/>
              </w:rPr>
            </w:pPr>
            <w:r>
              <w:rPr>
                <w:rFonts w:ascii="Arial" w:hAnsi="Arial" w:cs="Arial"/>
                <w:sz w:val="20"/>
                <w:szCs w:val="20"/>
              </w:rPr>
              <w:t>5%</w:t>
            </w:r>
          </w:p>
        </w:tc>
        <w:tc>
          <w:tcPr>
            <w:tcW w:w="1288" w:type="dxa"/>
          </w:tcPr>
          <w:p w14:paraId="176960B3" w14:textId="77777777" w:rsidR="00C659B5" w:rsidRDefault="00C659B5" w:rsidP="007C3DF2">
            <w:pPr>
              <w:jc w:val="center"/>
              <w:rPr>
                <w:rFonts w:ascii="Arial" w:hAnsi="Arial" w:cs="Arial"/>
                <w:sz w:val="20"/>
                <w:szCs w:val="20"/>
              </w:rPr>
            </w:pPr>
          </w:p>
          <w:p w14:paraId="71953680" w14:textId="729B096E" w:rsidR="00883D7B" w:rsidRDefault="00560CC8" w:rsidP="007C3DF2">
            <w:pPr>
              <w:jc w:val="center"/>
              <w:rPr>
                <w:rFonts w:ascii="Arial" w:hAnsi="Arial" w:cs="Arial"/>
                <w:sz w:val="20"/>
                <w:szCs w:val="20"/>
              </w:rPr>
            </w:pPr>
            <w:r>
              <w:rPr>
                <w:rFonts w:ascii="Arial" w:hAnsi="Arial" w:cs="Arial"/>
                <w:sz w:val="20"/>
                <w:szCs w:val="20"/>
              </w:rPr>
              <w:t>95%</w:t>
            </w:r>
          </w:p>
        </w:tc>
        <w:tc>
          <w:tcPr>
            <w:tcW w:w="1288" w:type="dxa"/>
          </w:tcPr>
          <w:p w14:paraId="6811EAA8" w14:textId="77777777" w:rsidR="00C659B5" w:rsidRDefault="00C659B5" w:rsidP="007C3DF2">
            <w:pPr>
              <w:jc w:val="center"/>
              <w:rPr>
                <w:rFonts w:ascii="Arial" w:hAnsi="Arial" w:cs="Arial"/>
                <w:sz w:val="20"/>
                <w:szCs w:val="20"/>
              </w:rPr>
            </w:pPr>
          </w:p>
          <w:p w14:paraId="5E921D0C" w14:textId="2541B9B5" w:rsidR="00883D7B" w:rsidRDefault="00560CC8" w:rsidP="007C3DF2">
            <w:pPr>
              <w:jc w:val="center"/>
              <w:rPr>
                <w:rFonts w:ascii="Arial" w:hAnsi="Arial" w:cs="Arial"/>
                <w:sz w:val="20"/>
                <w:szCs w:val="20"/>
              </w:rPr>
            </w:pPr>
            <w:r>
              <w:rPr>
                <w:rFonts w:ascii="Arial" w:hAnsi="Arial" w:cs="Arial"/>
                <w:sz w:val="20"/>
                <w:szCs w:val="20"/>
              </w:rPr>
              <w:t>5%</w:t>
            </w:r>
          </w:p>
        </w:tc>
        <w:tc>
          <w:tcPr>
            <w:tcW w:w="1173" w:type="dxa"/>
          </w:tcPr>
          <w:p w14:paraId="5B445D15" w14:textId="77777777" w:rsidR="00C659B5" w:rsidRDefault="00C659B5" w:rsidP="007C3DF2">
            <w:pPr>
              <w:jc w:val="center"/>
              <w:rPr>
                <w:rFonts w:ascii="Arial" w:hAnsi="Arial" w:cs="Arial"/>
                <w:sz w:val="20"/>
                <w:szCs w:val="20"/>
              </w:rPr>
            </w:pPr>
          </w:p>
          <w:p w14:paraId="63B8B4D2" w14:textId="65A690D8" w:rsidR="00883D7B" w:rsidRDefault="00560CC8" w:rsidP="007C3DF2">
            <w:pPr>
              <w:jc w:val="center"/>
              <w:rPr>
                <w:rFonts w:ascii="Arial" w:hAnsi="Arial" w:cs="Arial"/>
                <w:sz w:val="20"/>
                <w:szCs w:val="20"/>
              </w:rPr>
            </w:pPr>
            <w:r>
              <w:rPr>
                <w:rFonts w:ascii="Arial" w:hAnsi="Arial" w:cs="Arial"/>
                <w:sz w:val="20"/>
                <w:szCs w:val="20"/>
              </w:rPr>
              <w:t>93%</w:t>
            </w:r>
          </w:p>
        </w:tc>
        <w:tc>
          <w:tcPr>
            <w:tcW w:w="1134" w:type="dxa"/>
          </w:tcPr>
          <w:p w14:paraId="5C8F205B" w14:textId="77777777" w:rsidR="00C659B5" w:rsidRDefault="00C659B5" w:rsidP="007C3DF2">
            <w:pPr>
              <w:jc w:val="center"/>
              <w:rPr>
                <w:rFonts w:ascii="Arial" w:hAnsi="Arial" w:cs="Arial"/>
                <w:sz w:val="20"/>
                <w:szCs w:val="20"/>
              </w:rPr>
            </w:pPr>
          </w:p>
          <w:p w14:paraId="0606E1B8" w14:textId="2F9E88C8" w:rsidR="00883D7B" w:rsidRDefault="00560CC8" w:rsidP="007C3DF2">
            <w:pPr>
              <w:jc w:val="center"/>
              <w:rPr>
                <w:rFonts w:ascii="Arial" w:hAnsi="Arial" w:cs="Arial"/>
                <w:sz w:val="20"/>
                <w:szCs w:val="20"/>
              </w:rPr>
            </w:pPr>
            <w:r>
              <w:rPr>
                <w:rFonts w:ascii="Arial" w:hAnsi="Arial" w:cs="Arial"/>
                <w:sz w:val="20"/>
                <w:szCs w:val="20"/>
              </w:rPr>
              <w:t>7%</w:t>
            </w:r>
          </w:p>
        </w:tc>
      </w:tr>
      <w:tr w:rsidR="00C659B5" w14:paraId="6A8FD8A9" w14:textId="77777777" w:rsidTr="004B028A">
        <w:tc>
          <w:tcPr>
            <w:tcW w:w="2835" w:type="dxa"/>
          </w:tcPr>
          <w:p w14:paraId="243FF454" w14:textId="77777777" w:rsidR="00C659B5" w:rsidRDefault="00C659B5" w:rsidP="00883D7B">
            <w:pPr>
              <w:rPr>
                <w:rFonts w:ascii="Arial" w:hAnsi="Arial" w:cs="Arial"/>
                <w:sz w:val="20"/>
                <w:szCs w:val="20"/>
              </w:rPr>
            </w:pPr>
          </w:p>
          <w:p w14:paraId="448D12C8" w14:textId="7E9342D4" w:rsidR="00C659B5" w:rsidRDefault="00C659B5" w:rsidP="00883D7B">
            <w:pPr>
              <w:rPr>
                <w:rFonts w:ascii="Arial" w:hAnsi="Arial" w:cs="Arial"/>
                <w:sz w:val="20"/>
                <w:szCs w:val="20"/>
              </w:rPr>
            </w:pPr>
            <w:r>
              <w:rPr>
                <w:rFonts w:ascii="Arial" w:hAnsi="Arial" w:cs="Arial"/>
                <w:sz w:val="20"/>
                <w:szCs w:val="20"/>
              </w:rPr>
              <w:t>O</w:t>
            </w:r>
            <w:r w:rsidR="00883D7B">
              <w:rPr>
                <w:rFonts w:ascii="Arial" w:hAnsi="Arial" w:cs="Arial"/>
                <w:sz w:val="20"/>
                <w:szCs w:val="20"/>
              </w:rPr>
              <w:t>utcomes in hearings where the consumer attended and was legally represented</w:t>
            </w:r>
          </w:p>
          <w:p w14:paraId="73165B72" w14:textId="77777777" w:rsidR="00C659B5" w:rsidRDefault="00C659B5" w:rsidP="00883D7B">
            <w:pPr>
              <w:rPr>
                <w:rFonts w:ascii="Arial" w:hAnsi="Arial" w:cs="Arial"/>
                <w:sz w:val="20"/>
                <w:szCs w:val="20"/>
              </w:rPr>
            </w:pPr>
          </w:p>
        </w:tc>
        <w:tc>
          <w:tcPr>
            <w:tcW w:w="1288" w:type="dxa"/>
          </w:tcPr>
          <w:p w14:paraId="00FD7C76" w14:textId="1F5553D0" w:rsidR="006E413A" w:rsidRDefault="006E413A" w:rsidP="006E413A">
            <w:pPr>
              <w:jc w:val="center"/>
              <w:rPr>
                <w:rFonts w:ascii="Arial" w:hAnsi="Arial" w:cs="Arial"/>
                <w:sz w:val="20"/>
                <w:szCs w:val="20"/>
              </w:rPr>
            </w:pPr>
          </w:p>
          <w:p w14:paraId="27644247" w14:textId="77777777" w:rsidR="00883D7B" w:rsidRDefault="00560CC8" w:rsidP="007C3DF2">
            <w:pPr>
              <w:jc w:val="center"/>
              <w:rPr>
                <w:rFonts w:ascii="Arial" w:hAnsi="Arial" w:cs="Arial"/>
                <w:sz w:val="20"/>
                <w:szCs w:val="20"/>
              </w:rPr>
            </w:pPr>
            <w:r>
              <w:rPr>
                <w:rFonts w:ascii="Arial" w:hAnsi="Arial" w:cs="Arial"/>
                <w:sz w:val="20"/>
                <w:szCs w:val="20"/>
              </w:rPr>
              <w:t>87%</w:t>
            </w:r>
          </w:p>
          <w:p w14:paraId="2A94251F" w14:textId="12635439" w:rsidR="00774DB3" w:rsidRDefault="00774DB3" w:rsidP="007C3DF2">
            <w:pPr>
              <w:jc w:val="center"/>
              <w:rPr>
                <w:rFonts w:ascii="Arial" w:hAnsi="Arial" w:cs="Arial"/>
                <w:sz w:val="20"/>
                <w:szCs w:val="20"/>
              </w:rPr>
            </w:pPr>
            <w:r>
              <w:rPr>
                <w:rFonts w:ascii="Arial" w:hAnsi="Arial" w:cs="Arial"/>
                <w:sz w:val="20"/>
                <w:szCs w:val="20"/>
              </w:rPr>
              <w:t>(n = 824)</w:t>
            </w:r>
          </w:p>
        </w:tc>
        <w:tc>
          <w:tcPr>
            <w:tcW w:w="1288" w:type="dxa"/>
          </w:tcPr>
          <w:p w14:paraId="14F38479" w14:textId="77777777" w:rsidR="00C659B5" w:rsidRDefault="00C659B5" w:rsidP="007C3DF2">
            <w:pPr>
              <w:jc w:val="center"/>
              <w:rPr>
                <w:rFonts w:ascii="Arial" w:hAnsi="Arial" w:cs="Arial"/>
                <w:sz w:val="20"/>
                <w:szCs w:val="20"/>
              </w:rPr>
            </w:pPr>
          </w:p>
          <w:p w14:paraId="084B6A68" w14:textId="77777777" w:rsidR="00883D7B" w:rsidRDefault="00560CC8" w:rsidP="007C3DF2">
            <w:pPr>
              <w:jc w:val="center"/>
              <w:rPr>
                <w:rFonts w:ascii="Arial" w:hAnsi="Arial" w:cs="Arial"/>
                <w:sz w:val="20"/>
                <w:szCs w:val="20"/>
              </w:rPr>
            </w:pPr>
            <w:r>
              <w:rPr>
                <w:rFonts w:ascii="Arial" w:hAnsi="Arial" w:cs="Arial"/>
                <w:sz w:val="20"/>
                <w:szCs w:val="20"/>
              </w:rPr>
              <w:t>13%</w:t>
            </w:r>
          </w:p>
          <w:p w14:paraId="6F612437" w14:textId="6388F716" w:rsidR="00774DB3" w:rsidRDefault="00774DB3" w:rsidP="007C3DF2">
            <w:pPr>
              <w:jc w:val="center"/>
              <w:rPr>
                <w:rFonts w:ascii="Arial" w:hAnsi="Arial" w:cs="Arial"/>
                <w:sz w:val="20"/>
                <w:szCs w:val="20"/>
              </w:rPr>
            </w:pPr>
            <w:r>
              <w:rPr>
                <w:rFonts w:ascii="Arial" w:hAnsi="Arial" w:cs="Arial"/>
                <w:sz w:val="20"/>
                <w:szCs w:val="20"/>
              </w:rPr>
              <w:t>(n = 145)</w:t>
            </w:r>
          </w:p>
        </w:tc>
        <w:tc>
          <w:tcPr>
            <w:tcW w:w="1288" w:type="dxa"/>
          </w:tcPr>
          <w:p w14:paraId="6794AB59" w14:textId="77777777" w:rsidR="00C659B5" w:rsidRDefault="00C659B5" w:rsidP="007C3DF2">
            <w:pPr>
              <w:jc w:val="center"/>
              <w:rPr>
                <w:rFonts w:ascii="Arial" w:hAnsi="Arial" w:cs="Arial"/>
                <w:sz w:val="20"/>
                <w:szCs w:val="20"/>
              </w:rPr>
            </w:pPr>
          </w:p>
          <w:p w14:paraId="64A94ED3" w14:textId="77777777" w:rsidR="00883D7B" w:rsidRDefault="00560CC8" w:rsidP="007C3DF2">
            <w:pPr>
              <w:jc w:val="center"/>
              <w:rPr>
                <w:rFonts w:ascii="Arial" w:hAnsi="Arial" w:cs="Arial"/>
                <w:sz w:val="20"/>
                <w:szCs w:val="20"/>
              </w:rPr>
            </w:pPr>
            <w:r>
              <w:rPr>
                <w:rFonts w:ascii="Arial" w:hAnsi="Arial" w:cs="Arial"/>
                <w:sz w:val="20"/>
                <w:szCs w:val="20"/>
              </w:rPr>
              <w:t>89%</w:t>
            </w:r>
          </w:p>
          <w:p w14:paraId="1B01BE7D" w14:textId="55D5EC4F" w:rsidR="00774DB3" w:rsidRDefault="00774DB3" w:rsidP="007C3DF2">
            <w:pPr>
              <w:jc w:val="center"/>
              <w:rPr>
                <w:rFonts w:ascii="Arial" w:hAnsi="Arial" w:cs="Arial"/>
                <w:sz w:val="20"/>
                <w:szCs w:val="20"/>
              </w:rPr>
            </w:pPr>
            <w:r>
              <w:rPr>
                <w:rFonts w:ascii="Arial" w:hAnsi="Arial" w:cs="Arial"/>
                <w:sz w:val="20"/>
                <w:szCs w:val="20"/>
              </w:rPr>
              <w:t>(n = 796)</w:t>
            </w:r>
          </w:p>
        </w:tc>
        <w:tc>
          <w:tcPr>
            <w:tcW w:w="1288" w:type="dxa"/>
          </w:tcPr>
          <w:p w14:paraId="2925A722" w14:textId="77777777" w:rsidR="00C659B5" w:rsidRDefault="00C659B5" w:rsidP="007C3DF2">
            <w:pPr>
              <w:jc w:val="center"/>
              <w:rPr>
                <w:rFonts w:ascii="Arial" w:hAnsi="Arial" w:cs="Arial"/>
                <w:sz w:val="20"/>
                <w:szCs w:val="20"/>
              </w:rPr>
            </w:pPr>
          </w:p>
          <w:p w14:paraId="05FB7558" w14:textId="77777777" w:rsidR="00883D7B" w:rsidRDefault="00560CC8" w:rsidP="007C3DF2">
            <w:pPr>
              <w:jc w:val="center"/>
              <w:rPr>
                <w:rFonts w:ascii="Arial" w:hAnsi="Arial" w:cs="Arial"/>
                <w:sz w:val="20"/>
                <w:szCs w:val="20"/>
              </w:rPr>
            </w:pPr>
            <w:r>
              <w:rPr>
                <w:rFonts w:ascii="Arial" w:hAnsi="Arial" w:cs="Arial"/>
                <w:sz w:val="20"/>
                <w:szCs w:val="20"/>
              </w:rPr>
              <w:t>11%</w:t>
            </w:r>
          </w:p>
          <w:p w14:paraId="613B66FF" w14:textId="084D3B51" w:rsidR="00774DB3" w:rsidRDefault="00774DB3" w:rsidP="007C3DF2">
            <w:pPr>
              <w:jc w:val="center"/>
              <w:rPr>
                <w:rFonts w:ascii="Arial" w:hAnsi="Arial" w:cs="Arial"/>
                <w:sz w:val="20"/>
                <w:szCs w:val="20"/>
              </w:rPr>
            </w:pPr>
            <w:r>
              <w:rPr>
                <w:rFonts w:ascii="Arial" w:hAnsi="Arial" w:cs="Arial"/>
                <w:sz w:val="20"/>
                <w:szCs w:val="20"/>
              </w:rPr>
              <w:t>(n = 100)</w:t>
            </w:r>
          </w:p>
        </w:tc>
        <w:tc>
          <w:tcPr>
            <w:tcW w:w="1288" w:type="dxa"/>
          </w:tcPr>
          <w:p w14:paraId="54EAE315" w14:textId="77777777" w:rsidR="00C659B5" w:rsidRDefault="00C659B5" w:rsidP="007C3DF2">
            <w:pPr>
              <w:jc w:val="center"/>
              <w:rPr>
                <w:rFonts w:ascii="Arial" w:hAnsi="Arial" w:cs="Arial"/>
                <w:sz w:val="20"/>
                <w:szCs w:val="20"/>
              </w:rPr>
            </w:pPr>
          </w:p>
          <w:p w14:paraId="32E62CAD" w14:textId="77777777" w:rsidR="00883D7B" w:rsidRDefault="00560CC8" w:rsidP="007C3DF2">
            <w:pPr>
              <w:jc w:val="center"/>
              <w:rPr>
                <w:rFonts w:ascii="Arial" w:hAnsi="Arial" w:cs="Arial"/>
                <w:sz w:val="20"/>
                <w:szCs w:val="20"/>
              </w:rPr>
            </w:pPr>
            <w:r>
              <w:rPr>
                <w:rFonts w:ascii="Arial" w:hAnsi="Arial" w:cs="Arial"/>
                <w:sz w:val="20"/>
                <w:szCs w:val="20"/>
              </w:rPr>
              <w:t>89%</w:t>
            </w:r>
          </w:p>
          <w:p w14:paraId="5D813A0B" w14:textId="461D0983" w:rsidR="00774DB3" w:rsidRDefault="00774DB3" w:rsidP="007C3DF2">
            <w:pPr>
              <w:jc w:val="center"/>
              <w:rPr>
                <w:rFonts w:ascii="Arial" w:hAnsi="Arial" w:cs="Arial"/>
                <w:sz w:val="20"/>
                <w:szCs w:val="20"/>
              </w:rPr>
            </w:pPr>
            <w:r>
              <w:rPr>
                <w:rFonts w:ascii="Arial" w:hAnsi="Arial" w:cs="Arial"/>
                <w:sz w:val="20"/>
                <w:szCs w:val="20"/>
              </w:rPr>
              <w:t>(n = 894)</w:t>
            </w:r>
          </w:p>
        </w:tc>
        <w:tc>
          <w:tcPr>
            <w:tcW w:w="1288" w:type="dxa"/>
          </w:tcPr>
          <w:p w14:paraId="41759AA8" w14:textId="77777777" w:rsidR="00C659B5" w:rsidRDefault="00C659B5" w:rsidP="007C3DF2">
            <w:pPr>
              <w:jc w:val="center"/>
              <w:rPr>
                <w:rFonts w:ascii="Arial" w:hAnsi="Arial" w:cs="Arial"/>
                <w:sz w:val="20"/>
                <w:szCs w:val="20"/>
              </w:rPr>
            </w:pPr>
          </w:p>
          <w:p w14:paraId="78CB8E17" w14:textId="77777777" w:rsidR="00883D7B" w:rsidRDefault="00560CC8" w:rsidP="007C3DF2">
            <w:pPr>
              <w:jc w:val="center"/>
              <w:rPr>
                <w:rFonts w:ascii="Arial" w:hAnsi="Arial" w:cs="Arial"/>
                <w:sz w:val="20"/>
                <w:szCs w:val="20"/>
              </w:rPr>
            </w:pPr>
            <w:r>
              <w:rPr>
                <w:rFonts w:ascii="Arial" w:hAnsi="Arial" w:cs="Arial"/>
                <w:sz w:val="20"/>
                <w:szCs w:val="20"/>
              </w:rPr>
              <w:t>11%</w:t>
            </w:r>
          </w:p>
          <w:p w14:paraId="2ED88D50" w14:textId="30503D26" w:rsidR="00774DB3" w:rsidRDefault="00774DB3" w:rsidP="007C3DF2">
            <w:pPr>
              <w:jc w:val="center"/>
              <w:rPr>
                <w:rFonts w:ascii="Arial" w:hAnsi="Arial" w:cs="Arial"/>
                <w:sz w:val="20"/>
                <w:szCs w:val="20"/>
              </w:rPr>
            </w:pPr>
            <w:r>
              <w:rPr>
                <w:rFonts w:ascii="Arial" w:hAnsi="Arial" w:cs="Arial"/>
                <w:sz w:val="20"/>
                <w:szCs w:val="20"/>
              </w:rPr>
              <w:t>(n = 105)</w:t>
            </w:r>
          </w:p>
        </w:tc>
        <w:tc>
          <w:tcPr>
            <w:tcW w:w="1288" w:type="dxa"/>
          </w:tcPr>
          <w:p w14:paraId="248ECDF1" w14:textId="77777777" w:rsidR="00C659B5" w:rsidRDefault="00C659B5" w:rsidP="007C3DF2">
            <w:pPr>
              <w:jc w:val="center"/>
              <w:rPr>
                <w:rFonts w:ascii="Arial" w:hAnsi="Arial" w:cs="Arial"/>
                <w:sz w:val="20"/>
                <w:szCs w:val="20"/>
              </w:rPr>
            </w:pPr>
          </w:p>
          <w:p w14:paraId="5D373606" w14:textId="77777777" w:rsidR="00883D7B" w:rsidRDefault="00560CC8" w:rsidP="007C3DF2">
            <w:pPr>
              <w:jc w:val="center"/>
              <w:rPr>
                <w:rFonts w:ascii="Arial" w:hAnsi="Arial" w:cs="Arial"/>
                <w:sz w:val="20"/>
                <w:szCs w:val="20"/>
              </w:rPr>
            </w:pPr>
            <w:r>
              <w:rPr>
                <w:rFonts w:ascii="Arial" w:hAnsi="Arial" w:cs="Arial"/>
                <w:sz w:val="20"/>
                <w:szCs w:val="20"/>
              </w:rPr>
              <w:t>90%</w:t>
            </w:r>
          </w:p>
          <w:p w14:paraId="7AB4C9A5" w14:textId="4A81BEC3" w:rsidR="00774DB3" w:rsidRDefault="00774DB3" w:rsidP="007C3DF2">
            <w:pPr>
              <w:jc w:val="center"/>
              <w:rPr>
                <w:rFonts w:ascii="Arial" w:hAnsi="Arial" w:cs="Arial"/>
                <w:sz w:val="20"/>
                <w:szCs w:val="20"/>
              </w:rPr>
            </w:pPr>
            <w:r>
              <w:rPr>
                <w:rFonts w:ascii="Arial" w:hAnsi="Arial" w:cs="Arial"/>
                <w:sz w:val="20"/>
                <w:szCs w:val="20"/>
              </w:rPr>
              <w:t>(n = 871)</w:t>
            </w:r>
          </w:p>
        </w:tc>
        <w:tc>
          <w:tcPr>
            <w:tcW w:w="1288" w:type="dxa"/>
          </w:tcPr>
          <w:p w14:paraId="5235FE76" w14:textId="77777777" w:rsidR="00C659B5" w:rsidRDefault="00C659B5" w:rsidP="007C3DF2">
            <w:pPr>
              <w:jc w:val="center"/>
              <w:rPr>
                <w:rFonts w:ascii="Arial" w:hAnsi="Arial" w:cs="Arial"/>
                <w:sz w:val="20"/>
                <w:szCs w:val="20"/>
              </w:rPr>
            </w:pPr>
          </w:p>
          <w:p w14:paraId="4561C450" w14:textId="77777777" w:rsidR="00883D7B" w:rsidRDefault="00560CC8" w:rsidP="007C3DF2">
            <w:pPr>
              <w:jc w:val="center"/>
              <w:rPr>
                <w:rFonts w:ascii="Arial" w:hAnsi="Arial" w:cs="Arial"/>
                <w:sz w:val="20"/>
                <w:szCs w:val="20"/>
              </w:rPr>
            </w:pPr>
            <w:r>
              <w:rPr>
                <w:rFonts w:ascii="Arial" w:hAnsi="Arial" w:cs="Arial"/>
                <w:sz w:val="20"/>
                <w:szCs w:val="20"/>
              </w:rPr>
              <w:t>10%</w:t>
            </w:r>
          </w:p>
          <w:p w14:paraId="557265F3" w14:textId="0CB3DDDC" w:rsidR="00774DB3" w:rsidRDefault="00774DB3" w:rsidP="007C3DF2">
            <w:pPr>
              <w:jc w:val="center"/>
              <w:rPr>
                <w:rFonts w:ascii="Arial" w:hAnsi="Arial" w:cs="Arial"/>
                <w:sz w:val="20"/>
                <w:szCs w:val="20"/>
              </w:rPr>
            </w:pPr>
            <w:r>
              <w:rPr>
                <w:rFonts w:ascii="Arial" w:hAnsi="Arial" w:cs="Arial"/>
                <w:sz w:val="20"/>
                <w:szCs w:val="20"/>
              </w:rPr>
              <w:t>(n = 97)</w:t>
            </w:r>
          </w:p>
        </w:tc>
        <w:tc>
          <w:tcPr>
            <w:tcW w:w="1173" w:type="dxa"/>
          </w:tcPr>
          <w:p w14:paraId="54917017" w14:textId="77777777" w:rsidR="00C659B5" w:rsidRDefault="00C659B5" w:rsidP="007C3DF2">
            <w:pPr>
              <w:jc w:val="center"/>
              <w:rPr>
                <w:rFonts w:ascii="Arial" w:hAnsi="Arial" w:cs="Arial"/>
                <w:sz w:val="20"/>
                <w:szCs w:val="20"/>
              </w:rPr>
            </w:pPr>
          </w:p>
          <w:p w14:paraId="68572026" w14:textId="77777777" w:rsidR="00883D7B" w:rsidRDefault="00560CC8" w:rsidP="007C3DF2">
            <w:pPr>
              <w:jc w:val="center"/>
              <w:rPr>
                <w:rFonts w:ascii="Arial" w:hAnsi="Arial" w:cs="Arial"/>
                <w:sz w:val="20"/>
                <w:szCs w:val="20"/>
              </w:rPr>
            </w:pPr>
            <w:r>
              <w:rPr>
                <w:rFonts w:ascii="Arial" w:hAnsi="Arial" w:cs="Arial"/>
                <w:sz w:val="20"/>
                <w:szCs w:val="20"/>
              </w:rPr>
              <w:t>88%</w:t>
            </w:r>
          </w:p>
          <w:p w14:paraId="3587CE02" w14:textId="0587EDB7" w:rsidR="00774DB3" w:rsidRDefault="00774DB3" w:rsidP="007C3DF2">
            <w:pPr>
              <w:jc w:val="center"/>
              <w:rPr>
                <w:rFonts w:ascii="Arial" w:hAnsi="Arial" w:cs="Arial"/>
                <w:sz w:val="20"/>
                <w:szCs w:val="20"/>
              </w:rPr>
            </w:pPr>
            <w:r>
              <w:rPr>
                <w:rFonts w:ascii="Arial" w:hAnsi="Arial" w:cs="Arial"/>
                <w:sz w:val="20"/>
                <w:szCs w:val="20"/>
              </w:rPr>
              <w:t>(n = 803)</w:t>
            </w:r>
          </w:p>
        </w:tc>
        <w:tc>
          <w:tcPr>
            <w:tcW w:w="1134" w:type="dxa"/>
          </w:tcPr>
          <w:p w14:paraId="35226E0E" w14:textId="77777777" w:rsidR="00C659B5" w:rsidRDefault="00C659B5" w:rsidP="007C3DF2">
            <w:pPr>
              <w:jc w:val="center"/>
              <w:rPr>
                <w:rFonts w:ascii="Arial" w:hAnsi="Arial" w:cs="Arial"/>
                <w:sz w:val="20"/>
                <w:szCs w:val="20"/>
              </w:rPr>
            </w:pPr>
          </w:p>
          <w:p w14:paraId="731C34A5" w14:textId="77777777" w:rsidR="00883D7B" w:rsidRDefault="00560CC8" w:rsidP="007C3DF2">
            <w:pPr>
              <w:jc w:val="center"/>
              <w:rPr>
                <w:rFonts w:ascii="Arial" w:hAnsi="Arial" w:cs="Arial"/>
                <w:sz w:val="20"/>
                <w:szCs w:val="20"/>
              </w:rPr>
            </w:pPr>
            <w:r>
              <w:rPr>
                <w:rFonts w:ascii="Arial" w:hAnsi="Arial" w:cs="Arial"/>
                <w:sz w:val="20"/>
                <w:szCs w:val="20"/>
              </w:rPr>
              <w:t>12%</w:t>
            </w:r>
          </w:p>
          <w:p w14:paraId="5C169CF2" w14:textId="3518E5BE" w:rsidR="00774DB3" w:rsidRDefault="00774DB3" w:rsidP="007C3DF2">
            <w:pPr>
              <w:jc w:val="center"/>
              <w:rPr>
                <w:rFonts w:ascii="Arial" w:hAnsi="Arial" w:cs="Arial"/>
                <w:sz w:val="20"/>
                <w:szCs w:val="20"/>
              </w:rPr>
            </w:pPr>
            <w:r>
              <w:rPr>
                <w:rFonts w:ascii="Arial" w:hAnsi="Arial" w:cs="Arial"/>
                <w:sz w:val="20"/>
                <w:szCs w:val="20"/>
              </w:rPr>
              <w:t>(n = 107)</w:t>
            </w:r>
          </w:p>
        </w:tc>
      </w:tr>
    </w:tbl>
    <w:p w14:paraId="42489B91" w14:textId="7684E3E3" w:rsidR="00C659B5" w:rsidRDefault="00C659B5" w:rsidP="00091A22">
      <w:pPr>
        <w:jc w:val="both"/>
        <w:rPr>
          <w:rFonts w:ascii="Arial" w:hAnsi="Arial" w:cs="Arial"/>
          <w:sz w:val="20"/>
          <w:szCs w:val="20"/>
        </w:rPr>
      </w:pPr>
    </w:p>
    <w:p w14:paraId="63276FFA" w14:textId="007CFFCF" w:rsidR="00C659B5" w:rsidRDefault="00C659B5" w:rsidP="00091A22">
      <w:pPr>
        <w:jc w:val="both"/>
        <w:rPr>
          <w:rFonts w:ascii="Arial" w:hAnsi="Arial" w:cs="Arial"/>
          <w:sz w:val="20"/>
          <w:szCs w:val="20"/>
        </w:rPr>
      </w:pPr>
    </w:p>
    <w:p w14:paraId="67B8F96C" w14:textId="77777777" w:rsidR="00883D7B" w:rsidRDefault="00883D7B">
      <w:pPr>
        <w:spacing w:after="200" w:line="276" w:lineRule="auto"/>
        <w:rPr>
          <w:rFonts w:ascii="Arial" w:hAnsi="Arial" w:cs="Arial"/>
          <w:b/>
          <w:sz w:val="20"/>
          <w:szCs w:val="20"/>
        </w:rPr>
      </w:pPr>
      <w:r>
        <w:rPr>
          <w:rFonts w:ascii="Arial" w:hAnsi="Arial" w:cs="Arial"/>
          <w:b/>
          <w:sz w:val="20"/>
          <w:szCs w:val="20"/>
        </w:rPr>
        <w:br w:type="page"/>
      </w:r>
    </w:p>
    <w:p w14:paraId="4190A01E" w14:textId="76745E9E" w:rsidR="00883D7B" w:rsidRPr="00C659B5" w:rsidRDefault="00883D7B" w:rsidP="00883D7B">
      <w:pPr>
        <w:jc w:val="both"/>
        <w:rPr>
          <w:rFonts w:ascii="Arial" w:hAnsi="Arial" w:cs="Arial"/>
          <w:b/>
          <w:sz w:val="20"/>
          <w:szCs w:val="20"/>
        </w:rPr>
      </w:pPr>
      <w:r>
        <w:rPr>
          <w:rFonts w:ascii="Arial" w:hAnsi="Arial" w:cs="Arial"/>
          <w:b/>
          <w:sz w:val="20"/>
          <w:szCs w:val="20"/>
        </w:rPr>
        <w:lastRenderedPageBreak/>
        <w:t>Table 3:</w:t>
      </w:r>
      <w:r>
        <w:rPr>
          <w:rFonts w:ascii="Arial" w:hAnsi="Arial" w:cs="Arial"/>
          <w:b/>
          <w:sz w:val="20"/>
          <w:szCs w:val="20"/>
        </w:rPr>
        <w:tab/>
        <w:t>Determinations in Victorian Mental Health Tribunal hearings</w:t>
      </w:r>
      <w:r w:rsidR="00272900">
        <w:rPr>
          <w:rFonts w:ascii="Arial" w:hAnsi="Arial" w:cs="Arial"/>
          <w:b/>
          <w:sz w:val="20"/>
          <w:szCs w:val="20"/>
        </w:rPr>
        <w:t xml:space="preserve"> – </w:t>
      </w:r>
      <w:r>
        <w:rPr>
          <w:rFonts w:ascii="Arial" w:hAnsi="Arial" w:cs="Arial"/>
          <w:b/>
          <w:sz w:val="20"/>
          <w:szCs w:val="20"/>
        </w:rPr>
        <w:t>E</w:t>
      </w:r>
      <w:r w:rsidR="00272900">
        <w:rPr>
          <w:rFonts w:ascii="Arial" w:hAnsi="Arial" w:cs="Arial"/>
          <w:b/>
          <w:sz w:val="20"/>
          <w:szCs w:val="20"/>
        </w:rPr>
        <w:t>CT</w:t>
      </w:r>
      <w:r>
        <w:rPr>
          <w:rFonts w:ascii="Arial" w:hAnsi="Arial" w:cs="Arial"/>
          <w:b/>
          <w:sz w:val="20"/>
          <w:szCs w:val="20"/>
        </w:rPr>
        <w:t xml:space="preserve"> Orders</w:t>
      </w:r>
    </w:p>
    <w:p w14:paraId="645B6C13" w14:textId="77777777" w:rsidR="00883D7B" w:rsidRDefault="00883D7B" w:rsidP="00883D7B">
      <w:pPr>
        <w:jc w:val="both"/>
        <w:rPr>
          <w:rFonts w:ascii="Arial" w:hAnsi="Arial" w:cs="Arial"/>
          <w:sz w:val="20"/>
          <w:szCs w:val="20"/>
        </w:rPr>
      </w:pPr>
    </w:p>
    <w:p w14:paraId="224DF231" w14:textId="77777777" w:rsidR="00883D7B" w:rsidRDefault="00883D7B" w:rsidP="00883D7B">
      <w:pPr>
        <w:jc w:val="both"/>
        <w:rPr>
          <w:rFonts w:ascii="Arial" w:hAnsi="Arial" w:cs="Arial"/>
          <w:sz w:val="20"/>
          <w:szCs w:val="20"/>
        </w:rPr>
      </w:pPr>
    </w:p>
    <w:tbl>
      <w:tblPr>
        <w:tblStyle w:val="TableGrid"/>
        <w:tblW w:w="15446" w:type="dxa"/>
        <w:tblLook w:val="04A0" w:firstRow="1" w:lastRow="0" w:firstColumn="1" w:lastColumn="0" w:noHBand="0" w:noVBand="1"/>
      </w:tblPr>
      <w:tblGrid>
        <w:gridCol w:w="2835"/>
        <w:gridCol w:w="1288"/>
        <w:gridCol w:w="1288"/>
        <w:gridCol w:w="1288"/>
        <w:gridCol w:w="1288"/>
        <w:gridCol w:w="1288"/>
        <w:gridCol w:w="1288"/>
        <w:gridCol w:w="1288"/>
        <w:gridCol w:w="1288"/>
        <w:gridCol w:w="1173"/>
        <w:gridCol w:w="1134"/>
      </w:tblGrid>
      <w:tr w:rsidR="00883D7B" w14:paraId="0E54575F" w14:textId="77777777" w:rsidTr="004B028A">
        <w:tc>
          <w:tcPr>
            <w:tcW w:w="2835" w:type="dxa"/>
            <w:vMerge w:val="restart"/>
          </w:tcPr>
          <w:p w14:paraId="2350FAC0" w14:textId="77777777" w:rsidR="00883D7B" w:rsidRDefault="00883D7B" w:rsidP="007C3DF2">
            <w:pPr>
              <w:jc w:val="both"/>
              <w:rPr>
                <w:rFonts w:ascii="Arial" w:hAnsi="Arial" w:cs="Arial"/>
                <w:sz w:val="20"/>
                <w:szCs w:val="20"/>
              </w:rPr>
            </w:pPr>
          </w:p>
        </w:tc>
        <w:tc>
          <w:tcPr>
            <w:tcW w:w="2576" w:type="dxa"/>
            <w:gridSpan w:val="2"/>
          </w:tcPr>
          <w:p w14:paraId="74B04D05" w14:textId="77777777" w:rsidR="00883D7B" w:rsidRDefault="00883D7B" w:rsidP="007C3DF2">
            <w:pPr>
              <w:jc w:val="center"/>
              <w:rPr>
                <w:rFonts w:ascii="Arial" w:hAnsi="Arial" w:cs="Arial"/>
                <w:b/>
                <w:sz w:val="20"/>
                <w:szCs w:val="20"/>
              </w:rPr>
            </w:pPr>
            <w:r>
              <w:rPr>
                <w:rFonts w:ascii="Arial" w:hAnsi="Arial" w:cs="Arial"/>
                <w:b/>
                <w:sz w:val="20"/>
                <w:szCs w:val="20"/>
              </w:rPr>
              <w:t>2014/15</w:t>
            </w:r>
          </w:p>
          <w:p w14:paraId="2A87BEA4" w14:textId="5D2D2654" w:rsidR="00883D7B" w:rsidRPr="00EA0EED" w:rsidRDefault="00883D7B" w:rsidP="007C3DF2">
            <w:pPr>
              <w:jc w:val="center"/>
              <w:rPr>
                <w:rFonts w:ascii="Arial" w:hAnsi="Arial" w:cs="Arial"/>
                <w:b/>
                <w:sz w:val="20"/>
                <w:szCs w:val="20"/>
              </w:rPr>
            </w:pPr>
            <w:r>
              <w:rPr>
                <w:rFonts w:ascii="Arial" w:hAnsi="Arial" w:cs="Arial"/>
                <w:b/>
                <w:sz w:val="20"/>
                <w:szCs w:val="20"/>
              </w:rPr>
              <w:t xml:space="preserve">(N = </w:t>
            </w:r>
            <w:r w:rsidR="00272900">
              <w:rPr>
                <w:rFonts w:ascii="Arial" w:hAnsi="Arial" w:cs="Arial"/>
                <w:b/>
                <w:sz w:val="20"/>
                <w:szCs w:val="20"/>
              </w:rPr>
              <w:t>618</w:t>
            </w:r>
            <w:r>
              <w:rPr>
                <w:rFonts w:ascii="Arial" w:hAnsi="Arial" w:cs="Arial"/>
                <w:b/>
                <w:sz w:val="20"/>
                <w:szCs w:val="20"/>
              </w:rPr>
              <w:t xml:space="preserve"> hearings)</w:t>
            </w:r>
          </w:p>
        </w:tc>
        <w:tc>
          <w:tcPr>
            <w:tcW w:w="2576" w:type="dxa"/>
            <w:gridSpan w:val="2"/>
          </w:tcPr>
          <w:p w14:paraId="34A95CF1" w14:textId="77777777" w:rsidR="00883D7B" w:rsidRDefault="00883D7B" w:rsidP="007C3DF2">
            <w:pPr>
              <w:jc w:val="center"/>
              <w:rPr>
                <w:rFonts w:ascii="Arial" w:hAnsi="Arial" w:cs="Arial"/>
                <w:b/>
                <w:sz w:val="20"/>
                <w:szCs w:val="20"/>
              </w:rPr>
            </w:pPr>
            <w:r>
              <w:rPr>
                <w:rFonts w:ascii="Arial" w:hAnsi="Arial" w:cs="Arial"/>
                <w:b/>
                <w:sz w:val="20"/>
                <w:szCs w:val="20"/>
              </w:rPr>
              <w:t>2015/16</w:t>
            </w:r>
          </w:p>
          <w:p w14:paraId="605F4857" w14:textId="5CA581FF" w:rsidR="00883D7B" w:rsidRPr="00EA0EED" w:rsidRDefault="00883D7B" w:rsidP="007C3DF2">
            <w:pPr>
              <w:jc w:val="center"/>
              <w:rPr>
                <w:rFonts w:ascii="Arial" w:hAnsi="Arial" w:cs="Arial"/>
                <w:b/>
                <w:sz w:val="20"/>
                <w:szCs w:val="20"/>
              </w:rPr>
            </w:pPr>
            <w:r>
              <w:rPr>
                <w:rFonts w:ascii="Arial" w:hAnsi="Arial" w:cs="Arial"/>
                <w:b/>
                <w:sz w:val="20"/>
                <w:szCs w:val="20"/>
              </w:rPr>
              <w:t>(N =</w:t>
            </w:r>
            <w:r w:rsidR="00272900">
              <w:rPr>
                <w:rFonts w:ascii="Arial" w:hAnsi="Arial" w:cs="Arial"/>
                <w:b/>
                <w:sz w:val="20"/>
                <w:szCs w:val="20"/>
              </w:rPr>
              <w:t xml:space="preserve"> 710</w:t>
            </w:r>
            <w:r>
              <w:rPr>
                <w:rFonts w:ascii="Arial" w:hAnsi="Arial" w:cs="Arial"/>
                <w:b/>
                <w:sz w:val="20"/>
                <w:szCs w:val="20"/>
              </w:rPr>
              <w:t xml:space="preserve"> hearings)</w:t>
            </w:r>
          </w:p>
        </w:tc>
        <w:tc>
          <w:tcPr>
            <w:tcW w:w="2576" w:type="dxa"/>
            <w:gridSpan w:val="2"/>
          </w:tcPr>
          <w:p w14:paraId="426713B0" w14:textId="77777777" w:rsidR="00883D7B" w:rsidRDefault="00883D7B" w:rsidP="007C3DF2">
            <w:pPr>
              <w:jc w:val="center"/>
              <w:rPr>
                <w:rFonts w:ascii="Arial" w:hAnsi="Arial" w:cs="Arial"/>
                <w:b/>
                <w:sz w:val="20"/>
                <w:szCs w:val="20"/>
              </w:rPr>
            </w:pPr>
            <w:r>
              <w:rPr>
                <w:rFonts w:ascii="Arial" w:hAnsi="Arial" w:cs="Arial"/>
                <w:b/>
                <w:sz w:val="20"/>
                <w:szCs w:val="20"/>
              </w:rPr>
              <w:t>2016/17</w:t>
            </w:r>
          </w:p>
          <w:p w14:paraId="076B17DD" w14:textId="48917531" w:rsidR="00883D7B" w:rsidRPr="00EA0EED" w:rsidRDefault="00883D7B" w:rsidP="007C3DF2">
            <w:pPr>
              <w:jc w:val="center"/>
              <w:rPr>
                <w:rFonts w:ascii="Arial" w:hAnsi="Arial" w:cs="Arial"/>
                <w:b/>
                <w:sz w:val="20"/>
                <w:szCs w:val="20"/>
              </w:rPr>
            </w:pPr>
            <w:r>
              <w:rPr>
                <w:rFonts w:ascii="Arial" w:hAnsi="Arial" w:cs="Arial"/>
                <w:b/>
                <w:sz w:val="20"/>
                <w:szCs w:val="20"/>
              </w:rPr>
              <w:t xml:space="preserve">(N = </w:t>
            </w:r>
            <w:r w:rsidR="00272900">
              <w:rPr>
                <w:rFonts w:ascii="Arial" w:hAnsi="Arial" w:cs="Arial"/>
                <w:b/>
                <w:sz w:val="20"/>
                <w:szCs w:val="20"/>
              </w:rPr>
              <w:t>691</w:t>
            </w:r>
            <w:r>
              <w:rPr>
                <w:rFonts w:ascii="Arial" w:hAnsi="Arial" w:cs="Arial"/>
                <w:b/>
                <w:sz w:val="20"/>
                <w:szCs w:val="20"/>
              </w:rPr>
              <w:t xml:space="preserve"> hearings)</w:t>
            </w:r>
          </w:p>
        </w:tc>
        <w:tc>
          <w:tcPr>
            <w:tcW w:w="2576" w:type="dxa"/>
            <w:gridSpan w:val="2"/>
          </w:tcPr>
          <w:p w14:paraId="327F335B" w14:textId="77777777" w:rsidR="00883D7B" w:rsidRDefault="00883D7B" w:rsidP="007C3DF2">
            <w:pPr>
              <w:jc w:val="center"/>
              <w:rPr>
                <w:rFonts w:ascii="Arial" w:hAnsi="Arial" w:cs="Arial"/>
                <w:b/>
                <w:sz w:val="20"/>
                <w:szCs w:val="20"/>
              </w:rPr>
            </w:pPr>
            <w:r>
              <w:rPr>
                <w:rFonts w:ascii="Arial" w:hAnsi="Arial" w:cs="Arial"/>
                <w:b/>
                <w:sz w:val="20"/>
                <w:szCs w:val="20"/>
              </w:rPr>
              <w:t>2017/18</w:t>
            </w:r>
          </w:p>
          <w:p w14:paraId="54E1FB21" w14:textId="1219DB79" w:rsidR="00883D7B" w:rsidRPr="00EA0EED" w:rsidRDefault="00883D7B" w:rsidP="007C3DF2">
            <w:pPr>
              <w:jc w:val="center"/>
              <w:rPr>
                <w:rFonts w:ascii="Arial" w:hAnsi="Arial" w:cs="Arial"/>
                <w:b/>
                <w:sz w:val="20"/>
                <w:szCs w:val="20"/>
              </w:rPr>
            </w:pPr>
            <w:r>
              <w:rPr>
                <w:rFonts w:ascii="Arial" w:hAnsi="Arial" w:cs="Arial"/>
                <w:b/>
                <w:sz w:val="20"/>
                <w:szCs w:val="20"/>
              </w:rPr>
              <w:t xml:space="preserve">(N = </w:t>
            </w:r>
            <w:r w:rsidR="00272900">
              <w:rPr>
                <w:rFonts w:ascii="Arial" w:hAnsi="Arial" w:cs="Arial"/>
                <w:b/>
                <w:sz w:val="20"/>
                <w:szCs w:val="20"/>
              </w:rPr>
              <w:t>762</w:t>
            </w:r>
            <w:r>
              <w:rPr>
                <w:rFonts w:ascii="Arial" w:hAnsi="Arial" w:cs="Arial"/>
                <w:b/>
                <w:sz w:val="20"/>
                <w:szCs w:val="20"/>
              </w:rPr>
              <w:t xml:space="preserve"> hearings)</w:t>
            </w:r>
          </w:p>
        </w:tc>
        <w:tc>
          <w:tcPr>
            <w:tcW w:w="2307" w:type="dxa"/>
            <w:gridSpan w:val="2"/>
          </w:tcPr>
          <w:p w14:paraId="7C6C0F5B" w14:textId="77777777" w:rsidR="00883D7B" w:rsidRDefault="00883D7B" w:rsidP="007C3DF2">
            <w:pPr>
              <w:jc w:val="center"/>
              <w:rPr>
                <w:rFonts w:ascii="Arial" w:hAnsi="Arial" w:cs="Arial"/>
                <w:b/>
                <w:sz w:val="20"/>
                <w:szCs w:val="20"/>
              </w:rPr>
            </w:pPr>
            <w:r>
              <w:rPr>
                <w:rFonts w:ascii="Arial" w:hAnsi="Arial" w:cs="Arial"/>
                <w:b/>
                <w:sz w:val="20"/>
                <w:szCs w:val="20"/>
              </w:rPr>
              <w:t>2018/19</w:t>
            </w:r>
          </w:p>
          <w:p w14:paraId="58960540" w14:textId="431C1960" w:rsidR="00883D7B" w:rsidRPr="00EA0EED" w:rsidRDefault="00883D7B" w:rsidP="007C3DF2">
            <w:pPr>
              <w:jc w:val="center"/>
              <w:rPr>
                <w:rFonts w:ascii="Arial" w:hAnsi="Arial" w:cs="Arial"/>
                <w:b/>
                <w:sz w:val="20"/>
                <w:szCs w:val="20"/>
              </w:rPr>
            </w:pPr>
            <w:r>
              <w:rPr>
                <w:rFonts w:ascii="Arial" w:hAnsi="Arial" w:cs="Arial"/>
                <w:b/>
                <w:sz w:val="20"/>
                <w:szCs w:val="20"/>
              </w:rPr>
              <w:t xml:space="preserve">(N = </w:t>
            </w:r>
            <w:r w:rsidR="00272900">
              <w:rPr>
                <w:rFonts w:ascii="Arial" w:hAnsi="Arial" w:cs="Arial"/>
                <w:b/>
                <w:sz w:val="20"/>
                <w:szCs w:val="20"/>
              </w:rPr>
              <w:t>690</w:t>
            </w:r>
            <w:r>
              <w:rPr>
                <w:rFonts w:ascii="Arial" w:hAnsi="Arial" w:cs="Arial"/>
                <w:b/>
                <w:sz w:val="20"/>
                <w:szCs w:val="20"/>
              </w:rPr>
              <w:t xml:space="preserve"> hearings)</w:t>
            </w:r>
          </w:p>
        </w:tc>
      </w:tr>
      <w:tr w:rsidR="00883D7B" w14:paraId="4F3DEE2E" w14:textId="77777777" w:rsidTr="004B028A">
        <w:tc>
          <w:tcPr>
            <w:tcW w:w="2835" w:type="dxa"/>
            <w:vMerge/>
          </w:tcPr>
          <w:p w14:paraId="54A8994C" w14:textId="77777777" w:rsidR="00883D7B" w:rsidRDefault="00883D7B" w:rsidP="00883D7B">
            <w:pPr>
              <w:jc w:val="both"/>
              <w:rPr>
                <w:rFonts w:ascii="Arial" w:hAnsi="Arial" w:cs="Arial"/>
                <w:sz w:val="20"/>
                <w:szCs w:val="20"/>
              </w:rPr>
            </w:pPr>
          </w:p>
        </w:tc>
        <w:tc>
          <w:tcPr>
            <w:tcW w:w="1288" w:type="dxa"/>
          </w:tcPr>
          <w:p w14:paraId="271277A3" w14:textId="7E75D19A" w:rsidR="00883D7B" w:rsidRPr="00EA0EED" w:rsidRDefault="00883D7B" w:rsidP="00883D7B">
            <w:pPr>
              <w:jc w:val="center"/>
              <w:rPr>
                <w:rFonts w:ascii="Arial" w:hAnsi="Arial" w:cs="Arial"/>
                <w:b/>
                <w:sz w:val="20"/>
                <w:szCs w:val="20"/>
              </w:rPr>
            </w:pPr>
            <w:r>
              <w:rPr>
                <w:rFonts w:ascii="Arial" w:hAnsi="Arial" w:cs="Arial"/>
                <w:b/>
                <w:sz w:val="20"/>
                <w:szCs w:val="20"/>
              </w:rPr>
              <w:t>Make ECTO %</w:t>
            </w:r>
          </w:p>
        </w:tc>
        <w:tc>
          <w:tcPr>
            <w:tcW w:w="1288" w:type="dxa"/>
          </w:tcPr>
          <w:p w14:paraId="0A847146" w14:textId="0449630D" w:rsidR="00883D7B" w:rsidRPr="00EA0EED" w:rsidRDefault="00883D7B" w:rsidP="00883D7B">
            <w:pPr>
              <w:jc w:val="center"/>
              <w:rPr>
                <w:rFonts w:ascii="Arial" w:hAnsi="Arial" w:cs="Arial"/>
                <w:b/>
                <w:sz w:val="20"/>
                <w:szCs w:val="20"/>
              </w:rPr>
            </w:pPr>
            <w:r>
              <w:rPr>
                <w:rFonts w:ascii="Arial" w:hAnsi="Arial" w:cs="Arial"/>
                <w:b/>
                <w:sz w:val="20"/>
                <w:szCs w:val="20"/>
              </w:rPr>
              <w:t>Refuse ECTO %</w:t>
            </w:r>
          </w:p>
        </w:tc>
        <w:tc>
          <w:tcPr>
            <w:tcW w:w="1288" w:type="dxa"/>
          </w:tcPr>
          <w:p w14:paraId="3CB8585C" w14:textId="34C5CD32" w:rsidR="00883D7B" w:rsidRPr="00EA0EED" w:rsidRDefault="00883D7B" w:rsidP="00883D7B">
            <w:pPr>
              <w:jc w:val="center"/>
              <w:rPr>
                <w:rFonts w:ascii="Arial" w:hAnsi="Arial" w:cs="Arial"/>
                <w:b/>
                <w:sz w:val="20"/>
                <w:szCs w:val="20"/>
              </w:rPr>
            </w:pPr>
            <w:r>
              <w:rPr>
                <w:rFonts w:ascii="Arial" w:hAnsi="Arial" w:cs="Arial"/>
                <w:b/>
                <w:sz w:val="20"/>
                <w:szCs w:val="20"/>
              </w:rPr>
              <w:t>Make ECTO %</w:t>
            </w:r>
          </w:p>
        </w:tc>
        <w:tc>
          <w:tcPr>
            <w:tcW w:w="1288" w:type="dxa"/>
          </w:tcPr>
          <w:p w14:paraId="07228875" w14:textId="608CAC04" w:rsidR="00883D7B" w:rsidRPr="00EA0EED" w:rsidRDefault="00883D7B" w:rsidP="00883D7B">
            <w:pPr>
              <w:jc w:val="center"/>
              <w:rPr>
                <w:rFonts w:ascii="Arial" w:hAnsi="Arial" w:cs="Arial"/>
                <w:b/>
                <w:sz w:val="20"/>
                <w:szCs w:val="20"/>
              </w:rPr>
            </w:pPr>
            <w:r>
              <w:rPr>
                <w:rFonts w:ascii="Arial" w:hAnsi="Arial" w:cs="Arial"/>
                <w:b/>
                <w:sz w:val="20"/>
                <w:szCs w:val="20"/>
              </w:rPr>
              <w:t>Refuse ECTO %</w:t>
            </w:r>
          </w:p>
        </w:tc>
        <w:tc>
          <w:tcPr>
            <w:tcW w:w="1288" w:type="dxa"/>
          </w:tcPr>
          <w:p w14:paraId="039418ED" w14:textId="70052DAB" w:rsidR="00883D7B" w:rsidRPr="00EA0EED" w:rsidRDefault="00883D7B" w:rsidP="00883D7B">
            <w:pPr>
              <w:jc w:val="center"/>
              <w:rPr>
                <w:rFonts w:ascii="Arial" w:hAnsi="Arial" w:cs="Arial"/>
                <w:b/>
                <w:sz w:val="20"/>
                <w:szCs w:val="20"/>
              </w:rPr>
            </w:pPr>
            <w:r>
              <w:rPr>
                <w:rFonts w:ascii="Arial" w:hAnsi="Arial" w:cs="Arial"/>
                <w:b/>
                <w:sz w:val="20"/>
                <w:szCs w:val="20"/>
              </w:rPr>
              <w:t>Make ECTO %</w:t>
            </w:r>
          </w:p>
        </w:tc>
        <w:tc>
          <w:tcPr>
            <w:tcW w:w="1288" w:type="dxa"/>
          </w:tcPr>
          <w:p w14:paraId="638CF903" w14:textId="0ACF1210" w:rsidR="00883D7B" w:rsidRPr="00EA0EED" w:rsidRDefault="00883D7B" w:rsidP="00883D7B">
            <w:pPr>
              <w:jc w:val="center"/>
              <w:rPr>
                <w:rFonts w:ascii="Arial" w:hAnsi="Arial" w:cs="Arial"/>
                <w:b/>
                <w:sz w:val="20"/>
                <w:szCs w:val="20"/>
              </w:rPr>
            </w:pPr>
            <w:r>
              <w:rPr>
                <w:rFonts w:ascii="Arial" w:hAnsi="Arial" w:cs="Arial"/>
                <w:b/>
                <w:sz w:val="20"/>
                <w:szCs w:val="20"/>
              </w:rPr>
              <w:t>Refuse ECTO %</w:t>
            </w:r>
          </w:p>
        </w:tc>
        <w:tc>
          <w:tcPr>
            <w:tcW w:w="1288" w:type="dxa"/>
          </w:tcPr>
          <w:p w14:paraId="70B14C83" w14:textId="76999187" w:rsidR="00883D7B" w:rsidRPr="00EA0EED" w:rsidRDefault="00883D7B" w:rsidP="00883D7B">
            <w:pPr>
              <w:jc w:val="center"/>
              <w:rPr>
                <w:rFonts w:ascii="Arial" w:hAnsi="Arial" w:cs="Arial"/>
                <w:b/>
                <w:sz w:val="20"/>
                <w:szCs w:val="20"/>
              </w:rPr>
            </w:pPr>
            <w:r>
              <w:rPr>
                <w:rFonts w:ascii="Arial" w:hAnsi="Arial" w:cs="Arial"/>
                <w:b/>
                <w:sz w:val="20"/>
                <w:szCs w:val="20"/>
              </w:rPr>
              <w:t>Make ECTO %</w:t>
            </w:r>
          </w:p>
        </w:tc>
        <w:tc>
          <w:tcPr>
            <w:tcW w:w="1288" w:type="dxa"/>
          </w:tcPr>
          <w:p w14:paraId="5CD13B05" w14:textId="1214B004" w:rsidR="00883D7B" w:rsidRPr="00EA0EED" w:rsidRDefault="00883D7B" w:rsidP="00883D7B">
            <w:pPr>
              <w:jc w:val="center"/>
              <w:rPr>
                <w:rFonts w:ascii="Arial" w:hAnsi="Arial" w:cs="Arial"/>
                <w:b/>
                <w:sz w:val="20"/>
                <w:szCs w:val="20"/>
              </w:rPr>
            </w:pPr>
            <w:r>
              <w:rPr>
                <w:rFonts w:ascii="Arial" w:hAnsi="Arial" w:cs="Arial"/>
                <w:b/>
                <w:sz w:val="20"/>
                <w:szCs w:val="20"/>
              </w:rPr>
              <w:t>Refuse ECTO %</w:t>
            </w:r>
          </w:p>
        </w:tc>
        <w:tc>
          <w:tcPr>
            <w:tcW w:w="1173" w:type="dxa"/>
          </w:tcPr>
          <w:p w14:paraId="520A620C" w14:textId="2F16D82C" w:rsidR="00883D7B" w:rsidRPr="00EA0EED" w:rsidRDefault="00883D7B" w:rsidP="00883D7B">
            <w:pPr>
              <w:jc w:val="center"/>
              <w:rPr>
                <w:rFonts w:ascii="Arial" w:hAnsi="Arial" w:cs="Arial"/>
                <w:b/>
                <w:sz w:val="20"/>
                <w:szCs w:val="20"/>
              </w:rPr>
            </w:pPr>
            <w:r>
              <w:rPr>
                <w:rFonts w:ascii="Arial" w:hAnsi="Arial" w:cs="Arial"/>
                <w:b/>
                <w:sz w:val="20"/>
                <w:szCs w:val="20"/>
              </w:rPr>
              <w:t>Make ECTO %</w:t>
            </w:r>
          </w:p>
        </w:tc>
        <w:tc>
          <w:tcPr>
            <w:tcW w:w="1134" w:type="dxa"/>
          </w:tcPr>
          <w:p w14:paraId="736044D7" w14:textId="4E70831B" w:rsidR="00883D7B" w:rsidRPr="00EA0EED" w:rsidRDefault="00883D7B" w:rsidP="00883D7B">
            <w:pPr>
              <w:jc w:val="center"/>
              <w:rPr>
                <w:rFonts w:ascii="Arial" w:hAnsi="Arial" w:cs="Arial"/>
                <w:b/>
                <w:sz w:val="20"/>
                <w:szCs w:val="20"/>
              </w:rPr>
            </w:pPr>
            <w:r>
              <w:rPr>
                <w:rFonts w:ascii="Arial" w:hAnsi="Arial" w:cs="Arial"/>
                <w:b/>
                <w:sz w:val="20"/>
                <w:szCs w:val="20"/>
              </w:rPr>
              <w:t>Refuse ECTO %</w:t>
            </w:r>
          </w:p>
        </w:tc>
      </w:tr>
      <w:tr w:rsidR="00883D7B" w14:paraId="4409FAA1" w14:textId="77777777" w:rsidTr="004B028A">
        <w:tc>
          <w:tcPr>
            <w:tcW w:w="2835" w:type="dxa"/>
          </w:tcPr>
          <w:p w14:paraId="15E74124" w14:textId="77777777" w:rsidR="00883D7B" w:rsidRDefault="00883D7B" w:rsidP="007C3DF2">
            <w:pPr>
              <w:rPr>
                <w:rFonts w:ascii="Arial" w:hAnsi="Arial" w:cs="Arial"/>
                <w:sz w:val="20"/>
                <w:szCs w:val="20"/>
              </w:rPr>
            </w:pPr>
          </w:p>
          <w:p w14:paraId="63BAC12A" w14:textId="77777777" w:rsidR="00883D7B" w:rsidRDefault="00883D7B" w:rsidP="007C3DF2">
            <w:pPr>
              <w:rPr>
                <w:rFonts w:ascii="Arial" w:hAnsi="Arial" w:cs="Arial"/>
                <w:sz w:val="20"/>
                <w:szCs w:val="20"/>
              </w:rPr>
            </w:pPr>
            <w:r>
              <w:rPr>
                <w:rFonts w:ascii="Arial" w:hAnsi="Arial" w:cs="Arial"/>
                <w:sz w:val="20"/>
                <w:szCs w:val="20"/>
              </w:rPr>
              <w:t>Global outcomes</w:t>
            </w:r>
          </w:p>
          <w:p w14:paraId="0E916637" w14:textId="77777777" w:rsidR="00883D7B" w:rsidRDefault="00883D7B" w:rsidP="007C3DF2">
            <w:pPr>
              <w:rPr>
                <w:rFonts w:ascii="Arial" w:hAnsi="Arial" w:cs="Arial"/>
                <w:sz w:val="20"/>
                <w:szCs w:val="20"/>
              </w:rPr>
            </w:pPr>
          </w:p>
        </w:tc>
        <w:tc>
          <w:tcPr>
            <w:tcW w:w="1288" w:type="dxa"/>
          </w:tcPr>
          <w:p w14:paraId="7B0B0C6A" w14:textId="77777777" w:rsidR="00883D7B" w:rsidRDefault="00883D7B" w:rsidP="007C3DF2">
            <w:pPr>
              <w:jc w:val="center"/>
              <w:rPr>
                <w:rFonts w:ascii="Arial" w:hAnsi="Arial" w:cs="Arial"/>
                <w:sz w:val="20"/>
                <w:szCs w:val="20"/>
              </w:rPr>
            </w:pPr>
          </w:p>
          <w:p w14:paraId="71E846CD" w14:textId="0BE0FFC9" w:rsidR="00883D7B" w:rsidRDefault="00560CC8" w:rsidP="007C3DF2">
            <w:pPr>
              <w:jc w:val="center"/>
              <w:rPr>
                <w:rFonts w:ascii="Arial" w:hAnsi="Arial" w:cs="Arial"/>
                <w:sz w:val="20"/>
                <w:szCs w:val="20"/>
              </w:rPr>
            </w:pPr>
            <w:r>
              <w:rPr>
                <w:rFonts w:ascii="Arial" w:hAnsi="Arial" w:cs="Arial"/>
                <w:sz w:val="20"/>
                <w:szCs w:val="20"/>
              </w:rPr>
              <w:t>88%</w:t>
            </w:r>
          </w:p>
        </w:tc>
        <w:tc>
          <w:tcPr>
            <w:tcW w:w="1288" w:type="dxa"/>
          </w:tcPr>
          <w:p w14:paraId="76F10FE5" w14:textId="77777777" w:rsidR="00883D7B" w:rsidRDefault="00883D7B" w:rsidP="007C3DF2">
            <w:pPr>
              <w:jc w:val="center"/>
              <w:rPr>
                <w:rFonts w:ascii="Arial" w:hAnsi="Arial" w:cs="Arial"/>
                <w:sz w:val="20"/>
                <w:szCs w:val="20"/>
              </w:rPr>
            </w:pPr>
          </w:p>
          <w:p w14:paraId="18FBB3EA" w14:textId="7FF36D8D" w:rsidR="00883D7B" w:rsidRDefault="004B028A" w:rsidP="007C3DF2">
            <w:pPr>
              <w:jc w:val="center"/>
              <w:rPr>
                <w:rFonts w:ascii="Arial" w:hAnsi="Arial" w:cs="Arial"/>
                <w:sz w:val="20"/>
                <w:szCs w:val="20"/>
              </w:rPr>
            </w:pPr>
            <w:r>
              <w:rPr>
                <w:rFonts w:ascii="Arial" w:hAnsi="Arial" w:cs="Arial"/>
                <w:sz w:val="20"/>
                <w:szCs w:val="20"/>
              </w:rPr>
              <w:t>11%</w:t>
            </w:r>
          </w:p>
        </w:tc>
        <w:tc>
          <w:tcPr>
            <w:tcW w:w="1288" w:type="dxa"/>
          </w:tcPr>
          <w:p w14:paraId="0B31C4E5" w14:textId="77777777" w:rsidR="00883D7B" w:rsidRDefault="00883D7B" w:rsidP="007C3DF2">
            <w:pPr>
              <w:jc w:val="center"/>
              <w:rPr>
                <w:rFonts w:ascii="Arial" w:hAnsi="Arial" w:cs="Arial"/>
                <w:sz w:val="20"/>
                <w:szCs w:val="20"/>
              </w:rPr>
            </w:pPr>
          </w:p>
          <w:p w14:paraId="0F5B311A" w14:textId="328B4224" w:rsidR="00883D7B" w:rsidRDefault="004B028A" w:rsidP="007C3DF2">
            <w:pPr>
              <w:jc w:val="center"/>
              <w:rPr>
                <w:rFonts w:ascii="Arial" w:hAnsi="Arial" w:cs="Arial"/>
                <w:sz w:val="20"/>
                <w:szCs w:val="20"/>
              </w:rPr>
            </w:pPr>
            <w:r>
              <w:rPr>
                <w:rFonts w:ascii="Arial" w:hAnsi="Arial" w:cs="Arial"/>
                <w:sz w:val="20"/>
                <w:szCs w:val="20"/>
              </w:rPr>
              <w:t>88%</w:t>
            </w:r>
          </w:p>
        </w:tc>
        <w:tc>
          <w:tcPr>
            <w:tcW w:w="1288" w:type="dxa"/>
          </w:tcPr>
          <w:p w14:paraId="387776DB" w14:textId="77777777" w:rsidR="00883D7B" w:rsidRDefault="00883D7B" w:rsidP="007C3DF2">
            <w:pPr>
              <w:jc w:val="center"/>
              <w:rPr>
                <w:rFonts w:ascii="Arial" w:hAnsi="Arial" w:cs="Arial"/>
                <w:sz w:val="20"/>
                <w:szCs w:val="20"/>
              </w:rPr>
            </w:pPr>
          </w:p>
          <w:p w14:paraId="5A17832D" w14:textId="7B1D8CF9" w:rsidR="00883D7B" w:rsidRDefault="004B028A" w:rsidP="007C3DF2">
            <w:pPr>
              <w:jc w:val="center"/>
              <w:rPr>
                <w:rFonts w:ascii="Arial" w:hAnsi="Arial" w:cs="Arial"/>
                <w:sz w:val="20"/>
                <w:szCs w:val="20"/>
              </w:rPr>
            </w:pPr>
            <w:r>
              <w:rPr>
                <w:rFonts w:ascii="Arial" w:hAnsi="Arial" w:cs="Arial"/>
                <w:sz w:val="20"/>
                <w:szCs w:val="20"/>
              </w:rPr>
              <w:t>12%</w:t>
            </w:r>
          </w:p>
        </w:tc>
        <w:tc>
          <w:tcPr>
            <w:tcW w:w="1288" w:type="dxa"/>
          </w:tcPr>
          <w:p w14:paraId="53104A76" w14:textId="77777777" w:rsidR="00883D7B" w:rsidRDefault="00883D7B" w:rsidP="007C3DF2">
            <w:pPr>
              <w:jc w:val="center"/>
              <w:rPr>
                <w:rFonts w:ascii="Arial" w:hAnsi="Arial" w:cs="Arial"/>
                <w:sz w:val="20"/>
                <w:szCs w:val="20"/>
              </w:rPr>
            </w:pPr>
          </w:p>
          <w:p w14:paraId="33056709" w14:textId="1F22EC6A" w:rsidR="00883D7B" w:rsidRDefault="004B028A" w:rsidP="007C3DF2">
            <w:pPr>
              <w:jc w:val="center"/>
              <w:rPr>
                <w:rFonts w:ascii="Arial" w:hAnsi="Arial" w:cs="Arial"/>
                <w:sz w:val="20"/>
                <w:szCs w:val="20"/>
              </w:rPr>
            </w:pPr>
            <w:r>
              <w:rPr>
                <w:rFonts w:ascii="Arial" w:hAnsi="Arial" w:cs="Arial"/>
                <w:sz w:val="20"/>
                <w:szCs w:val="20"/>
              </w:rPr>
              <w:t>85%</w:t>
            </w:r>
          </w:p>
        </w:tc>
        <w:tc>
          <w:tcPr>
            <w:tcW w:w="1288" w:type="dxa"/>
          </w:tcPr>
          <w:p w14:paraId="714E99C3" w14:textId="77777777" w:rsidR="00883D7B" w:rsidRDefault="00883D7B" w:rsidP="007C3DF2">
            <w:pPr>
              <w:jc w:val="center"/>
              <w:rPr>
                <w:rFonts w:ascii="Arial" w:hAnsi="Arial" w:cs="Arial"/>
                <w:sz w:val="20"/>
                <w:szCs w:val="20"/>
              </w:rPr>
            </w:pPr>
          </w:p>
          <w:p w14:paraId="6F6DB158" w14:textId="079304D6" w:rsidR="00883D7B" w:rsidRDefault="004B028A" w:rsidP="007C3DF2">
            <w:pPr>
              <w:jc w:val="center"/>
              <w:rPr>
                <w:rFonts w:ascii="Arial" w:hAnsi="Arial" w:cs="Arial"/>
                <w:sz w:val="20"/>
                <w:szCs w:val="20"/>
              </w:rPr>
            </w:pPr>
            <w:r>
              <w:rPr>
                <w:rFonts w:ascii="Arial" w:hAnsi="Arial" w:cs="Arial"/>
                <w:sz w:val="20"/>
                <w:szCs w:val="20"/>
              </w:rPr>
              <w:t>15%</w:t>
            </w:r>
          </w:p>
        </w:tc>
        <w:tc>
          <w:tcPr>
            <w:tcW w:w="1288" w:type="dxa"/>
          </w:tcPr>
          <w:p w14:paraId="5E395F33" w14:textId="77777777" w:rsidR="00883D7B" w:rsidRDefault="00883D7B" w:rsidP="007C3DF2">
            <w:pPr>
              <w:jc w:val="center"/>
              <w:rPr>
                <w:rFonts w:ascii="Arial" w:hAnsi="Arial" w:cs="Arial"/>
                <w:sz w:val="20"/>
                <w:szCs w:val="20"/>
              </w:rPr>
            </w:pPr>
          </w:p>
          <w:p w14:paraId="5A060676" w14:textId="7445C915" w:rsidR="00883D7B" w:rsidRDefault="004B028A" w:rsidP="007C3DF2">
            <w:pPr>
              <w:jc w:val="center"/>
              <w:rPr>
                <w:rFonts w:ascii="Arial" w:hAnsi="Arial" w:cs="Arial"/>
                <w:sz w:val="20"/>
                <w:szCs w:val="20"/>
              </w:rPr>
            </w:pPr>
            <w:r>
              <w:rPr>
                <w:rFonts w:ascii="Arial" w:hAnsi="Arial" w:cs="Arial"/>
                <w:sz w:val="20"/>
                <w:szCs w:val="20"/>
              </w:rPr>
              <w:t>90%</w:t>
            </w:r>
          </w:p>
        </w:tc>
        <w:tc>
          <w:tcPr>
            <w:tcW w:w="1288" w:type="dxa"/>
          </w:tcPr>
          <w:p w14:paraId="3432BC07" w14:textId="77777777" w:rsidR="00883D7B" w:rsidRDefault="00883D7B" w:rsidP="007C3DF2">
            <w:pPr>
              <w:jc w:val="center"/>
              <w:rPr>
                <w:rFonts w:ascii="Arial" w:hAnsi="Arial" w:cs="Arial"/>
                <w:sz w:val="20"/>
                <w:szCs w:val="20"/>
              </w:rPr>
            </w:pPr>
          </w:p>
          <w:p w14:paraId="1964263F" w14:textId="1589EDF3" w:rsidR="00883D7B" w:rsidRDefault="004B028A" w:rsidP="007C3DF2">
            <w:pPr>
              <w:jc w:val="center"/>
              <w:rPr>
                <w:rFonts w:ascii="Arial" w:hAnsi="Arial" w:cs="Arial"/>
                <w:sz w:val="20"/>
                <w:szCs w:val="20"/>
              </w:rPr>
            </w:pPr>
            <w:r>
              <w:rPr>
                <w:rFonts w:ascii="Arial" w:hAnsi="Arial" w:cs="Arial"/>
                <w:sz w:val="20"/>
                <w:szCs w:val="20"/>
              </w:rPr>
              <w:t>10%</w:t>
            </w:r>
          </w:p>
        </w:tc>
        <w:tc>
          <w:tcPr>
            <w:tcW w:w="1173" w:type="dxa"/>
          </w:tcPr>
          <w:p w14:paraId="321C003A" w14:textId="77777777" w:rsidR="00883D7B" w:rsidRDefault="00883D7B" w:rsidP="007C3DF2">
            <w:pPr>
              <w:jc w:val="center"/>
              <w:rPr>
                <w:rFonts w:ascii="Arial" w:hAnsi="Arial" w:cs="Arial"/>
                <w:sz w:val="20"/>
                <w:szCs w:val="20"/>
              </w:rPr>
            </w:pPr>
          </w:p>
          <w:p w14:paraId="77417387" w14:textId="6E77A32E" w:rsidR="00883D7B" w:rsidRDefault="004B028A" w:rsidP="007C3DF2">
            <w:pPr>
              <w:jc w:val="center"/>
              <w:rPr>
                <w:rFonts w:ascii="Arial" w:hAnsi="Arial" w:cs="Arial"/>
                <w:sz w:val="20"/>
                <w:szCs w:val="20"/>
              </w:rPr>
            </w:pPr>
            <w:r>
              <w:rPr>
                <w:rFonts w:ascii="Arial" w:hAnsi="Arial" w:cs="Arial"/>
                <w:sz w:val="20"/>
                <w:szCs w:val="20"/>
              </w:rPr>
              <w:t>86%</w:t>
            </w:r>
          </w:p>
        </w:tc>
        <w:tc>
          <w:tcPr>
            <w:tcW w:w="1134" w:type="dxa"/>
          </w:tcPr>
          <w:p w14:paraId="24FA06AB" w14:textId="77777777" w:rsidR="00883D7B" w:rsidRDefault="00883D7B" w:rsidP="007C3DF2">
            <w:pPr>
              <w:jc w:val="center"/>
              <w:rPr>
                <w:rFonts w:ascii="Arial" w:hAnsi="Arial" w:cs="Arial"/>
                <w:sz w:val="20"/>
                <w:szCs w:val="20"/>
              </w:rPr>
            </w:pPr>
          </w:p>
          <w:p w14:paraId="26DE9514" w14:textId="1363F811" w:rsidR="00883D7B" w:rsidRDefault="004B028A" w:rsidP="007C3DF2">
            <w:pPr>
              <w:jc w:val="center"/>
              <w:rPr>
                <w:rFonts w:ascii="Arial" w:hAnsi="Arial" w:cs="Arial"/>
                <w:sz w:val="20"/>
                <w:szCs w:val="20"/>
              </w:rPr>
            </w:pPr>
            <w:r>
              <w:rPr>
                <w:rFonts w:ascii="Arial" w:hAnsi="Arial" w:cs="Arial"/>
                <w:sz w:val="20"/>
                <w:szCs w:val="20"/>
              </w:rPr>
              <w:t>14%</w:t>
            </w:r>
          </w:p>
        </w:tc>
      </w:tr>
      <w:tr w:rsidR="00774DB3" w14:paraId="11142855" w14:textId="77777777" w:rsidTr="007F6D3C">
        <w:tc>
          <w:tcPr>
            <w:tcW w:w="2835" w:type="dxa"/>
            <w:shd w:val="clear" w:color="auto" w:fill="FFFFFF" w:themeFill="background1"/>
          </w:tcPr>
          <w:p w14:paraId="6BBED4C6" w14:textId="77777777" w:rsidR="00774DB3" w:rsidRDefault="00774DB3" w:rsidP="007F6D3C">
            <w:pPr>
              <w:rPr>
                <w:rFonts w:ascii="Arial" w:hAnsi="Arial" w:cs="Arial"/>
                <w:sz w:val="20"/>
                <w:szCs w:val="20"/>
              </w:rPr>
            </w:pPr>
          </w:p>
          <w:p w14:paraId="12F59935" w14:textId="77777777" w:rsidR="00774DB3" w:rsidRDefault="00774DB3" w:rsidP="007F6D3C">
            <w:pPr>
              <w:rPr>
                <w:rFonts w:ascii="Arial" w:hAnsi="Arial" w:cs="Arial"/>
                <w:sz w:val="20"/>
                <w:szCs w:val="20"/>
              </w:rPr>
            </w:pPr>
            <w:r>
              <w:rPr>
                <w:rFonts w:ascii="Arial" w:hAnsi="Arial" w:cs="Arial"/>
                <w:sz w:val="20"/>
                <w:szCs w:val="20"/>
              </w:rPr>
              <w:t>Outcomes in hearings where the consumer did not attend.</w:t>
            </w:r>
          </w:p>
          <w:p w14:paraId="730341AB" w14:textId="77777777" w:rsidR="00774DB3" w:rsidRDefault="00774DB3" w:rsidP="007F6D3C">
            <w:pPr>
              <w:rPr>
                <w:rFonts w:ascii="Arial" w:hAnsi="Arial" w:cs="Arial"/>
                <w:sz w:val="20"/>
                <w:szCs w:val="20"/>
              </w:rPr>
            </w:pPr>
          </w:p>
        </w:tc>
        <w:tc>
          <w:tcPr>
            <w:tcW w:w="1288" w:type="dxa"/>
            <w:shd w:val="clear" w:color="auto" w:fill="FFFFFF" w:themeFill="background1"/>
          </w:tcPr>
          <w:p w14:paraId="5EFB3EE5" w14:textId="77777777" w:rsidR="00774DB3" w:rsidRDefault="00774DB3" w:rsidP="007F6D3C">
            <w:pPr>
              <w:jc w:val="center"/>
              <w:rPr>
                <w:rFonts w:ascii="Arial" w:hAnsi="Arial" w:cs="Arial"/>
                <w:sz w:val="20"/>
                <w:szCs w:val="20"/>
              </w:rPr>
            </w:pPr>
          </w:p>
          <w:p w14:paraId="67A8C81B" w14:textId="77777777" w:rsidR="00774DB3" w:rsidRDefault="00774DB3" w:rsidP="007F6D3C">
            <w:pPr>
              <w:jc w:val="center"/>
              <w:rPr>
                <w:rFonts w:ascii="Arial" w:hAnsi="Arial" w:cs="Arial"/>
                <w:sz w:val="20"/>
                <w:szCs w:val="20"/>
              </w:rPr>
            </w:pPr>
            <w:r>
              <w:rPr>
                <w:rFonts w:ascii="Arial" w:hAnsi="Arial" w:cs="Arial"/>
                <w:sz w:val="20"/>
                <w:szCs w:val="20"/>
              </w:rPr>
              <w:t>96%</w:t>
            </w:r>
          </w:p>
        </w:tc>
        <w:tc>
          <w:tcPr>
            <w:tcW w:w="1288" w:type="dxa"/>
            <w:shd w:val="clear" w:color="auto" w:fill="FFFFFF" w:themeFill="background1"/>
          </w:tcPr>
          <w:p w14:paraId="5111A9BF" w14:textId="77777777" w:rsidR="00774DB3" w:rsidRDefault="00774DB3" w:rsidP="007F6D3C">
            <w:pPr>
              <w:jc w:val="center"/>
              <w:rPr>
                <w:rFonts w:ascii="Arial" w:hAnsi="Arial" w:cs="Arial"/>
                <w:sz w:val="20"/>
                <w:szCs w:val="20"/>
              </w:rPr>
            </w:pPr>
          </w:p>
          <w:p w14:paraId="2DA9DA7B" w14:textId="77777777" w:rsidR="00774DB3" w:rsidRDefault="00774DB3" w:rsidP="007F6D3C">
            <w:pPr>
              <w:jc w:val="center"/>
              <w:rPr>
                <w:rFonts w:ascii="Arial" w:hAnsi="Arial" w:cs="Arial"/>
                <w:sz w:val="20"/>
                <w:szCs w:val="20"/>
              </w:rPr>
            </w:pPr>
            <w:r>
              <w:rPr>
                <w:rFonts w:ascii="Arial" w:hAnsi="Arial" w:cs="Arial"/>
                <w:sz w:val="20"/>
                <w:szCs w:val="20"/>
              </w:rPr>
              <w:t>4%</w:t>
            </w:r>
          </w:p>
        </w:tc>
        <w:tc>
          <w:tcPr>
            <w:tcW w:w="1288" w:type="dxa"/>
            <w:shd w:val="clear" w:color="auto" w:fill="FFFFFF" w:themeFill="background1"/>
          </w:tcPr>
          <w:p w14:paraId="682F6F35" w14:textId="77777777" w:rsidR="00774DB3" w:rsidRDefault="00774DB3" w:rsidP="007F6D3C">
            <w:pPr>
              <w:jc w:val="center"/>
              <w:rPr>
                <w:rFonts w:ascii="Arial" w:hAnsi="Arial" w:cs="Arial"/>
                <w:sz w:val="20"/>
                <w:szCs w:val="20"/>
              </w:rPr>
            </w:pPr>
          </w:p>
          <w:p w14:paraId="7ECA2BE0" w14:textId="77777777" w:rsidR="00774DB3" w:rsidRDefault="00774DB3" w:rsidP="007F6D3C">
            <w:pPr>
              <w:jc w:val="center"/>
              <w:rPr>
                <w:rFonts w:ascii="Arial" w:hAnsi="Arial" w:cs="Arial"/>
                <w:sz w:val="20"/>
                <w:szCs w:val="20"/>
              </w:rPr>
            </w:pPr>
            <w:r>
              <w:rPr>
                <w:rFonts w:ascii="Arial" w:hAnsi="Arial" w:cs="Arial"/>
                <w:sz w:val="20"/>
                <w:szCs w:val="20"/>
              </w:rPr>
              <w:t>93%</w:t>
            </w:r>
          </w:p>
        </w:tc>
        <w:tc>
          <w:tcPr>
            <w:tcW w:w="1288" w:type="dxa"/>
            <w:shd w:val="clear" w:color="auto" w:fill="FFFFFF" w:themeFill="background1"/>
          </w:tcPr>
          <w:p w14:paraId="2D023899" w14:textId="77777777" w:rsidR="00774DB3" w:rsidRDefault="00774DB3" w:rsidP="007F6D3C">
            <w:pPr>
              <w:jc w:val="center"/>
              <w:rPr>
                <w:rFonts w:ascii="Arial" w:hAnsi="Arial" w:cs="Arial"/>
                <w:sz w:val="20"/>
                <w:szCs w:val="20"/>
              </w:rPr>
            </w:pPr>
          </w:p>
          <w:p w14:paraId="494201C0" w14:textId="77777777" w:rsidR="00774DB3" w:rsidRDefault="00774DB3" w:rsidP="007F6D3C">
            <w:pPr>
              <w:jc w:val="center"/>
              <w:rPr>
                <w:rFonts w:ascii="Arial" w:hAnsi="Arial" w:cs="Arial"/>
                <w:sz w:val="20"/>
                <w:szCs w:val="20"/>
              </w:rPr>
            </w:pPr>
            <w:r>
              <w:rPr>
                <w:rFonts w:ascii="Arial" w:hAnsi="Arial" w:cs="Arial"/>
                <w:sz w:val="20"/>
                <w:szCs w:val="20"/>
              </w:rPr>
              <w:t>7%</w:t>
            </w:r>
          </w:p>
        </w:tc>
        <w:tc>
          <w:tcPr>
            <w:tcW w:w="1288" w:type="dxa"/>
            <w:shd w:val="clear" w:color="auto" w:fill="FFFFFF" w:themeFill="background1"/>
          </w:tcPr>
          <w:p w14:paraId="0449F720" w14:textId="77777777" w:rsidR="00774DB3" w:rsidRDefault="00774DB3" w:rsidP="007F6D3C">
            <w:pPr>
              <w:jc w:val="center"/>
              <w:rPr>
                <w:rFonts w:ascii="Arial" w:hAnsi="Arial" w:cs="Arial"/>
                <w:sz w:val="20"/>
                <w:szCs w:val="20"/>
              </w:rPr>
            </w:pPr>
          </w:p>
          <w:p w14:paraId="249A27F8" w14:textId="77777777" w:rsidR="00774DB3" w:rsidRDefault="00774DB3" w:rsidP="007F6D3C">
            <w:pPr>
              <w:jc w:val="center"/>
              <w:rPr>
                <w:rFonts w:ascii="Arial" w:hAnsi="Arial" w:cs="Arial"/>
                <w:sz w:val="20"/>
                <w:szCs w:val="20"/>
              </w:rPr>
            </w:pPr>
            <w:r>
              <w:rPr>
                <w:rFonts w:ascii="Arial" w:hAnsi="Arial" w:cs="Arial"/>
                <w:sz w:val="20"/>
                <w:szCs w:val="20"/>
              </w:rPr>
              <w:t>94%</w:t>
            </w:r>
          </w:p>
        </w:tc>
        <w:tc>
          <w:tcPr>
            <w:tcW w:w="1288" w:type="dxa"/>
            <w:shd w:val="clear" w:color="auto" w:fill="FFFFFF" w:themeFill="background1"/>
          </w:tcPr>
          <w:p w14:paraId="48FC286A" w14:textId="77777777" w:rsidR="00774DB3" w:rsidRDefault="00774DB3" w:rsidP="007F6D3C">
            <w:pPr>
              <w:jc w:val="center"/>
              <w:rPr>
                <w:rFonts w:ascii="Arial" w:hAnsi="Arial" w:cs="Arial"/>
                <w:sz w:val="20"/>
                <w:szCs w:val="20"/>
              </w:rPr>
            </w:pPr>
          </w:p>
          <w:p w14:paraId="0CA743C0" w14:textId="77777777" w:rsidR="00774DB3" w:rsidRDefault="00774DB3" w:rsidP="007F6D3C">
            <w:pPr>
              <w:jc w:val="center"/>
              <w:rPr>
                <w:rFonts w:ascii="Arial" w:hAnsi="Arial" w:cs="Arial"/>
                <w:sz w:val="20"/>
                <w:szCs w:val="20"/>
              </w:rPr>
            </w:pPr>
            <w:r>
              <w:rPr>
                <w:rFonts w:ascii="Arial" w:hAnsi="Arial" w:cs="Arial"/>
                <w:sz w:val="20"/>
                <w:szCs w:val="20"/>
              </w:rPr>
              <w:t>6%</w:t>
            </w:r>
          </w:p>
        </w:tc>
        <w:tc>
          <w:tcPr>
            <w:tcW w:w="1288" w:type="dxa"/>
            <w:shd w:val="clear" w:color="auto" w:fill="FFFFFF" w:themeFill="background1"/>
          </w:tcPr>
          <w:p w14:paraId="07DEDD0B" w14:textId="77777777" w:rsidR="00774DB3" w:rsidRDefault="00774DB3" w:rsidP="007F6D3C">
            <w:pPr>
              <w:jc w:val="center"/>
              <w:rPr>
                <w:rFonts w:ascii="Arial" w:hAnsi="Arial" w:cs="Arial"/>
                <w:sz w:val="20"/>
                <w:szCs w:val="20"/>
              </w:rPr>
            </w:pPr>
          </w:p>
          <w:p w14:paraId="0BD29CA2" w14:textId="77777777" w:rsidR="00774DB3" w:rsidRDefault="00774DB3" w:rsidP="007F6D3C">
            <w:pPr>
              <w:jc w:val="center"/>
              <w:rPr>
                <w:rFonts w:ascii="Arial" w:hAnsi="Arial" w:cs="Arial"/>
                <w:sz w:val="20"/>
                <w:szCs w:val="20"/>
              </w:rPr>
            </w:pPr>
            <w:r>
              <w:rPr>
                <w:rFonts w:ascii="Arial" w:hAnsi="Arial" w:cs="Arial"/>
                <w:sz w:val="20"/>
                <w:szCs w:val="20"/>
              </w:rPr>
              <w:t>95%</w:t>
            </w:r>
          </w:p>
        </w:tc>
        <w:tc>
          <w:tcPr>
            <w:tcW w:w="1288" w:type="dxa"/>
            <w:shd w:val="clear" w:color="auto" w:fill="FFFFFF" w:themeFill="background1"/>
          </w:tcPr>
          <w:p w14:paraId="29CF97B8" w14:textId="77777777" w:rsidR="00774DB3" w:rsidRDefault="00774DB3" w:rsidP="007F6D3C">
            <w:pPr>
              <w:jc w:val="center"/>
              <w:rPr>
                <w:rFonts w:ascii="Arial" w:hAnsi="Arial" w:cs="Arial"/>
                <w:sz w:val="20"/>
                <w:szCs w:val="20"/>
              </w:rPr>
            </w:pPr>
          </w:p>
          <w:p w14:paraId="1BFC2F69" w14:textId="77777777" w:rsidR="00774DB3" w:rsidRDefault="00774DB3" w:rsidP="007F6D3C">
            <w:pPr>
              <w:jc w:val="center"/>
              <w:rPr>
                <w:rFonts w:ascii="Arial" w:hAnsi="Arial" w:cs="Arial"/>
                <w:sz w:val="20"/>
                <w:szCs w:val="20"/>
              </w:rPr>
            </w:pPr>
            <w:r>
              <w:rPr>
                <w:rFonts w:ascii="Arial" w:hAnsi="Arial" w:cs="Arial"/>
                <w:sz w:val="20"/>
                <w:szCs w:val="20"/>
              </w:rPr>
              <w:t>5%</w:t>
            </w:r>
          </w:p>
        </w:tc>
        <w:tc>
          <w:tcPr>
            <w:tcW w:w="1173" w:type="dxa"/>
            <w:shd w:val="clear" w:color="auto" w:fill="FFFFFF" w:themeFill="background1"/>
          </w:tcPr>
          <w:p w14:paraId="34B38026" w14:textId="77777777" w:rsidR="00774DB3" w:rsidRDefault="00774DB3" w:rsidP="007F6D3C">
            <w:pPr>
              <w:jc w:val="center"/>
              <w:rPr>
                <w:rFonts w:ascii="Arial" w:hAnsi="Arial" w:cs="Arial"/>
                <w:sz w:val="20"/>
                <w:szCs w:val="20"/>
              </w:rPr>
            </w:pPr>
          </w:p>
          <w:p w14:paraId="654803B3" w14:textId="77777777" w:rsidR="00774DB3" w:rsidRDefault="00774DB3" w:rsidP="007F6D3C">
            <w:pPr>
              <w:jc w:val="center"/>
              <w:rPr>
                <w:rFonts w:ascii="Arial" w:hAnsi="Arial" w:cs="Arial"/>
                <w:sz w:val="20"/>
                <w:szCs w:val="20"/>
              </w:rPr>
            </w:pPr>
            <w:r>
              <w:rPr>
                <w:rFonts w:ascii="Arial" w:hAnsi="Arial" w:cs="Arial"/>
                <w:sz w:val="20"/>
                <w:szCs w:val="20"/>
              </w:rPr>
              <w:t>93%</w:t>
            </w:r>
          </w:p>
        </w:tc>
        <w:tc>
          <w:tcPr>
            <w:tcW w:w="1134" w:type="dxa"/>
            <w:shd w:val="clear" w:color="auto" w:fill="FFFFFF" w:themeFill="background1"/>
          </w:tcPr>
          <w:p w14:paraId="16C2D853" w14:textId="77777777" w:rsidR="00774DB3" w:rsidRDefault="00774DB3" w:rsidP="007F6D3C">
            <w:pPr>
              <w:jc w:val="center"/>
              <w:rPr>
                <w:rFonts w:ascii="Arial" w:hAnsi="Arial" w:cs="Arial"/>
                <w:sz w:val="20"/>
                <w:szCs w:val="20"/>
              </w:rPr>
            </w:pPr>
          </w:p>
          <w:p w14:paraId="4BF1AA04" w14:textId="77777777" w:rsidR="00774DB3" w:rsidRDefault="00774DB3" w:rsidP="007F6D3C">
            <w:pPr>
              <w:jc w:val="center"/>
              <w:rPr>
                <w:rFonts w:ascii="Arial" w:hAnsi="Arial" w:cs="Arial"/>
                <w:sz w:val="20"/>
                <w:szCs w:val="20"/>
              </w:rPr>
            </w:pPr>
            <w:r>
              <w:rPr>
                <w:rFonts w:ascii="Arial" w:hAnsi="Arial" w:cs="Arial"/>
                <w:sz w:val="20"/>
                <w:szCs w:val="20"/>
              </w:rPr>
              <w:t>7%</w:t>
            </w:r>
          </w:p>
        </w:tc>
      </w:tr>
      <w:tr w:rsidR="00883D7B" w14:paraId="5956A121" w14:textId="77777777" w:rsidTr="004B028A">
        <w:tc>
          <w:tcPr>
            <w:tcW w:w="2835" w:type="dxa"/>
          </w:tcPr>
          <w:p w14:paraId="4DE0CE93" w14:textId="77777777" w:rsidR="00883D7B" w:rsidRDefault="00883D7B" w:rsidP="007C3DF2">
            <w:pPr>
              <w:rPr>
                <w:rFonts w:ascii="Arial" w:hAnsi="Arial" w:cs="Arial"/>
                <w:sz w:val="20"/>
                <w:szCs w:val="20"/>
              </w:rPr>
            </w:pPr>
          </w:p>
          <w:p w14:paraId="4461C04F" w14:textId="77777777" w:rsidR="00883D7B" w:rsidRDefault="00883D7B" w:rsidP="007C3DF2">
            <w:pPr>
              <w:rPr>
                <w:rFonts w:ascii="Arial" w:hAnsi="Arial" w:cs="Arial"/>
                <w:sz w:val="20"/>
                <w:szCs w:val="20"/>
              </w:rPr>
            </w:pPr>
            <w:r>
              <w:rPr>
                <w:rFonts w:ascii="Arial" w:hAnsi="Arial" w:cs="Arial"/>
                <w:sz w:val="20"/>
                <w:szCs w:val="20"/>
              </w:rPr>
              <w:t>Outcomes in hearings where the consumer attended but was not represented</w:t>
            </w:r>
          </w:p>
          <w:p w14:paraId="751B678B" w14:textId="77777777" w:rsidR="00883D7B" w:rsidRDefault="00883D7B" w:rsidP="007C3DF2">
            <w:pPr>
              <w:rPr>
                <w:rFonts w:ascii="Arial" w:hAnsi="Arial" w:cs="Arial"/>
                <w:sz w:val="20"/>
                <w:szCs w:val="20"/>
              </w:rPr>
            </w:pPr>
          </w:p>
        </w:tc>
        <w:tc>
          <w:tcPr>
            <w:tcW w:w="1288" w:type="dxa"/>
          </w:tcPr>
          <w:p w14:paraId="37603F53" w14:textId="77777777" w:rsidR="00883D7B" w:rsidRDefault="00883D7B" w:rsidP="007C3DF2">
            <w:pPr>
              <w:jc w:val="center"/>
              <w:rPr>
                <w:rFonts w:ascii="Arial" w:hAnsi="Arial" w:cs="Arial"/>
                <w:sz w:val="20"/>
                <w:szCs w:val="20"/>
              </w:rPr>
            </w:pPr>
          </w:p>
          <w:p w14:paraId="026A2880" w14:textId="22EAF706" w:rsidR="00883D7B" w:rsidRDefault="00560CC8" w:rsidP="007C3DF2">
            <w:pPr>
              <w:jc w:val="center"/>
              <w:rPr>
                <w:rFonts w:ascii="Arial" w:hAnsi="Arial" w:cs="Arial"/>
                <w:sz w:val="20"/>
                <w:szCs w:val="20"/>
              </w:rPr>
            </w:pPr>
            <w:r>
              <w:rPr>
                <w:rFonts w:ascii="Arial" w:hAnsi="Arial" w:cs="Arial"/>
                <w:sz w:val="20"/>
                <w:szCs w:val="20"/>
              </w:rPr>
              <w:t>89%</w:t>
            </w:r>
          </w:p>
        </w:tc>
        <w:tc>
          <w:tcPr>
            <w:tcW w:w="1288" w:type="dxa"/>
          </w:tcPr>
          <w:p w14:paraId="6E00DA1A" w14:textId="77777777" w:rsidR="004B028A" w:rsidRDefault="004B028A" w:rsidP="007C3DF2">
            <w:pPr>
              <w:jc w:val="center"/>
              <w:rPr>
                <w:rFonts w:ascii="Arial" w:hAnsi="Arial" w:cs="Arial"/>
                <w:sz w:val="20"/>
                <w:szCs w:val="20"/>
              </w:rPr>
            </w:pPr>
          </w:p>
          <w:p w14:paraId="4D6A94DE" w14:textId="31BBFC60" w:rsidR="00883D7B" w:rsidRDefault="004B028A" w:rsidP="004B028A">
            <w:pPr>
              <w:jc w:val="center"/>
              <w:rPr>
                <w:rFonts w:ascii="Arial" w:hAnsi="Arial" w:cs="Arial"/>
                <w:sz w:val="20"/>
                <w:szCs w:val="20"/>
              </w:rPr>
            </w:pPr>
            <w:r>
              <w:rPr>
                <w:rFonts w:ascii="Arial" w:hAnsi="Arial" w:cs="Arial"/>
                <w:sz w:val="20"/>
                <w:szCs w:val="20"/>
              </w:rPr>
              <w:t>11%</w:t>
            </w:r>
          </w:p>
        </w:tc>
        <w:tc>
          <w:tcPr>
            <w:tcW w:w="1288" w:type="dxa"/>
          </w:tcPr>
          <w:p w14:paraId="0CDDD767" w14:textId="77777777" w:rsidR="00883D7B" w:rsidRDefault="00883D7B" w:rsidP="007C3DF2">
            <w:pPr>
              <w:jc w:val="center"/>
              <w:rPr>
                <w:rFonts w:ascii="Arial" w:hAnsi="Arial" w:cs="Arial"/>
                <w:sz w:val="20"/>
                <w:szCs w:val="20"/>
              </w:rPr>
            </w:pPr>
          </w:p>
          <w:p w14:paraId="359D3A39" w14:textId="7778997A" w:rsidR="00883D7B" w:rsidRDefault="004B028A" w:rsidP="007C3DF2">
            <w:pPr>
              <w:jc w:val="center"/>
              <w:rPr>
                <w:rFonts w:ascii="Arial" w:hAnsi="Arial" w:cs="Arial"/>
                <w:sz w:val="20"/>
                <w:szCs w:val="20"/>
              </w:rPr>
            </w:pPr>
            <w:r>
              <w:rPr>
                <w:rFonts w:ascii="Arial" w:hAnsi="Arial" w:cs="Arial"/>
                <w:sz w:val="20"/>
                <w:szCs w:val="20"/>
              </w:rPr>
              <w:t>89%</w:t>
            </w:r>
          </w:p>
        </w:tc>
        <w:tc>
          <w:tcPr>
            <w:tcW w:w="1288" w:type="dxa"/>
          </w:tcPr>
          <w:p w14:paraId="6BCF7233" w14:textId="77777777" w:rsidR="00883D7B" w:rsidRDefault="00883D7B" w:rsidP="007C3DF2">
            <w:pPr>
              <w:jc w:val="center"/>
              <w:rPr>
                <w:rFonts w:ascii="Arial" w:hAnsi="Arial" w:cs="Arial"/>
                <w:sz w:val="20"/>
                <w:szCs w:val="20"/>
              </w:rPr>
            </w:pPr>
          </w:p>
          <w:p w14:paraId="105CF209" w14:textId="29FA3ABB" w:rsidR="00883D7B" w:rsidRDefault="004B028A" w:rsidP="007C3DF2">
            <w:pPr>
              <w:jc w:val="center"/>
              <w:rPr>
                <w:rFonts w:ascii="Arial" w:hAnsi="Arial" w:cs="Arial"/>
                <w:sz w:val="20"/>
                <w:szCs w:val="20"/>
              </w:rPr>
            </w:pPr>
            <w:r>
              <w:rPr>
                <w:rFonts w:ascii="Arial" w:hAnsi="Arial" w:cs="Arial"/>
                <w:sz w:val="20"/>
                <w:szCs w:val="20"/>
              </w:rPr>
              <w:t>11%</w:t>
            </w:r>
          </w:p>
        </w:tc>
        <w:tc>
          <w:tcPr>
            <w:tcW w:w="1288" w:type="dxa"/>
          </w:tcPr>
          <w:p w14:paraId="58BDFF23" w14:textId="77777777" w:rsidR="00883D7B" w:rsidRDefault="00883D7B" w:rsidP="007C3DF2">
            <w:pPr>
              <w:jc w:val="center"/>
              <w:rPr>
                <w:rFonts w:ascii="Arial" w:hAnsi="Arial" w:cs="Arial"/>
                <w:sz w:val="20"/>
                <w:szCs w:val="20"/>
              </w:rPr>
            </w:pPr>
          </w:p>
          <w:p w14:paraId="0BF1C094" w14:textId="5AE5059E" w:rsidR="00883D7B" w:rsidRDefault="004B028A" w:rsidP="007C3DF2">
            <w:pPr>
              <w:jc w:val="center"/>
              <w:rPr>
                <w:rFonts w:ascii="Arial" w:hAnsi="Arial" w:cs="Arial"/>
                <w:sz w:val="20"/>
                <w:szCs w:val="20"/>
              </w:rPr>
            </w:pPr>
            <w:r>
              <w:rPr>
                <w:rFonts w:ascii="Arial" w:hAnsi="Arial" w:cs="Arial"/>
                <w:sz w:val="20"/>
                <w:szCs w:val="20"/>
              </w:rPr>
              <w:t>85%</w:t>
            </w:r>
          </w:p>
        </w:tc>
        <w:tc>
          <w:tcPr>
            <w:tcW w:w="1288" w:type="dxa"/>
          </w:tcPr>
          <w:p w14:paraId="54759F98" w14:textId="77777777" w:rsidR="00883D7B" w:rsidRDefault="00883D7B" w:rsidP="007C3DF2">
            <w:pPr>
              <w:jc w:val="center"/>
              <w:rPr>
                <w:rFonts w:ascii="Arial" w:hAnsi="Arial" w:cs="Arial"/>
                <w:sz w:val="20"/>
                <w:szCs w:val="20"/>
              </w:rPr>
            </w:pPr>
          </w:p>
          <w:p w14:paraId="3F785C0A" w14:textId="4F61BBC2" w:rsidR="00883D7B" w:rsidRDefault="004B028A" w:rsidP="007C3DF2">
            <w:pPr>
              <w:jc w:val="center"/>
              <w:rPr>
                <w:rFonts w:ascii="Arial" w:hAnsi="Arial" w:cs="Arial"/>
                <w:sz w:val="20"/>
                <w:szCs w:val="20"/>
              </w:rPr>
            </w:pPr>
            <w:r>
              <w:rPr>
                <w:rFonts w:ascii="Arial" w:hAnsi="Arial" w:cs="Arial"/>
                <w:sz w:val="20"/>
                <w:szCs w:val="20"/>
              </w:rPr>
              <w:t>15%</w:t>
            </w:r>
          </w:p>
        </w:tc>
        <w:tc>
          <w:tcPr>
            <w:tcW w:w="1288" w:type="dxa"/>
          </w:tcPr>
          <w:p w14:paraId="076FD2F6" w14:textId="77777777" w:rsidR="00883D7B" w:rsidRDefault="00883D7B" w:rsidP="007C3DF2">
            <w:pPr>
              <w:jc w:val="center"/>
              <w:rPr>
                <w:rFonts w:ascii="Arial" w:hAnsi="Arial" w:cs="Arial"/>
                <w:sz w:val="20"/>
                <w:szCs w:val="20"/>
              </w:rPr>
            </w:pPr>
          </w:p>
          <w:p w14:paraId="67FCED59" w14:textId="3875410B" w:rsidR="00883D7B" w:rsidRDefault="004B028A" w:rsidP="007C3DF2">
            <w:pPr>
              <w:jc w:val="center"/>
              <w:rPr>
                <w:rFonts w:ascii="Arial" w:hAnsi="Arial" w:cs="Arial"/>
                <w:sz w:val="20"/>
                <w:szCs w:val="20"/>
              </w:rPr>
            </w:pPr>
            <w:r>
              <w:rPr>
                <w:rFonts w:ascii="Arial" w:hAnsi="Arial" w:cs="Arial"/>
                <w:sz w:val="20"/>
                <w:szCs w:val="20"/>
              </w:rPr>
              <w:t>89%</w:t>
            </w:r>
          </w:p>
        </w:tc>
        <w:tc>
          <w:tcPr>
            <w:tcW w:w="1288" w:type="dxa"/>
          </w:tcPr>
          <w:p w14:paraId="6D2A6232" w14:textId="77777777" w:rsidR="00883D7B" w:rsidRDefault="00883D7B" w:rsidP="007C3DF2">
            <w:pPr>
              <w:jc w:val="center"/>
              <w:rPr>
                <w:rFonts w:ascii="Arial" w:hAnsi="Arial" w:cs="Arial"/>
                <w:sz w:val="20"/>
                <w:szCs w:val="20"/>
              </w:rPr>
            </w:pPr>
          </w:p>
          <w:p w14:paraId="0E060377" w14:textId="7833F027" w:rsidR="00883D7B" w:rsidRDefault="004B028A" w:rsidP="007C3DF2">
            <w:pPr>
              <w:jc w:val="center"/>
              <w:rPr>
                <w:rFonts w:ascii="Arial" w:hAnsi="Arial" w:cs="Arial"/>
                <w:sz w:val="20"/>
                <w:szCs w:val="20"/>
              </w:rPr>
            </w:pPr>
            <w:r>
              <w:rPr>
                <w:rFonts w:ascii="Arial" w:hAnsi="Arial" w:cs="Arial"/>
                <w:sz w:val="20"/>
                <w:szCs w:val="20"/>
              </w:rPr>
              <w:t>11%</w:t>
            </w:r>
          </w:p>
        </w:tc>
        <w:tc>
          <w:tcPr>
            <w:tcW w:w="1173" w:type="dxa"/>
          </w:tcPr>
          <w:p w14:paraId="17BFA3E8" w14:textId="77777777" w:rsidR="00883D7B" w:rsidRDefault="00883D7B" w:rsidP="007C3DF2">
            <w:pPr>
              <w:jc w:val="center"/>
              <w:rPr>
                <w:rFonts w:ascii="Arial" w:hAnsi="Arial" w:cs="Arial"/>
                <w:sz w:val="20"/>
                <w:szCs w:val="20"/>
              </w:rPr>
            </w:pPr>
          </w:p>
          <w:p w14:paraId="2DFFAD2F" w14:textId="455C4515" w:rsidR="00883D7B" w:rsidRDefault="004B028A" w:rsidP="007C3DF2">
            <w:pPr>
              <w:jc w:val="center"/>
              <w:rPr>
                <w:rFonts w:ascii="Arial" w:hAnsi="Arial" w:cs="Arial"/>
                <w:sz w:val="20"/>
                <w:szCs w:val="20"/>
              </w:rPr>
            </w:pPr>
            <w:r>
              <w:rPr>
                <w:rFonts w:ascii="Arial" w:hAnsi="Arial" w:cs="Arial"/>
                <w:sz w:val="20"/>
                <w:szCs w:val="20"/>
              </w:rPr>
              <w:t>87%</w:t>
            </w:r>
          </w:p>
        </w:tc>
        <w:tc>
          <w:tcPr>
            <w:tcW w:w="1134" w:type="dxa"/>
          </w:tcPr>
          <w:p w14:paraId="44A3BCDD" w14:textId="77777777" w:rsidR="00883D7B" w:rsidRDefault="00883D7B" w:rsidP="007C3DF2">
            <w:pPr>
              <w:jc w:val="center"/>
              <w:rPr>
                <w:rFonts w:ascii="Arial" w:hAnsi="Arial" w:cs="Arial"/>
                <w:sz w:val="20"/>
                <w:szCs w:val="20"/>
              </w:rPr>
            </w:pPr>
          </w:p>
          <w:p w14:paraId="58914D7D" w14:textId="3ED9E428" w:rsidR="00883D7B" w:rsidRDefault="004B028A" w:rsidP="007C3DF2">
            <w:pPr>
              <w:jc w:val="center"/>
              <w:rPr>
                <w:rFonts w:ascii="Arial" w:hAnsi="Arial" w:cs="Arial"/>
                <w:sz w:val="20"/>
                <w:szCs w:val="20"/>
              </w:rPr>
            </w:pPr>
            <w:r>
              <w:rPr>
                <w:rFonts w:ascii="Arial" w:hAnsi="Arial" w:cs="Arial"/>
                <w:sz w:val="20"/>
                <w:szCs w:val="20"/>
              </w:rPr>
              <w:t>13%</w:t>
            </w:r>
          </w:p>
        </w:tc>
      </w:tr>
      <w:tr w:rsidR="00883D7B" w14:paraId="403FC79F" w14:textId="77777777" w:rsidTr="004B028A">
        <w:tc>
          <w:tcPr>
            <w:tcW w:w="2835" w:type="dxa"/>
          </w:tcPr>
          <w:p w14:paraId="6B705E54" w14:textId="77777777" w:rsidR="00883D7B" w:rsidRDefault="00883D7B" w:rsidP="007C3DF2">
            <w:pPr>
              <w:rPr>
                <w:rFonts w:ascii="Arial" w:hAnsi="Arial" w:cs="Arial"/>
                <w:sz w:val="20"/>
                <w:szCs w:val="20"/>
              </w:rPr>
            </w:pPr>
          </w:p>
          <w:p w14:paraId="50DFB992" w14:textId="77777777" w:rsidR="00883D7B" w:rsidRDefault="00883D7B" w:rsidP="007C3DF2">
            <w:pPr>
              <w:rPr>
                <w:rFonts w:ascii="Arial" w:hAnsi="Arial" w:cs="Arial"/>
                <w:sz w:val="20"/>
                <w:szCs w:val="20"/>
              </w:rPr>
            </w:pPr>
            <w:r>
              <w:rPr>
                <w:rFonts w:ascii="Arial" w:hAnsi="Arial" w:cs="Arial"/>
                <w:sz w:val="20"/>
                <w:szCs w:val="20"/>
              </w:rPr>
              <w:t>Outcomes in hearings where the consumer attended and was legally represented</w:t>
            </w:r>
          </w:p>
          <w:p w14:paraId="31DEF606" w14:textId="77777777" w:rsidR="00883D7B" w:rsidRDefault="00883D7B" w:rsidP="007C3DF2">
            <w:pPr>
              <w:rPr>
                <w:rFonts w:ascii="Arial" w:hAnsi="Arial" w:cs="Arial"/>
                <w:sz w:val="20"/>
                <w:szCs w:val="20"/>
              </w:rPr>
            </w:pPr>
          </w:p>
        </w:tc>
        <w:tc>
          <w:tcPr>
            <w:tcW w:w="1288" w:type="dxa"/>
          </w:tcPr>
          <w:p w14:paraId="519111CE" w14:textId="77777777" w:rsidR="00883D7B" w:rsidRDefault="00883D7B" w:rsidP="007C3DF2">
            <w:pPr>
              <w:jc w:val="center"/>
              <w:rPr>
                <w:rFonts w:ascii="Arial" w:hAnsi="Arial" w:cs="Arial"/>
                <w:sz w:val="20"/>
                <w:szCs w:val="20"/>
              </w:rPr>
            </w:pPr>
          </w:p>
          <w:p w14:paraId="5E6A34AD" w14:textId="77777777" w:rsidR="00883D7B" w:rsidRDefault="00560CC8" w:rsidP="007C3DF2">
            <w:pPr>
              <w:jc w:val="center"/>
              <w:rPr>
                <w:rFonts w:ascii="Arial" w:hAnsi="Arial" w:cs="Arial"/>
                <w:sz w:val="20"/>
                <w:szCs w:val="20"/>
              </w:rPr>
            </w:pPr>
            <w:r>
              <w:rPr>
                <w:rFonts w:ascii="Arial" w:hAnsi="Arial" w:cs="Arial"/>
                <w:sz w:val="20"/>
                <w:szCs w:val="20"/>
              </w:rPr>
              <w:t>55%</w:t>
            </w:r>
          </w:p>
          <w:p w14:paraId="4564EC91" w14:textId="505DF147" w:rsidR="00774DB3" w:rsidRDefault="00774DB3" w:rsidP="007C3DF2">
            <w:pPr>
              <w:jc w:val="center"/>
              <w:rPr>
                <w:rFonts w:ascii="Arial" w:hAnsi="Arial" w:cs="Arial"/>
                <w:sz w:val="20"/>
                <w:szCs w:val="20"/>
              </w:rPr>
            </w:pPr>
            <w:r>
              <w:rPr>
                <w:rFonts w:ascii="Arial" w:hAnsi="Arial" w:cs="Arial"/>
                <w:sz w:val="20"/>
                <w:szCs w:val="20"/>
              </w:rPr>
              <w:t>(n = 29)</w:t>
            </w:r>
          </w:p>
        </w:tc>
        <w:tc>
          <w:tcPr>
            <w:tcW w:w="1288" w:type="dxa"/>
          </w:tcPr>
          <w:p w14:paraId="4BD4639F" w14:textId="77777777" w:rsidR="00883D7B" w:rsidRDefault="00883D7B" w:rsidP="007C3DF2">
            <w:pPr>
              <w:jc w:val="center"/>
              <w:rPr>
                <w:rFonts w:ascii="Arial" w:hAnsi="Arial" w:cs="Arial"/>
                <w:sz w:val="20"/>
                <w:szCs w:val="20"/>
              </w:rPr>
            </w:pPr>
          </w:p>
          <w:p w14:paraId="3288FEEC" w14:textId="77777777" w:rsidR="00883D7B" w:rsidRDefault="004B028A" w:rsidP="007C3DF2">
            <w:pPr>
              <w:jc w:val="center"/>
              <w:rPr>
                <w:rFonts w:ascii="Arial" w:hAnsi="Arial" w:cs="Arial"/>
                <w:sz w:val="20"/>
                <w:szCs w:val="20"/>
              </w:rPr>
            </w:pPr>
            <w:r>
              <w:rPr>
                <w:rFonts w:ascii="Arial" w:hAnsi="Arial" w:cs="Arial"/>
                <w:sz w:val="20"/>
                <w:szCs w:val="20"/>
              </w:rPr>
              <w:t>45%</w:t>
            </w:r>
          </w:p>
          <w:p w14:paraId="2DFEA8A6" w14:textId="0A5F707D" w:rsidR="00774DB3" w:rsidRDefault="00774DB3" w:rsidP="007C3DF2">
            <w:pPr>
              <w:jc w:val="center"/>
              <w:rPr>
                <w:rFonts w:ascii="Arial" w:hAnsi="Arial" w:cs="Arial"/>
                <w:sz w:val="20"/>
                <w:szCs w:val="20"/>
              </w:rPr>
            </w:pPr>
            <w:r>
              <w:rPr>
                <w:rFonts w:ascii="Arial" w:hAnsi="Arial" w:cs="Arial"/>
                <w:sz w:val="20"/>
                <w:szCs w:val="20"/>
              </w:rPr>
              <w:t>(n = 24)</w:t>
            </w:r>
          </w:p>
        </w:tc>
        <w:tc>
          <w:tcPr>
            <w:tcW w:w="1288" w:type="dxa"/>
          </w:tcPr>
          <w:p w14:paraId="1D98B2A3" w14:textId="77777777" w:rsidR="00883D7B" w:rsidRDefault="00883D7B" w:rsidP="007C3DF2">
            <w:pPr>
              <w:jc w:val="center"/>
              <w:rPr>
                <w:rFonts w:ascii="Arial" w:hAnsi="Arial" w:cs="Arial"/>
                <w:sz w:val="20"/>
                <w:szCs w:val="20"/>
              </w:rPr>
            </w:pPr>
          </w:p>
          <w:p w14:paraId="49DA8428" w14:textId="77777777" w:rsidR="00883D7B" w:rsidRDefault="004B028A" w:rsidP="007C3DF2">
            <w:pPr>
              <w:jc w:val="center"/>
              <w:rPr>
                <w:rFonts w:ascii="Arial" w:hAnsi="Arial" w:cs="Arial"/>
                <w:sz w:val="20"/>
                <w:szCs w:val="20"/>
              </w:rPr>
            </w:pPr>
            <w:r>
              <w:rPr>
                <w:rFonts w:ascii="Arial" w:hAnsi="Arial" w:cs="Arial"/>
                <w:sz w:val="20"/>
                <w:szCs w:val="20"/>
              </w:rPr>
              <w:t>59%</w:t>
            </w:r>
          </w:p>
          <w:p w14:paraId="0609D1E3" w14:textId="3888AC0A" w:rsidR="00774DB3" w:rsidRDefault="00774DB3" w:rsidP="007C3DF2">
            <w:pPr>
              <w:jc w:val="center"/>
              <w:rPr>
                <w:rFonts w:ascii="Arial" w:hAnsi="Arial" w:cs="Arial"/>
                <w:sz w:val="20"/>
                <w:szCs w:val="20"/>
              </w:rPr>
            </w:pPr>
            <w:r>
              <w:rPr>
                <w:rFonts w:ascii="Arial" w:hAnsi="Arial" w:cs="Arial"/>
                <w:sz w:val="20"/>
                <w:szCs w:val="20"/>
              </w:rPr>
              <w:t>(n = 40)</w:t>
            </w:r>
          </w:p>
        </w:tc>
        <w:tc>
          <w:tcPr>
            <w:tcW w:w="1288" w:type="dxa"/>
          </w:tcPr>
          <w:p w14:paraId="41C5AD8F" w14:textId="77777777" w:rsidR="00883D7B" w:rsidRDefault="00883D7B" w:rsidP="007C3DF2">
            <w:pPr>
              <w:jc w:val="center"/>
              <w:rPr>
                <w:rFonts w:ascii="Arial" w:hAnsi="Arial" w:cs="Arial"/>
                <w:sz w:val="20"/>
                <w:szCs w:val="20"/>
              </w:rPr>
            </w:pPr>
          </w:p>
          <w:p w14:paraId="307FC17D" w14:textId="77777777" w:rsidR="00883D7B" w:rsidRDefault="004B028A" w:rsidP="007C3DF2">
            <w:pPr>
              <w:jc w:val="center"/>
              <w:rPr>
                <w:rFonts w:ascii="Arial" w:hAnsi="Arial" w:cs="Arial"/>
                <w:sz w:val="20"/>
                <w:szCs w:val="20"/>
              </w:rPr>
            </w:pPr>
            <w:r>
              <w:rPr>
                <w:rFonts w:ascii="Arial" w:hAnsi="Arial" w:cs="Arial"/>
                <w:sz w:val="20"/>
                <w:szCs w:val="20"/>
              </w:rPr>
              <w:t>41%</w:t>
            </w:r>
          </w:p>
          <w:p w14:paraId="57A01459" w14:textId="1131C095" w:rsidR="00774DB3" w:rsidRDefault="00774DB3" w:rsidP="007C3DF2">
            <w:pPr>
              <w:jc w:val="center"/>
              <w:rPr>
                <w:rFonts w:ascii="Arial" w:hAnsi="Arial" w:cs="Arial"/>
                <w:sz w:val="20"/>
                <w:szCs w:val="20"/>
              </w:rPr>
            </w:pPr>
            <w:r>
              <w:rPr>
                <w:rFonts w:ascii="Arial" w:hAnsi="Arial" w:cs="Arial"/>
                <w:sz w:val="20"/>
                <w:szCs w:val="20"/>
              </w:rPr>
              <w:t>(n = 28)</w:t>
            </w:r>
          </w:p>
        </w:tc>
        <w:tc>
          <w:tcPr>
            <w:tcW w:w="1288" w:type="dxa"/>
          </w:tcPr>
          <w:p w14:paraId="33398C86" w14:textId="77777777" w:rsidR="00883D7B" w:rsidRDefault="00883D7B" w:rsidP="007C3DF2">
            <w:pPr>
              <w:jc w:val="center"/>
              <w:rPr>
                <w:rFonts w:ascii="Arial" w:hAnsi="Arial" w:cs="Arial"/>
                <w:sz w:val="20"/>
                <w:szCs w:val="20"/>
              </w:rPr>
            </w:pPr>
          </w:p>
          <w:p w14:paraId="24DF952C" w14:textId="77777777" w:rsidR="00883D7B" w:rsidRDefault="004B028A" w:rsidP="007C3DF2">
            <w:pPr>
              <w:jc w:val="center"/>
              <w:rPr>
                <w:rFonts w:ascii="Arial" w:hAnsi="Arial" w:cs="Arial"/>
                <w:sz w:val="20"/>
                <w:szCs w:val="20"/>
              </w:rPr>
            </w:pPr>
            <w:r>
              <w:rPr>
                <w:rFonts w:ascii="Arial" w:hAnsi="Arial" w:cs="Arial"/>
                <w:sz w:val="20"/>
                <w:szCs w:val="20"/>
              </w:rPr>
              <w:t>57%</w:t>
            </w:r>
          </w:p>
          <w:p w14:paraId="41D0C3A0" w14:textId="7E3B413D" w:rsidR="00774DB3" w:rsidRDefault="00774DB3" w:rsidP="007C3DF2">
            <w:pPr>
              <w:jc w:val="center"/>
              <w:rPr>
                <w:rFonts w:ascii="Arial" w:hAnsi="Arial" w:cs="Arial"/>
                <w:sz w:val="20"/>
                <w:szCs w:val="20"/>
              </w:rPr>
            </w:pPr>
            <w:r>
              <w:rPr>
                <w:rFonts w:ascii="Arial" w:hAnsi="Arial" w:cs="Arial"/>
                <w:sz w:val="20"/>
                <w:szCs w:val="20"/>
              </w:rPr>
              <w:t>(n = 43)</w:t>
            </w:r>
          </w:p>
        </w:tc>
        <w:tc>
          <w:tcPr>
            <w:tcW w:w="1288" w:type="dxa"/>
          </w:tcPr>
          <w:p w14:paraId="00EDADE4" w14:textId="77777777" w:rsidR="00883D7B" w:rsidRDefault="00883D7B" w:rsidP="007C3DF2">
            <w:pPr>
              <w:jc w:val="center"/>
              <w:rPr>
                <w:rFonts w:ascii="Arial" w:hAnsi="Arial" w:cs="Arial"/>
                <w:sz w:val="20"/>
                <w:szCs w:val="20"/>
              </w:rPr>
            </w:pPr>
          </w:p>
          <w:p w14:paraId="147FAFDD" w14:textId="77777777" w:rsidR="00883D7B" w:rsidRDefault="004B028A" w:rsidP="007C3DF2">
            <w:pPr>
              <w:jc w:val="center"/>
              <w:rPr>
                <w:rFonts w:ascii="Arial" w:hAnsi="Arial" w:cs="Arial"/>
                <w:sz w:val="20"/>
                <w:szCs w:val="20"/>
              </w:rPr>
            </w:pPr>
            <w:r>
              <w:rPr>
                <w:rFonts w:ascii="Arial" w:hAnsi="Arial" w:cs="Arial"/>
                <w:sz w:val="20"/>
                <w:szCs w:val="20"/>
              </w:rPr>
              <w:t>43%</w:t>
            </w:r>
          </w:p>
          <w:p w14:paraId="3934B25C" w14:textId="7EB58CA2" w:rsidR="00774DB3" w:rsidRDefault="00774DB3" w:rsidP="007C3DF2">
            <w:pPr>
              <w:jc w:val="center"/>
              <w:rPr>
                <w:rFonts w:ascii="Arial" w:hAnsi="Arial" w:cs="Arial"/>
                <w:sz w:val="20"/>
                <w:szCs w:val="20"/>
              </w:rPr>
            </w:pPr>
            <w:r>
              <w:rPr>
                <w:rFonts w:ascii="Arial" w:hAnsi="Arial" w:cs="Arial"/>
                <w:sz w:val="20"/>
                <w:szCs w:val="20"/>
              </w:rPr>
              <w:t>(n = 33)</w:t>
            </w:r>
          </w:p>
        </w:tc>
        <w:tc>
          <w:tcPr>
            <w:tcW w:w="1288" w:type="dxa"/>
          </w:tcPr>
          <w:p w14:paraId="35AB458C" w14:textId="77777777" w:rsidR="00883D7B" w:rsidRDefault="00883D7B" w:rsidP="007C3DF2">
            <w:pPr>
              <w:jc w:val="center"/>
              <w:rPr>
                <w:rFonts w:ascii="Arial" w:hAnsi="Arial" w:cs="Arial"/>
                <w:sz w:val="20"/>
                <w:szCs w:val="20"/>
              </w:rPr>
            </w:pPr>
          </w:p>
          <w:p w14:paraId="76B4BCBB" w14:textId="77777777" w:rsidR="00883D7B" w:rsidRDefault="004B028A" w:rsidP="007C3DF2">
            <w:pPr>
              <w:jc w:val="center"/>
              <w:rPr>
                <w:rFonts w:ascii="Arial" w:hAnsi="Arial" w:cs="Arial"/>
                <w:sz w:val="20"/>
                <w:szCs w:val="20"/>
              </w:rPr>
            </w:pPr>
            <w:r>
              <w:rPr>
                <w:rFonts w:ascii="Arial" w:hAnsi="Arial" w:cs="Arial"/>
                <w:sz w:val="20"/>
                <w:szCs w:val="20"/>
              </w:rPr>
              <w:t>72%</w:t>
            </w:r>
          </w:p>
          <w:p w14:paraId="0697CDCD" w14:textId="707504AC" w:rsidR="00774DB3" w:rsidRDefault="00774DB3" w:rsidP="007C3DF2">
            <w:pPr>
              <w:jc w:val="center"/>
              <w:rPr>
                <w:rFonts w:ascii="Arial" w:hAnsi="Arial" w:cs="Arial"/>
                <w:sz w:val="20"/>
                <w:szCs w:val="20"/>
              </w:rPr>
            </w:pPr>
            <w:r>
              <w:rPr>
                <w:rFonts w:ascii="Arial" w:hAnsi="Arial" w:cs="Arial"/>
                <w:sz w:val="20"/>
                <w:szCs w:val="20"/>
              </w:rPr>
              <w:t>(n = 61)</w:t>
            </w:r>
          </w:p>
        </w:tc>
        <w:tc>
          <w:tcPr>
            <w:tcW w:w="1288" w:type="dxa"/>
          </w:tcPr>
          <w:p w14:paraId="08BEDEF5" w14:textId="77777777" w:rsidR="00883D7B" w:rsidRDefault="00883D7B" w:rsidP="007C3DF2">
            <w:pPr>
              <w:jc w:val="center"/>
              <w:rPr>
                <w:rFonts w:ascii="Arial" w:hAnsi="Arial" w:cs="Arial"/>
                <w:sz w:val="20"/>
                <w:szCs w:val="20"/>
              </w:rPr>
            </w:pPr>
          </w:p>
          <w:p w14:paraId="62A0E446" w14:textId="77777777" w:rsidR="00883D7B" w:rsidRDefault="004B028A" w:rsidP="007C3DF2">
            <w:pPr>
              <w:jc w:val="center"/>
              <w:rPr>
                <w:rFonts w:ascii="Arial" w:hAnsi="Arial" w:cs="Arial"/>
                <w:sz w:val="20"/>
                <w:szCs w:val="20"/>
              </w:rPr>
            </w:pPr>
            <w:r>
              <w:rPr>
                <w:rFonts w:ascii="Arial" w:hAnsi="Arial" w:cs="Arial"/>
                <w:sz w:val="20"/>
                <w:szCs w:val="20"/>
              </w:rPr>
              <w:t>28%</w:t>
            </w:r>
          </w:p>
          <w:p w14:paraId="1D7C1A4C" w14:textId="12601A9C" w:rsidR="00774DB3" w:rsidRDefault="00774DB3" w:rsidP="007C3DF2">
            <w:pPr>
              <w:jc w:val="center"/>
              <w:rPr>
                <w:rFonts w:ascii="Arial" w:hAnsi="Arial" w:cs="Arial"/>
                <w:sz w:val="20"/>
                <w:szCs w:val="20"/>
              </w:rPr>
            </w:pPr>
            <w:r>
              <w:rPr>
                <w:rFonts w:ascii="Arial" w:hAnsi="Arial" w:cs="Arial"/>
                <w:sz w:val="20"/>
                <w:szCs w:val="20"/>
              </w:rPr>
              <w:t>(n = 24)</w:t>
            </w:r>
          </w:p>
        </w:tc>
        <w:tc>
          <w:tcPr>
            <w:tcW w:w="1173" w:type="dxa"/>
          </w:tcPr>
          <w:p w14:paraId="3D099F6A" w14:textId="77777777" w:rsidR="00883D7B" w:rsidRDefault="00883D7B" w:rsidP="007C3DF2">
            <w:pPr>
              <w:jc w:val="center"/>
              <w:rPr>
                <w:rFonts w:ascii="Arial" w:hAnsi="Arial" w:cs="Arial"/>
                <w:sz w:val="20"/>
                <w:szCs w:val="20"/>
              </w:rPr>
            </w:pPr>
          </w:p>
          <w:p w14:paraId="1C138BB7" w14:textId="77777777" w:rsidR="00883D7B" w:rsidRDefault="004B028A" w:rsidP="007C3DF2">
            <w:pPr>
              <w:jc w:val="center"/>
              <w:rPr>
                <w:rFonts w:ascii="Arial" w:hAnsi="Arial" w:cs="Arial"/>
                <w:sz w:val="20"/>
                <w:szCs w:val="20"/>
              </w:rPr>
            </w:pPr>
            <w:r>
              <w:rPr>
                <w:rFonts w:ascii="Arial" w:hAnsi="Arial" w:cs="Arial"/>
                <w:sz w:val="20"/>
                <w:szCs w:val="20"/>
              </w:rPr>
              <w:t>55%</w:t>
            </w:r>
          </w:p>
          <w:p w14:paraId="35357C20" w14:textId="4BF9293A" w:rsidR="00774DB3" w:rsidRDefault="00774DB3" w:rsidP="007C3DF2">
            <w:pPr>
              <w:jc w:val="center"/>
              <w:rPr>
                <w:rFonts w:ascii="Arial" w:hAnsi="Arial" w:cs="Arial"/>
                <w:sz w:val="20"/>
                <w:szCs w:val="20"/>
              </w:rPr>
            </w:pPr>
            <w:r>
              <w:rPr>
                <w:rFonts w:ascii="Arial" w:hAnsi="Arial" w:cs="Arial"/>
                <w:sz w:val="20"/>
                <w:szCs w:val="20"/>
              </w:rPr>
              <w:t>(n = 46)</w:t>
            </w:r>
          </w:p>
        </w:tc>
        <w:tc>
          <w:tcPr>
            <w:tcW w:w="1134" w:type="dxa"/>
          </w:tcPr>
          <w:p w14:paraId="5FE7B090" w14:textId="77777777" w:rsidR="00883D7B" w:rsidRDefault="00883D7B" w:rsidP="007C3DF2">
            <w:pPr>
              <w:jc w:val="center"/>
              <w:rPr>
                <w:rFonts w:ascii="Arial" w:hAnsi="Arial" w:cs="Arial"/>
                <w:sz w:val="20"/>
                <w:szCs w:val="20"/>
              </w:rPr>
            </w:pPr>
          </w:p>
          <w:p w14:paraId="55708ECC" w14:textId="77777777" w:rsidR="00883D7B" w:rsidRDefault="004B028A" w:rsidP="007C3DF2">
            <w:pPr>
              <w:jc w:val="center"/>
              <w:rPr>
                <w:rFonts w:ascii="Arial" w:hAnsi="Arial" w:cs="Arial"/>
                <w:sz w:val="20"/>
                <w:szCs w:val="20"/>
              </w:rPr>
            </w:pPr>
            <w:r>
              <w:rPr>
                <w:rFonts w:ascii="Arial" w:hAnsi="Arial" w:cs="Arial"/>
                <w:sz w:val="20"/>
                <w:szCs w:val="20"/>
              </w:rPr>
              <w:t>45%</w:t>
            </w:r>
          </w:p>
          <w:p w14:paraId="566D7574" w14:textId="4C6C836C" w:rsidR="00774DB3" w:rsidRDefault="00774DB3" w:rsidP="007C3DF2">
            <w:pPr>
              <w:jc w:val="center"/>
              <w:rPr>
                <w:rFonts w:ascii="Arial" w:hAnsi="Arial" w:cs="Arial"/>
                <w:sz w:val="20"/>
                <w:szCs w:val="20"/>
              </w:rPr>
            </w:pPr>
            <w:r>
              <w:rPr>
                <w:rFonts w:ascii="Arial" w:hAnsi="Arial" w:cs="Arial"/>
                <w:sz w:val="20"/>
                <w:szCs w:val="20"/>
              </w:rPr>
              <w:t>(n = 38)</w:t>
            </w:r>
          </w:p>
        </w:tc>
      </w:tr>
    </w:tbl>
    <w:p w14:paraId="566E6A49" w14:textId="64F0544D" w:rsidR="00883D7B" w:rsidRDefault="00883D7B" w:rsidP="00091A22">
      <w:pPr>
        <w:jc w:val="both"/>
        <w:rPr>
          <w:rFonts w:ascii="Arial" w:hAnsi="Arial" w:cs="Arial"/>
          <w:sz w:val="20"/>
          <w:szCs w:val="20"/>
        </w:rPr>
      </w:pPr>
    </w:p>
    <w:p w14:paraId="72DEF4D9" w14:textId="4D627D3F" w:rsidR="00883D7B" w:rsidRDefault="00883D7B" w:rsidP="00091A22">
      <w:pPr>
        <w:jc w:val="both"/>
        <w:rPr>
          <w:rFonts w:ascii="Arial" w:hAnsi="Arial" w:cs="Arial"/>
          <w:sz w:val="20"/>
          <w:szCs w:val="20"/>
        </w:rPr>
      </w:pPr>
    </w:p>
    <w:p w14:paraId="566BBCF1" w14:textId="7E3C4855" w:rsidR="00883D7B" w:rsidRDefault="00883D7B">
      <w:pPr>
        <w:spacing w:after="200" w:line="276" w:lineRule="auto"/>
        <w:rPr>
          <w:rFonts w:ascii="Arial" w:hAnsi="Arial" w:cs="Arial"/>
          <w:sz w:val="20"/>
          <w:szCs w:val="20"/>
        </w:rPr>
      </w:pPr>
      <w:r>
        <w:rPr>
          <w:rFonts w:ascii="Arial" w:hAnsi="Arial" w:cs="Arial"/>
          <w:sz w:val="20"/>
          <w:szCs w:val="20"/>
        </w:rPr>
        <w:br w:type="page"/>
      </w:r>
    </w:p>
    <w:p w14:paraId="69AFDC76" w14:textId="2D297611" w:rsidR="00883D7B" w:rsidRDefault="00883D7B" w:rsidP="006E3136">
      <w:pPr>
        <w:ind w:left="1440" w:hanging="1440"/>
        <w:jc w:val="both"/>
        <w:rPr>
          <w:rFonts w:ascii="Arial" w:hAnsi="Arial" w:cs="Arial"/>
          <w:b/>
          <w:sz w:val="20"/>
          <w:szCs w:val="20"/>
        </w:rPr>
      </w:pPr>
      <w:r w:rsidRPr="004B028A">
        <w:rPr>
          <w:rFonts w:ascii="Arial" w:hAnsi="Arial" w:cs="Arial"/>
          <w:b/>
          <w:sz w:val="20"/>
          <w:szCs w:val="20"/>
        </w:rPr>
        <w:lastRenderedPageBreak/>
        <w:t>Table 4:</w:t>
      </w:r>
      <w:r w:rsidRPr="004B028A">
        <w:rPr>
          <w:rFonts w:ascii="Arial" w:hAnsi="Arial" w:cs="Arial"/>
          <w:b/>
          <w:sz w:val="20"/>
          <w:szCs w:val="20"/>
        </w:rPr>
        <w:tab/>
      </w:r>
      <w:r w:rsidR="006E3136" w:rsidRPr="004B028A">
        <w:rPr>
          <w:rFonts w:ascii="Arial" w:hAnsi="Arial" w:cs="Arial"/>
          <w:b/>
          <w:sz w:val="20"/>
          <w:szCs w:val="20"/>
        </w:rPr>
        <w:t>Comparative levels of legal representation and determinations in hearings in NSW, Queensland and Victoria</w:t>
      </w:r>
    </w:p>
    <w:p w14:paraId="37332A21" w14:textId="40E3F27B" w:rsidR="006E3136" w:rsidRDefault="006E3136" w:rsidP="006E3136">
      <w:pPr>
        <w:ind w:left="1440" w:hanging="1440"/>
        <w:jc w:val="both"/>
        <w:rPr>
          <w:rFonts w:ascii="Arial" w:hAnsi="Arial" w:cs="Arial"/>
          <w:sz w:val="20"/>
          <w:szCs w:val="20"/>
        </w:rPr>
      </w:pPr>
    </w:p>
    <w:tbl>
      <w:tblPr>
        <w:tblStyle w:val="TableGrid"/>
        <w:tblW w:w="0" w:type="auto"/>
        <w:tblInd w:w="-113" w:type="dxa"/>
        <w:tblLook w:val="04A0" w:firstRow="1" w:lastRow="0" w:firstColumn="1" w:lastColumn="0" w:noHBand="0" w:noVBand="1"/>
      </w:tblPr>
      <w:tblGrid>
        <w:gridCol w:w="2211"/>
        <w:gridCol w:w="3000"/>
        <w:gridCol w:w="2784"/>
        <w:gridCol w:w="3028"/>
        <w:gridCol w:w="2756"/>
      </w:tblGrid>
      <w:tr w:rsidR="003702CE" w14:paraId="2357DB9A" w14:textId="77777777" w:rsidTr="007C3DF2">
        <w:tc>
          <w:tcPr>
            <w:tcW w:w="2211" w:type="dxa"/>
            <w:vMerge w:val="restart"/>
          </w:tcPr>
          <w:p w14:paraId="67615210" w14:textId="77777777" w:rsidR="003702CE" w:rsidRDefault="003702CE" w:rsidP="006E3136">
            <w:pPr>
              <w:jc w:val="both"/>
              <w:rPr>
                <w:rFonts w:ascii="Arial" w:hAnsi="Arial" w:cs="Arial"/>
                <w:sz w:val="20"/>
                <w:szCs w:val="20"/>
              </w:rPr>
            </w:pPr>
          </w:p>
        </w:tc>
        <w:tc>
          <w:tcPr>
            <w:tcW w:w="5784" w:type="dxa"/>
            <w:gridSpan w:val="2"/>
          </w:tcPr>
          <w:p w14:paraId="762DE6B1" w14:textId="77777777" w:rsidR="003702CE" w:rsidRPr="00DD4F85" w:rsidRDefault="003702CE" w:rsidP="00DD4F85">
            <w:pPr>
              <w:jc w:val="center"/>
              <w:rPr>
                <w:rFonts w:ascii="Arial" w:hAnsi="Arial" w:cs="Arial"/>
                <w:b/>
                <w:sz w:val="20"/>
                <w:szCs w:val="20"/>
              </w:rPr>
            </w:pPr>
          </w:p>
          <w:p w14:paraId="798AC141" w14:textId="77777777" w:rsidR="003702CE" w:rsidRDefault="003702CE" w:rsidP="0080479D">
            <w:pPr>
              <w:jc w:val="center"/>
              <w:rPr>
                <w:rFonts w:ascii="Arial" w:hAnsi="Arial" w:cs="Arial"/>
                <w:b/>
                <w:sz w:val="20"/>
                <w:szCs w:val="20"/>
              </w:rPr>
            </w:pPr>
            <w:r w:rsidRPr="00DD4F85">
              <w:rPr>
                <w:rFonts w:ascii="Arial" w:hAnsi="Arial" w:cs="Arial"/>
                <w:b/>
                <w:sz w:val="20"/>
                <w:szCs w:val="20"/>
              </w:rPr>
              <w:t>2017/18</w:t>
            </w:r>
          </w:p>
          <w:p w14:paraId="4B797092" w14:textId="44AE9B5B" w:rsidR="0080479D" w:rsidRPr="00DD4F85" w:rsidRDefault="0080479D" w:rsidP="0080479D">
            <w:pPr>
              <w:jc w:val="center"/>
              <w:rPr>
                <w:rFonts w:ascii="Arial" w:hAnsi="Arial" w:cs="Arial"/>
                <w:b/>
                <w:sz w:val="20"/>
                <w:szCs w:val="20"/>
              </w:rPr>
            </w:pPr>
          </w:p>
        </w:tc>
        <w:tc>
          <w:tcPr>
            <w:tcW w:w="5784" w:type="dxa"/>
            <w:gridSpan w:val="2"/>
          </w:tcPr>
          <w:p w14:paraId="7977E46C" w14:textId="77777777" w:rsidR="003702CE" w:rsidRPr="00DD4F85" w:rsidRDefault="003702CE" w:rsidP="00DD4F85">
            <w:pPr>
              <w:jc w:val="center"/>
              <w:rPr>
                <w:rFonts w:ascii="Arial" w:hAnsi="Arial" w:cs="Arial"/>
                <w:b/>
                <w:sz w:val="20"/>
                <w:szCs w:val="20"/>
              </w:rPr>
            </w:pPr>
          </w:p>
          <w:p w14:paraId="2E48364C" w14:textId="5A90A0DB" w:rsidR="003702CE" w:rsidRPr="00DD4F85" w:rsidRDefault="003702CE" w:rsidP="00DD4F85">
            <w:pPr>
              <w:jc w:val="center"/>
              <w:rPr>
                <w:rFonts w:ascii="Arial" w:hAnsi="Arial" w:cs="Arial"/>
                <w:b/>
                <w:sz w:val="20"/>
                <w:szCs w:val="20"/>
              </w:rPr>
            </w:pPr>
            <w:r w:rsidRPr="00DD4F85">
              <w:rPr>
                <w:rFonts w:ascii="Arial" w:hAnsi="Arial" w:cs="Arial"/>
                <w:b/>
                <w:sz w:val="20"/>
                <w:szCs w:val="20"/>
              </w:rPr>
              <w:t>2018/19</w:t>
            </w:r>
          </w:p>
        </w:tc>
      </w:tr>
      <w:tr w:rsidR="003702CE" w14:paraId="012E3E67" w14:textId="77777777" w:rsidTr="00FA59C5">
        <w:tc>
          <w:tcPr>
            <w:tcW w:w="2211" w:type="dxa"/>
            <w:vMerge/>
          </w:tcPr>
          <w:p w14:paraId="7C905C30" w14:textId="77777777" w:rsidR="003702CE" w:rsidRDefault="003702CE" w:rsidP="00DD4F85">
            <w:pPr>
              <w:jc w:val="both"/>
              <w:rPr>
                <w:rFonts w:ascii="Arial" w:hAnsi="Arial" w:cs="Arial"/>
                <w:sz w:val="20"/>
                <w:szCs w:val="20"/>
              </w:rPr>
            </w:pPr>
          </w:p>
        </w:tc>
        <w:tc>
          <w:tcPr>
            <w:tcW w:w="3000" w:type="dxa"/>
          </w:tcPr>
          <w:p w14:paraId="4505B571" w14:textId="77777777" w:rsidR="003702CE" w:rsidRPr="00DD4F85" w:rsidRDefault="003702CE" w:rsidP="007C3DF2">
            <w:pPr>
              <w:jc w:val="center"/>
              <w:rPr>
                <w:rFonts w:ascii="Arial" w:hAnsi="Arial" w:cs="Arial"/>
                <w:b/>
                <w:sz w:val="20"/>
                <w:szCs w:val="20"/>
              </w:rPr>
            </w:pPr>
          </w:p>
          <w:p w14:paraId="07C11CC9" w14:textId="77777777" w:rsidR="003702CE" w:rsidRPr="00DD4F85" w:rsidRDefault="003702CE" w:rsidP="007C3DF2">
            <w:pPr>
              <w:jc w:val="center"/>
              <w:rPr>
                <w:rFonts w:ascii="Arial" w:hAnsi="Arial" w:cs="Arial"/>
                <w:b/>
                <w:sz w:val="20"/>
                <w:szCs w:val="20"/>
              </w:rPr>
            </w:pPr>
            <w:r w:rsidRPr="00DD4F85">
              <w:rPr>
                <w:rFonts w:ascii="Arial" w:hAnsi="Arial" w:cs="Arial"/>
                <w:b/>
                <w:sz w:val="20"/>
                <w:szCs w:val="20"/>
              </w:rPr>
              <w:t>% of consumers legally represented</w:t>
            </w:r>
          </w:p>
          <w:p w14:paraId="492D94F3" w14:textId="6F64C406" w:rsidR="003702CE" w:rsidRPr="00DD4F85" w:rsidRDefault="003702CE" w:rsidP="007C3DF2">
            <w:pPr>
              <w:jc w:val="center"/>
              <w:rPr>
                <w:rFonts w:ascii="Arial" w:hAnsi="Arial" w:cs="Arial"/>
                <w:b/>
                <w:sz w:val="20"/>
                <w:szCs w:val="20"/>
              </w:rPr>
            </w:pPr>
          </w:p>
        </w:tc>
        <w:tc>
          <w:tcPr>
            <w:tcW w:w="2784" w:type="dxa"/>
          </w:tcPr>
          <w:p w14:paraId="46EA2583" w14:textId="77777777" w:rsidR="003702CE" w:rsidRPr="00DD4F85" w:rsidRDefault="003702CE" w:rsidP="007C3DF2">
            <w:pPr>
              <w:jc w:val="center"/>
              <w:rPr>
                <w:rFonts w:ascii="Arial" w:hAnsi="Arial" w:cs="Arial"/>
                <w:b/>
                <w:sz w:val="20"/>
                <w:szCs w:val="20"/>
              </w:rPr>
            </w:pPr>
          </w:p>
          <w:p w14:paraId="517E4B31" w14:textId="5C0FE975" w:rsidR="003702CE" w:rsidRPr="00DD4F85" w:rsidRDefault="003702CE" w:rsidP="007C3DF2">
            <w:pPr>
              <w:jc w:val="center"/>
              <w:rPr>
                <w:rFonts w:ascii="Arial" w:hAnsi="Arial" w:cs="Arial"/>
                <w:b/>
                <w:sz w:val="20"/>
                <w:szCs w:val="20"/>
              </w:rPr>
            </w:pPr>
            <w:r w:rsidRPr="00DD4F85">
              <w:rPr>
                <w:rFonts w:ascii="Arial" w:hAnsi="Arial" w:cs="Arial"/>
                <w:b/>
                <w:sz w:val="20"/>
                <w:szCs w:val="20"/>
              </w:rPr>
              <w:t>% of hearings where no Order made</w:t>
            </w:r>
          </w:p>
        </w:tc>
        <w:tc>
          <w:tcPr>
            <w:tcW w:w="3028" w:type="dxa"/>
          </w:tcPr>
          <w:p w14:paraId="38F544A3" w14:textId="77777777" w:rsidR="003702CE" w:rsidRPr="00DD4F85" w:rsidRDefault="003702CE" w:rsidP="00A97C33">
            <w:pPr>
              <w:jc w:val="center"/>
              <w:rPr>
                <w:rFonts w:ascii="Arial" w:hAnsi="Arial" w:cs="Arial"/>
                <w:b/>
                <w:sz w:val="20"/>
                <w:szCs w:val="20"/>
              </w:rPr>
            </w:pPr>
          </w:p>
          <w:p w14:paraId="3456EDDE" w14:textId="77777777" w:rsidR="003702CE" w:rsidRPr="00DD4F85" w:rsidRDefault="003702CE" w:rsidP="00A97C33">
            <w:pPr>
              <w:jc w:val="center"/>
              <w:rPr>
                <w:rFonts w:ascii="Arial" w:hAnsi="Arial" w:cs="Arial"/>
                <w:b/>
                <w:sz w:val="20"/>
                <w:szCs w:val="20"/>
              </w:rPr>
            </w:pPr>
            <w:r w:rsidRPr="00DD4F85">
              <w:rPr>
                <w:rFonts w:ascii="Arial" w:hAnsi="Arial" w:cs="Arial"/>
                <w:b/>
                <w:sz w:val="20"/>
                <w:szCs w:val="20"/>
              </w:rPr>
              <w:t>% of consumers legally represented</w:t>
            </w:r>
          </w:p>
          <w:p w14:paraId="75178252" w14:textId="77777777" w:rsidR="003702CE" w:rsidRDefault="003702CE" w:rsidP="00A97C33">
            <w:pPr>
              <w:jc w:val="center"/>
              <w:rPr>
                <w:rFonts w:ascii="Arial" w:hAnsi="Arial" w:cs="Arial"/>
                <w:sz w:val="20"/>
                <w:szCs w:val="20"/>
              </w:rPr>
            </w:pPr>
          </w:p>
        </w:tc>
        <w:tc>
          <w:tcPr>
            <w:tcW w:w="2756" w:type="dxa"/>
          </w:tcPr>
          <w:p w14:paraId="2015EF30" w14:textId="77777777" w:rsidR="003702CE" w:rsidRPr="00DD4F85" w:rsidRDefault="003702CE" w:rsidP="00A97C33">
            <w:pPr>
              <w:jc w:val="center"/>
              <w:rPr>
                <w:rFonts w:ascii="Arial" w:hAnsi="Arial" w:cs="Arial"/>
                <w:b/>
                <w:sz w:val="20"/>
                <w:szCs w:val="20"/>
              </w:rPr>
            </w:pPr>
          </w:p>
          <w:p w14:paraId="7AAAAFFC" w14:textId="0485D630" w:rsidR="003702CE" w:rsidRDefault="003702CE" w:rsidP="00A97C33">
            <w:pPr>
              <w:jc w:val="center"/>
              <w:rPr>
                <w:rFonts w:ascii="Arial" w:hAnsi="Arial" w:cs="Arial"/>
                <w:sz w:val="20"/>
                <w:szCs w:val="20"/>
              </w:rPr>
            </w:pPr>
            <w:r w:rsidRPr="00DD4F85">
              <w:rPr>
                <w:rFonts w:ascii="Arial" w:hAnsi="Arial" w:cs="Arial"/>
                <w:b/>
                <w:sz w:val="20"/>
                <w:szCs w:val="20"/>
              </w:rPr>
              <w:t>% of hearings where no Order made</w:t>
            </w:r>
          </w:p>
        </w:tc>
      </w:tr>
      <w:tr w:rsidR="00F768A3" w14:paraId="28B09C27" w14:textId="77777777" w:rsidTr="00FA59C5">
        <w:tc>
          <w:tcPr>
            <w:tcW w:w="2211" w:type="dxa"/>
            <w:vMerge w:val="restart"/>
          </w:tcPr>
          <w:p w14:paraId="76927BCF" w14:textId="4820EEE7" w:rsidR="00F768A3" w:rsidRPr="00A97C33" w:rsidRDefault="00F768A3" w:rsidP="00A97C33">
            <w:pPr>
              <w:jc w:val="both"/>
              <w:rPr>
                <w:rFonts w:ascii="Arial" w:hAnsi="Arial" w:cs="Arial"/>
                <w:b/>
                <w:sz w:val="20"/>
                <w:szCs w:val="20"/>
              </w:rPr>
            </w:pPr>
            <w:r w:rsidRPr="00A97C33">
              <w:rPr>
                <w:rFonts w:ascii="Arial" w:hAnsi="Arial" w:cs="Arial"/>
                <w:b/>
                <w:sz w:val="20"/>
                <w:szCs w:val="20"/>
              </w:rPr>
              <w:t>New South Wales</w:t>
            </w:r>
            <w:r w:rsidR="00E22110">
              <w:rPr>
                <w:rStyle w:val="FootnoteReference"/>
                <w:rFonts w:ascii="Arial" w:hAnsi="Arial" w:cs="Arial"/>
                <w:b/>
                <w:sz w:val="20"/>
                <w:szCs w:val="20"/>
              </w:rPr>
              <w:footnoteReference w:id="16"/>
            </w:r>
          </w:p>
          <w:p w14:paraId="661C9F9A" w14:textId="26C53517" w:rsidR="00F768A3" w:rsidRPr="00A97C33" w:rsidRDefault="00F768A3" w:rsidP="00A97C33">
            <w:pPr>
              <w:jc w:val="both"/>
              <w:rPr>
                <w:rFonts w:ascii="Arial" w:hAnsi="Arial" w:cs="Arial"/>
                <w:b/>
                <w:sz w:val="20"/>
                <w:szCs w:val="20"/>
              </w:rPr>
            </w:pPr>
          </w:p>
        </w:tc>
        <w:tc>
          <w:tcPr>
            <w:tcW w:w="3000" w:type="dxa"/>
          </w:tcPr>
          <w:p w14:paraId="7323BAE6" w14:textId="3E131EC0"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34 reviews</w:t>
            </w:r>
            <w:r w:rsidR="004B028A">
              <w:rPr>
                <w:rStyle w:val="FootnoteReference"/>
                <w:rFonts w:ascii="Arial" w:hAnsi="Arial" w:cs="Arial"/>
                <w:color w:val="0070C0"/>
                <w:sz w:val="20"/>
                <w:szCs w:val="20"/>
              </w:rPr>
              <w:footnoteReference w:id="17"/>
            </w:r>
            <w:r w:rsidRPr="004C5EDC">
              <w:rPr>
                <w:rFonts w:ascii="Arial" w:hAnsi="Arial" w:cs="Arial"/>
                <w:color w:val="0070C0"/>
                <w:sz w:val="20"/>
                <w:szCs w:val="20"/>
              </w:rPr>
              <w:t xml:space="preserve"> – 99% legal representation</w:t>
            </w:r>
          </w:p>
        </w:tc>
        <w:tc>
          <w:tcPr>
            <w:tcW w:w="2784" w:type="dxa"/>
          </w:tcPr>
          <w:p w14:paraId="122F634C" w14:textId="1367CB2B"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0.3% of all matters</w:t>
            </w:r>
          </w:p>
        </w:tc>
        <w:tc>
          <w:tcPr>
            <w:tcW w:w="3028" w:type="dxa"/>
          </w:tcPr>
          <w:p w14:paraId="3F010BEA" w14:textId="0B547BAC"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34 reviews – 97% legal representation</w:t>
            </w:r>
          </w:p>
        </w:tc>
        <w:tc>
          <w:tcPr>
            <w:tcW w:w="2756" w:type="dxa"/>
          </w:tcPr>
          <w:p w14:paraId="077EDB52" w14:textId="263E6FF7"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0.5% of all matters</w:t>
            </w:r>
          </w:p>
        </w:tc>
      </w:tr>
      <w:tr w:rsidR="00F768A3" w14:paraId="27FEA855" w14:textId="77777777" w:rsidTr="00FA59C5">
        <w:tc>
          <w:tcPr>
            <w:tcW w:w="2211" w:type="dxa"/>
            <w:vMerge/>
          </w:tcPr>
          <w:p w14:paraId="1A6342F6" w14:textId="606C1E59" w:rsidR="00F768A3" w:rsidRDefault="00F768A3" w:rsidP="00A97C33">
            <w:pPr>
              <w:jc w:val="both"/>
              <w:rPr>
                <w:rFonts w:ascii="Arial" w:hAnsi="Arial" w:cs="Arial"/>
                <w:sz w:val="20"/>
                <w:szCs w:val="20"/>
              </w:rPr>
            </w:pPr>
          </w:p>
        </w:tc>
        <w:tc>
          <w:tcPr>
            <w:tcW w:w="3000" w:type="dxa"/>
          </w:tcPr>
          <w:p w14:paraId="6D0C9315" w14:textId="1B74F3E5"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37(1)(a) reviews - 91% legal representation</w:t>
            </w:r>
          </w:p>
        </w:tc>
        <w:tc>
          <w:tcPr>
            <w:tcW w:w="2784" w:type="dxa"/>
          </w:tcPr>
          <w:p w14:paraId="68988870" w14:textId="73965EF1"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1.6% of all matters</w:t>
            </w:r>
          </w:p>
        </w:tc>
        <w:tc>
          <w:tcPr>
            <w:tcW w:w="3028" w:type="dxa"/>
          </w:tcPr>
          <w:p w14:paraId="3EB72820" w14:textId="347BD921"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37(1)(a) reviews - 93% legal representation</w:t>
            </w:r>
          </w:p>
        </w:tc>
        <w:tc>
          <w:tcPr>
            <w:tcW w:w="2756" w:type="dxa"/>
          </w:tcPr>
          <w:p w14:paraId="5AAFDEAE" w14:textId="5DF0CC38"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0.8% of all matters</w:t>
            </w:r>
          </w:p>
        </w:tc>
      </w:tr>
      <w:tr w:rsidR="00F768A3" w14:paraId="6D1F90A9" w14:textId="77777777" w:rsidTr="00FA59C5">
        <w:tc>
          <w:tcPr>
            <w:tcW w:w="2211" w:type="dxa"/>
            <w:vMerge/>
          </w:tcPr>
          <w:p w14:paraId="6F8C86AA" w14:textId="79C0D787" w:rsidR="00F768A3" w:rsidRDefault="00F768A3" w:rsidP="00A97C33">
            <w:pPr>
              <w:jc w:val="both"/>
              <w:rPr>
                <w:rFonts w:ascii="Arial" w:hAnsi="Arial" w:cs="Arial"/>
                <w:sz w:val="20"/>
                <w:szCs w:val="20"/>
              </w:rPr>
            </w:pPr>
          </w:p>
        </w:tc>
        <w:tc>
          <w:tcPr>
            <w:tcW w:w="3000" w:type="dxa"/>
          </w:tcPr>
          <w:p w14:paraId="7D171407" w14:textId="2B5156AC"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37(1)(b) reviews - 90% legal representation</w:t>
            </w:r>
          </w:p>
        </w:tc>
        <w:tc>
          <w:tcPr>
            <w:tcW w:w="2784" w:type="dxa"/>
          </w:tcPr>
          <w:p w14:paraId="2EE6640E" w14:textId="75B521C0"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1.4% of all matters</w:t>
            </w:r>
          </w:p>
        </w:tc>
        <w:tc>
          <w:tcPr>
            <w:tcW w:w="3028" w:type="dxa"/>
          </w:tcPr>
          <w:p w14:paraId="5799274E" w14:textId="1FB09CC5"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37(1)(b) reviews - 94% legal representation</w:t>
            </w:r>
          </w:p>
        </w:tc>
        <w:tc>
          <w:tcPr>
            <w:tcW w:w="2756" w:type="dxa"/>
          </w:tcPr>
          <w:p w14:paraId="0A4AA81A" w14:textId="3EF3196E"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0.9% of all matters</w:t>
            </w:r>
          </w:p>
        </w:tc>
      </w:tr>
      <w:tr w:rsidR="00F768A3" w14:paraId="7093C1E7" w14:textId="77777777" w:rsidTr="00FA59C5">
        <w:tc>
          <w:tcPr>
            <w:tcW w:w="2211" w:type="dxa"/>
            <w:vMerge/>
          </w:tcPr>
          <w:p w14:paraId="550D3187" w14:textId="77777777" w:rsidR="00F768A3" w:rsidRDefault="00F768A3" w:rsidP="00A97C33">
            <w:pPr>
              <w:jc w:val="both"/>
              <w:rPr>
                <w:rFonts w:ascii="Arial" w:hAnsi="Arial" w:cs="Arial"/>
                <w:sz w:val="20"/>
                <w:szCs w:val="20"/>
              </w:rPr>
            </w:pPr>
          </w:p>
        </w:tc>
        <w:tc>
          <w:tcPr>
            <w:tcW w:w="3000" w:type="dxa"/>
          </w:tcPr>
          <w:p w14:paraId="7631FE34" w14:textId="1B43787C"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37(1)(c) reviews – 63% legal representation</w:t>
            </w:r>
          </w:p>
        </w:tc>
        <w:tc>
          <w:tcPr>
            <w:tcW w:w="2784" w:type="dxa"/>
          </w:tcPr>
          <w:p w14:paraId="3C591BFE" w14:textId="4FC61F93"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0.4% of all matters</w:t>
            </w:r>
          </w:p>
        </w:tc>
        <w:tc>
          <w:tcPr>
            <w:tcW w:w="3028" w:type="dxa"/>
          </w:tcPr>
          <w:p w14:paraId="4193A1BC" w14:textId="0F3F40AC"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Section 37(1)(c) reviews – 59% legal representation</w:t>
            </w:r>
          </w:p>
        </w:tc>
        <w:tc>
          <w:tcPr>
            <w:tcW w:w="2756" w:type="dxa"/>
          </w:tcPr>
          <w:p w14:paraId="2A4D3FC2" w14:textId="38331FD7" w:rsidR="00F768A3" w:rsidRPr="004C5EDC" w:rsidRDefault="00F768A3" w:rsidP="00A97C33">
            <w:pPr>
              <w:rPr>
                <w:rFonts w:ascii="Arial" w:hAnsi="Arial" w:cs="Arial"/>
                <w:color w:val="0070C0"/>
                <w:sz w:val="20"/>
                <w:szCs w:val="20"/>
              </w:rPr>
            </w:pPr>
            <w:r w:rsidRPr="004C5EDC">
              <w:rPr>
                <w:rFonts w:ascii="Arial" w:hAnsi="Arial" w:cs="Arial"/>
                <w:color w:val="0070C0"/>
                <w:sz w:val="20"/>
                <w:szCs w:val="20"/>
              </w:rPr>
              <w:t>Patient discharged in 0.3% of matters</w:t>
            </w:r>
          </w:p>
        </w:tc>
      </w:tr>
      <w:tr w:rsidR="00F768A3" w14:paraId="22B337C5" w14:textId="77777777" w:rsidTr="00FA59C5">
        <w:tc>
          <w:tcPr>
            <w:tcW w:w="2211" w:type="dxa"/>
            <w:vMerge/>
          </w:tcPr>
          <w:p w14:paraId="4C310F5E" w14:textId="77777777" w:rsidR="00F768A3" w:rsidRDefault="00F768A3" w:rsidP="00A97C33">
            <w:pPr>
              <w:jc w:val="both"/>
              <w:rPr>
                <w:rFonts w:ascii="Arial" w:hAnsi="Arial" w:cs="Arial"/>
                <w:sz w:val="20"/>
                <w:szCs w:val="20"/>
              </w:rPr>
            </w:pPr>
          </w:p>
        </w:tc>
        <w:tc>
          <w:tcPr>
            <w:tcW w:w="3000" w:type="dxa"/>
          </w:tcPr>
          <w:p w14:paraId="112768FC" w14:textId="26E9B636" w:rsidR="00F768A3" w:rsidRPr="004C5EDC" w:rsidRDefault="00F768A3" w:rsidP="00A97C33">
            <w:pPr>
              <w:rPr>
                <w:rFonts w:ascii="Arial" w:hAnsi="Arial" w:cs="Arial"/>
                <w:color w:val="7030A0"/>
                <w:sz w:val="20"/>
                <w:szCs w:val="20"/>
              </w:rPr>
            </w:pPr>
            <w:r w:rsidRPr="004C5EDC">
              <w:rPr>
                <w:rFonts w:ascii="Arial" w:hAnsi="Arial" w:cs="Arial"/>
                <w:color w:val="7030A0"/>
                <w:sz w:val="20"/>
                <w:szCs w:val="20"/>
              </w:rPr>
              <w:t>ECT hearings – 78% legal representation</w:t>
            </w:r>
          </w:p>
        </w:tc>
        <w:tc>
          <w:tcPr>
            <w:tcW w:w="2784" w:type="dxa"/>
          </w:tcPr>
          <w:p w14:paraId="2FF34B3D" w14:textId="6D0E314A" w:rsidR="00F768A3" w:rsidRPr="004C5EDC" w:rsidRDefault="00F768A3" w:rsidP="00A97C33">
            <w:pPr>
              <w:rPr>
                <w:rFonts w:ascii="Arial" w:hAnsi="Arial" w:cs="Arial"/>
                <w:color w:val="7030A0"/>
                <w:sz w:val="20"/>
                <w:szCs w:val="20"/>
              </w:rPr>
            </w:pPr>
            <w:r w:rsidRPr="004C5EDC">
              <w:rPr>
                <w:rFonts w:ascii="Arial" w:hAnsi="Arial" w:cs="Arial"/>
                <w:color w:val="7030A0"/>
                <w:sz w:val="20"/>
                <w:szCs w:val="20"/>
              </w:rPr>
              <w:t>ECT was not approved in 1.5% of all matters</w:t>
            </w:r>
          </w:p>
        </w:tc>
        <w:tc>
          <w:tcPr>
            <w:tcW w:w="3028" w:type="dxa"/>
          </w:tcPr>
          <w:p w14:paraId="239A25C6" w14:textId="193B5CD2" w:rsidR="00F768A3" w:rsidRPr="004C5EDC" w:rsidRDefault="00F768A3" w:rsidP="00A97C33">
            <w:pPr>
              <w:rPr>
                <w:rFonts w:ascii="Arial" w:hAnsi="Arial" w:cs="Arial"/>
                <w:color w:val="7030A0"/>
                <w:sz w:val="20"/>
                <w:szCs w:val="20"/>
              </w:rPr>
            </w:pPr>
            <w:r w:rsidRPr="004C5EDC">
              <w:rPr>
                <w:rFonts w:ascii="Arial" w:hAnsi="Arial" w:cs="Arial"/>
                <w:color w:val="7030A0"/>
                <w:sz w:val="20"/>
                <w:szCs w:val="20"/>
              </w:rPr>
              <w:t>ECT hearings – 83% legal representation</w:t>
            </w:r>
          </w:p>
        </w:tc>
        <w:tc>
          <w:tcPr>
            <w:tcW w:w="2756" w:type="dxa"/>
          </w:tcPr>
          <w:p w14:paraId="6BA7E2C3" w14:textId="2E23FCE3" w:rsidR="00F768A3" w:rsidRPr="004C5EDC" w:rsidRDefault="00F768A3" w:rsidP="00A97C33">
            <w:pPr>
              <w:rPr>
                <w:rFonts w:ascii="Arial" w:hAnsi="Arial" w:cs="Arial"/>
                <w:color w:val="7030A0"/>
                <w:sz w:val="20"/>
                <w:szCs w:val="20"/>
              </w:rPr>
            </w:pPr>
            <w:r w:rsidRPr="004C5EDC">
              <w:rPr>
                <w:rFonts w:ascii="Arial" w:hAnsi="Arial" w:cs="Arial"/>
                <w:color w:val="7030A0"/>
                <w:sz w:val="20"/>
                <w:szCs w:val="20"/>
              </w:rPr>
              <w:t>ECT was not approved in 0.8% of all matters</w:t>
            </w:r>
          </w:p>
        </w:tc>
      </w:tr>
      <w:tr w:rsidR="0020377F" w14:paraId="0EA390A2" w14:textId="77777777" w:rsidTr="0020377F">
        <w:tc>
          <w:tcPr>
            <w:tcW w:w="13779" w:type="dxa"/>
            <w:gridSpan w:val="5"/>
            <w:shd w:val="clear" w:color="auto" w:fill="D9D9D9" w:themeFill="background1" w:themeFillShade="D9"/>
          </w:tcPr>
          <w:p w14:paraId="6E7EB99C" w14:textId="77777777" w:rsidR="0020377F" w:rsidRDefault="0020377F" w:rsidP="00A97C33">
            <w:pPr>
              <w:rPr>
                <w:rFonts w:ascii="Arial" w:hAnsi="Arial" w:cs="Arial"/>
                <w:sz w:val="20"/>
                <w:szCs w:val="20"/>
              </w:rPr>
            </w:pPr>
          </w:p>
        </w:tc>
      </w:tr>
      <w:tr w:rsidR="00F768A3" w14:paraId="40501AB5" w14:textId="77777777" w:rsidTr="00410FA2">
        <w:tc>
          <w:tcPr>
            <w:tcW w:w="2211" w:type="dxa"/>
            <w:vMerge w:val="restart"/>
          </w:tcPr>
          <w:p w14:paraId="5CCA434E" w14:textId="5AE0AD02" w:rsidR="00F768A3" w:rsidRPr="00FA59C5" w:rsidRDefault="00F768A3" w:rsidP="006E3136">
            <w:pPr>
              <w:jc w:val="both"/>
              <w:rPr>
                <w:rFonts w:ascii="Arial" w:hAnsi="Arial" w:cs="Arial"/>
                <w:b/>
                <w:sz w:val="20"/>
                <w:szCs w:val="20"/>
              </w:rPr>
            </w:pPr>
            <w:r>
              <w:rPr>
                <w:rFonts w:ascii="Arial" w:hAnsi="Arial" w:cs="Arial"/>
                <w:b/>
                <w:sz w:val="20"/>
                <w:szCs w:val="20"/>
              </w:rPr>
              <w:t>Queensland</w:t>
            </w:r>
            <w:r w:rsidR="00E97705">
              <w:rPr>
                <w:rStyle w:val="FootnoteReference"/>
                <w:rFonts w:ascii="Arial" w:hAnsi="Arial" w:cs="Arial"/>
                <w:b/>
                <w:sz w:val="20"/>
                <w:szCs w:val="20"/>
              </w:rPr>
              <w:footnoteReference w:id="18"/>
            </w:r>
          </w:p>
          <w:p w14:paraId="6229C015" w14:textId="0671F4D5" w:rsidR="00F768A3" w:rsidRPr="00FA59C5" w:rsidRDefault="00F768A3" w:rsidP="006E3136">
            <w:pPr>
              <w:jc w:val="both"/>
              <w:rPr>
                <w:rFonts w:ascii="Arial" w:hAnsi="Arial" w:cs="Arial"/>
                <w:b/>
                <w:sz w:val="20"/>
                <w:szCs w:val="20"/>
              </w:rPr>
            </w:pPr>
          </w:p>
        </w:tc>
        <w:tc>
          <w:tcPr>
            <w:tcW w:w="3000" w:type="dxa"/>
            <w:shd w:val="clear" w:color="auto" w:fill="FFFFFF" w:themeFill="background1"/>
          </w:tcPr>
          <w:p w14:paraId="76BAD80B" w14:textId="2C85BBD7" w:rsidR="00F768A3" w:rsidRPr="004C5EDC" w:rsidRDefault="00F768A3" w:rsidP="00F768A3">
            <w:pPr>
              <w:rPr>
                <w:rFonts w:ascii="Arial" w:hAnsi="Arial" w:cs="Arial"/>
                <w:color w:val="0070C0"/>
                <w:sz w:val="20"/>
                <w:szCs w:val="20"/>
              </w:rPr>
            </w:pPr>
            <w:r w:rsidRPr="004C5EDC">
              <w:rPr>
                <w:rFonts w:ascii="Arial" w:hAnsi="Arial" w:cs="Arial"/>
                <w:color w:val="0070C0"/>
                <w:sz w:val="20"/>
                <w:szCs w:val="20"/>
              </w:rPr>
              <w:t>Treatment authority hearings</w:t>
            </w:r>
            <w:r w:rsidR="00410FA2">
              <w:rPr>
                <w:rFonts w:ascii="Arial" w:hAnsi="Arial" w:cs="Arial"/>
                <w:color w:val="0070C0"/>
                <w:sz w:val="20"/>
                <w:szCs w:val="20"/>
              </w:rPr>
              <w:t xml:space="preserve"> – legal representation data NA.</w:t>
            </w:r>
          </w:p>
        </w:tc>
        <w:tc>
          <w:tcPr>
            <w:tcW w:w="2784" w:type="dxa"/>
            <w:shd w:val="clear" w:color="auto" w:fill="FFFFFF" w:themeFill="background1"/>
          </w:tcPr>
          <w:p w14:paraId="78FF05D8" w14:textId="0D9FEB2C" w:rsidR="00F768A3" w:rsidRPr="004C5EDC" w:rsidRDefault="00F768A3" w:rsidP="007C3DF2">
            <w:pPr>
              <w:rPr>
                <w:rFonts w:ascii="Arial" w:hAnsi="Arial" w:cs="Arial"/>
                <w:color w:val="0070C0"/>
                <w:sz w:val="20"/>
                <w:szCs w:val="20"/>
              </w:rPr>
            </w:pPr>
            <w:r w:rsidRPr="004C5EDC">
              <w:rPr>
                <w:rFonts w:ascii="Arial" w:hAnsi="Arial" w:cs="Arial"/>
                <w:color w:val="0070C0"/>
                <w:sz w:val="20"/>
                <w:szCs w:val="20"/>
              </w:rPr>
              <w:t xml:space="preserve">Treatment authority revoked </w:t>
            </w:r>
            <w:r w:rsidR="00410FA2">
              <w:rPr>
                <w:rFonts w:ascii="Arial" w:hAnsi="Arial" w:cs="Arial"/>
                <w:color w:val="0070C0"/>
                <w:sz w:val="20"/>
                <w:szCs w:val="20"/>
              </w:rPr>
              <w:t>in 1.02% of all matters</w:t>
            </w:r>
          </w:p>
        </w:tc>
        <w:tc>
          <w:tcPr>
            <w:tcW w:w="3028" w:type="dxa"/>
          </w:tcPr>
          <w:p w14:paraId="6A902661" w14:textId="55598EC0" w:rsidR="00F768A3" w:rsidRPr="004C5EDC" w:rsidRDefault="00F768A3" w:rsidP="0020377F">
            <w:pPr>
              <w:rPr>
                <w:rFonts w:ascii="Arial" w:hAnsi="Arial" w:cs="Arial"/>
                <w:color w:val="0070C0"/>
                <w:sz w:val="20"/>
                <w:szCs w:val="20"/>
              </w:rPr>
            </w:pPr>
            <w:r w:rsidRPr="004C5EDC">
              <w:rPr>
                <w:rFonts w:ascii="Arial" w:hAnsi="Arial" w:cs="Arial"/>
                <w:color w:val="0070C0"/>
                <w:sz w:val="20"/>
                <w:szCs w:val="20"/>
              </w:rPr>
              <w:t>Treatment authority hearings – 0.</w:t>
            </w:r>
            <w:r w:rsidR="00410FA2">
              <w:rPr>
                <w:rFonts w:ascii="Arial" w:hAnsi="Arial" w:cs="Arial"/>
                <w:color w:val="0070C0"/>
                <w:sz w:val="20"/>
                <w:szCs w:val="20"/>
              </w:rPr>
              <w:t>4</w:t>
            </w:r>
            <w:r w:rsidRPr="004C5EDC">
              <w:rPr>
                <w:rFonts w:ascii="Arial" w:hAnsi="Arial" w:cs="Arial"/>
                <w:color w:val="0070C0"/>
                <w:sz w:val="20"/>
                <w:szCs w:val="20"/>
              </w:rPr>
              <w:t>% legal representation</w:t>
            </w:r>
          </w:p>
        </w:tc>
        <w:tc>
          <w:tcPr>
            <w:tcW w:w="2756" w:type="dxa"/>
          </w:tcPr>
          <w:p w14:paraId="77778C59" w14:textId="0BE81A72" w:rsidR="00F768A3" w:rsidRPr="004C5EDC" w:rsidRDefault="00F768A3" w:rsidP="0020377F">
            <w:pPr>
              <w:rPr>
                <w:rFonts w:ascii="Arial" w:hAnsi="Arial" w:cs="Arial"/>
                <w:color w:val="0070C0"/>
                <w:sz w:val="20"/>
                <w:szCs w:val="20"/>
              </w:rPr>
            </w:pPr>
            <w:r w:rsidRPr="004C5EDC">
              <w:rPr>
                <w:rFonts w:ascii="Arial" w:hAnsi="Arial" w:cs="Arial"/>
                <w:color w:val="0070C0"/>
                <w:sz w:val="20"/>
                <w:szCs w:val="20"/>
              </w:rPr>
              <w:t>Treatment authority revoked in 1% of all matters</w:t>
            </w:r>
          </w:p>
        </w:tc>
      </w:tr>
      <w:tr w:rsidR="00F768A3" w14:paraId="66224688" w14:textId="77777777" w:rsidTr="00FA59C5">
        <w:tc>
          <w:tcPr>
            <w:tcW w:w="2211" w:type="dxa"/>
            <w:vMerge/>
          </w:tcPr>
          <w:p w14:paraId="00CB4CA3" w14:textId="40E276F1" w:rsidR="00F768A3" w:rsidRDefault="00F768A3" w:rsidP="00F768A3">
            <w:pPr>
              <w:jc w:val="both"/>
              <w:rPr>
                <w:rFonts w:ascii="Arial" w:hAnsi="Arial" w:cs="Arial"/>
                <w:sz w:val="20"/>
                <w:szCs w:val="20"/>
              </w:rPr>
            </w:pPr>
          </w:p>
        </w:tc>
        <w:tc>
          <w:tcPr>
            <w:tcW w:w="3000" w:type="dxa"/>
          </w:tcPr>
          <w:p w14:paraId="1247AADC" w14:textId="0B896B69" w:rsidR="00F768A3" w:rsidRPr="004C5EDC" w:rsidRDefault="00F768A3" w:rsidP="00F768A3">
            <w:pPr>
              <w:rPr>
                <w:rFonts w:ascii="Arial" w:hAnsi="Arial" w:cs="Arial"/>
                <w:color w:val="7030A0"/>
                <w:sz w:val="20"/>
                <w:szCs w:val="20"/>
              </w:rPr>
            </w:pPr>
            <w:r w:rsidRPr="004C5EDC">
              <w:rPr>
                <w:rFonts w:ascii="Arial" w:hAnsi="Arial" w:cs="Arial"/>
                <w:color w:val="7030A0"/>
                <w:sz w:val="20"/>
                <w:szCs w:val="20"/>
              </w:rPr>
              <w:t>ECT hearings – mandatory legal representation</w:t>
            </w:r>
          </w:p>
        </w:tc>
        <w:tc>
          <w:tcPr>
            <w:tcW w:w="2784" w:type="dxa"/>
          </w:tcPr>
          <w:p w14:paraId="627282C0" w14:textId="18EBFC10" w:rsidR="00F768A3" w:rsidRPr="004C5EDC" w:rsidRDefault="00F768A3" w:rsidP="00F768A3">
            <w:pPr>
              <w:rPr>
                <w:rFonts w:ascii="Arial" w:hAnsi="Arial" w:cs="Arial"/>
                <w:color w:val="7030A0"/>
                <w:sz w:val="20"/>
                <w:szCs w:val="20"/>
              </w:rPr>
            </w:pPr>
            <w:r w:rsidRPr="004C5EDC">
              <w:rPr>
                <w:rFonts w:ascii="Arial" w:hAnsi="Arial" w:cs="Arial"/>
                <w:color w:val="7030A0"/>
                <w:sz w:val="20"/>
                <w:szCs w:val="20"/>
              </w:rPr>
              <w:t>ECT application refused in 4.7% of all matters</w:t>
            </w:r>
          </w:p>
        </w:tc>
        <w:tc>
          <w:tcPr>
            <w:tcW w:w="3028" w:type="dxa"/>
          </w:tcPr>
          <w:p w14:paraId="5E0EFA5E" w14:textId="38748316" w:rsidR="00F768A3" w:rsidRPr="004C5EDC" w:rsidRDefault="00F768A3" w:rsidP="00F768A3">
            <w:pPr>
              <w:rPr>
                <w:rFonts w:ascii="Arial" w:hAnsi="Arial" w:cs="Arial"/>
                <w:color w:val="7030A0"/>
                <w:sz w:val="20"/>
                <w:szCs w:val="20"/>
              </w:rPr>
            </w:pPr>
            <w:r w:rsidRPr="004C5EDC">
              <w:rPr>
                <w:rFonts w:ascii="Arial" w:hAnsi="Arial" w:cs="Arial"/>
                <w:color w:val="7030A0"/>
                <w:sz w:val="20"/>
                <w:szCs w:val="20"/>
              </w:rPr>
              <w:t>ECT hearings – mandatory legal representation</w:t>
            </w:r>
          </w:p>
        </w:tc>
        <w:tc>
          <w:tcPr>
            <w:tcW w:w="2756" w:type="dxa"/>
          </w:tcPr>
          <w:p w14:paraId="7FA7DEFB" w14:textId="0EE00B0C" w:rsidR="00F768A3" w:rsidRPr="004C5EDC" w:rsidRDefault="00F768A3" w:rsidP="00F768A3">
            <w:pPr>
              <w:rPr>
                <w:rFonts w:ascii="Arial" w:hAnsi="Arial" w:cs="Arial"/>
                <w:color w:val="7030A0"/>
                <w:sz w:val="20"/>
                <w:szCs w:val="20"/>
              </w:rPr>
            </w:pPr>
            <w:r w:rsidRPr="004C5EDC">
              <w:rPr>
                <w:rFonts w:ascii="Arial" w:hAnsi="Arial" w:cs="Arial"/>
                <w:color w:val="7030A0"/>
                <w:sz w:val="20"/>
                <w:szCs w:val="20"/>
              </w:rPr>
              <w:t>ECT application refused in 5.9% of all matters</w:t>
            </w:r>
          </w:p>
        </w:tc>
      </w:tr>
      <w:tr w:rsidR="00A97C33" w14:paraId="680905C6" w14:textId="77777777" w:rsidTr="00F768A3">
        <w:tc>
          <w:tcPr>
            <w:tcW w:w="2211" w:type="dxa"/>
            <w:shd w:val="clear" w:color="auto" w:fill="D9D9D9" w:themeFill="background1" w:themeFillShade="D9"/>
          </w:tcPr>
          <w:p w14:paraId="5735C2EB" w14:textId="77777777" w:rsidR="00A97C33" w:rsidRDefault="00A97C33" w:rsidP="006E3136">
            <w:pPr>
              <w:jc w:val="both"/>
              <w:rPr>
                <w:rFonts w:ascii="Arial" w:hAnsi="Arial" w:cs="Arial"/>
                <w:sz w:val="20"/>
                <w:szCs w:val="20"/>
              </w:rPr>
            </w:pPr>
          </w:p>
        </w:tc>
        <w:tc>
          <w:tcPr>
            <w:tcW w:w="3000" w:type="dxa"/>
            <w:shd w:val="clear" w:color="auto" w:fill="D9D9D9" w:themeFill="background1" w:themeFillShade="D9"/>
          </w:tcPr>
          <w:p w14:paraId="448397CC" w14:textId="77777777" w:rsidR="00A97C33" w:rsidRDefault="00A97C33" w:rsidP="007C3DF2">
            <w:pPr>
              <w:rPr>
                <w:rFonts w:ascii="Arial" w:hAnsi="Arial" w:cs="Arial"/>
                <w:sz w:val="20"/>
                <w:szCs w:val="20"/>
              </w:rPr>
            </w:pPr>
          </w:p>
        </w:tc>
        <w:tc>
          <w:tcPr>
            <w:tcW w:w="2784" w:type="dxa"/>
            <w:shd w:val="clear" w:color="auto" w:fill="D9D9D9" w:themeFill="background1" w:themeFillShade="D9"/>
          </w:tcPr>
          <w:p w14:paraId="07635291" w14:textId="77777777" w:rsidR="00A97C33" w:rsidRDefault="00A97C33" w:rsidP="007C3DF2">
            <w:pPr>
              <w:rPr>
                <w:rFonts w:ascii="Arial" w:hAnsi="Arial" w:cs="Arial"/>
                <w:sz w:val="20"/>
                <w:szCs w:val="20"/>
              </w:rPr>
            </w:pPr>
          </w:p>
        </w:tc>
        <w:tc>
          <w:tcPr>
            <w:tcW w:w="3028" w:type="dxa"/>
            <w:shd w:val="clear" w:color="auto" w:fill="D9D9D9" w:themeFill="background1" w:themeFillShade="D9"/>
          </w:tcPr>
          <w:p w14:paraId="086335E8" w14:textId="77777777" w:rsidR="00A97C33" w:rsidRDefault="00A97C33" w:rsidP="0020377F">
            <w:pPr>
              <w:rPr>
                <w:rFonts w:ascii="Arial" w:hAnsi="Arial" w:cs="Arial"/>
                <w:sz w:val="20"/>
                <w:szCs w:val="20"/>
              </w:rPr>
            </w:pPr>
          </w:p>
        </w:tc>
        <w:tc>
          <w:tcPr>
            <w:tcW w:w="2756" w:type="dxa"/>
            <w:shd w:val="clear" w:color="auto" w:fill="D9D9D9" w:themeFill="background1" w:themeFillShade="D9"/>
          </w:tcPr>
          <w:p w14:paraId="6117C5B8" w14:textId="77777777" w:rsidR="00A97C33" w:rsidRDefault="00A97C33" w:rsidP="0020377F">
            <w:pPr>
              <w:rPr>
                <w:rFonts w:ascii="Arial" w:hAnsi="Arial" w:cs="Arial"/>
                <w:sz w:val="20"/>
                <w:szCs w:val="20"/>
              </w:rPr>
            </w:pPr>
          </w:p>
        </w:tc>
      </w:tr>
      <w:tr w:rsidR="003702CE" w:rsidRPr="00F768A3" w14:paraId="7FB45EB8" w14:textId="77777777" w:rsidTr="00FA59C5">
        <w:tc>
          <w:tcPr>
            <w:tcW w:w="2211" w:type="dxa"/>
            <w:vMerge w:val="restart"/>
          </w:tcPr>
          <w:p w14:paraId="4F7E0F2A" w14:textId="09A0EBAF" w:rsidR="003702CE" w:rsidRPr="00F768A3" w:rsidRDefault="003702CE" w:rsidP="00F768A3">
            <w:pPr>
              <w:jc w:val="both"/>
              <w:rPr>
                <w:rFonts w:ascii="Arial" w:hAnsi="Arial" w:cs="Arial"/>
                <w:b/>
                <w:sz w:val="20"/>
                <w:szCs w:val="20"/>
              </w:rPr>
            </w:pPr>
            <w:r w:rsidRPr="00F768A3">
              <w:rPr>
                <w:rFonts w:ascii="Arial" w:hAnsi="Arial" w:cs="Arial"/>
                <w:b/>
                <w:sz w:val="20"/>
                <w:szCs w:val="20"/>
              </w:rPr>
              <w:t>Victoria</w:t>
            </w:r>
          </w:p>
        </w:tc>
        <w:tc>
          <w:tcPr>
            <w:tcW w:w="3000" w:type="dxa"/>
          </w:tcPr>
          <w:p w14:paraId="3218B133" w14:textId="361E9642"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 xml:space="preserve">Temporary Treatment Order hearings – </w:t>
            </w:r>
            <w:r w:rsidR="004B028A">
              <w:rPr>
                <w:rFonts w:ascii="Arial" w:hAnsi="Arial" w:cs="Arial"/>
                <w:color w:val="0070C0"/>
                <w:sz w:val="20"/>
                <w:szCs w:val="20"/>
              </w:rPr>
              <w:t>21</w:t>
            </w:r>
            <w:r w:rsidRPr="004C5EDC">
              <w:rPr>
                <w:rFonts w:ascii="Arial" w:hAnsi="Arial" w:cs="Arial"/>
                <w:color w:val="0070C0"/>
                <w:sz w:val="20"/>
                <w:szCs w:val="20"/>
              </w:rPr>
              <w:t>% legal representation</w:t>
            </w:r>
          </w:p>
        </w:tc>
        <w:tc>
          <w:tcPr>
            <w:tcW w:w="2784" w:type="dxa"/>
          </w:tcPr>
          <w:p w14:paraId="7852BD6D" w14:textId="63D1BAB2" w:rsidR="003702CE" w:rsidRPr="004C5EDC" w:rsidRDefault="004C5EDC" w:rsidP="00F768A3">
            <w:pPr>
              <w:rPr>
                <w:rFonts w:ascii="Arial" w:hAnsi="Arial" w:cs="Arial"/>
                <w:color w:val="0070C0"/>
                <w:sz w:val="20"/>
                <w:szCs w:val="20"/>
              </w:rPr>
            </w:pPr>
            <w:r>
              <w:rPr>
                <w:rFonts w:ascii="Arial" w:hAnsi="Arial" w:cs="Arial"/>
                <w:color w:val="0070C0"/>
                <w:sz w:val="20"/>
                <w:szCs w:val="20"/>
              </w:rPr>
              <w:t>T</w:t>
            </w:r>
            <w:r w:rsidR="003702CE" w:rsidRPr="004C5EDC">
              <w:rPr>
                <w:rFonts w:ascii="Arial" w:hAnsi="Arial" w:cs="Arial"/>
                <w:color w:val="0070C0"/>
                <w:sz w:val="20"/>
                <w:szCs w:val="20"/>
              </w:rPr>
              <w:t xml:space="preserve">TO revoked in </w:t>
            </w:r>
            <w:r w:rsidR="004B028A">
              <w:rPr>
                <w:rFonts w:ascii="Arial" w:hAnsi="Arial" w:cs="Arial"/>
                <w:color w:val="0070C0"/>
                <w:sz w:val="20"/>
                <w:szCs w:val="20"/>
              </w:rPr>
              <w:t>6</w:t>
            </w:r>
            <w:r w:rsidR="003702CE" w:rsidRPr="004C5EDC">
              <w:rPr>
                <w:rFonts w:ascii="Arial" w:hAnsi="Arial" w:cs="Arial"/>
                <w:color w:val="0070C0"/>
                <w:sz w:val="20"/>
                <w:szCs w:val="20"/>
              </w:rPr>
              <w:t>% of all matters</w:t>
            </w:r>
          </w:p>
        </w:tc>
        <w:tc>
          <w:tcPr>
            <w:tcW w:w="3028" w:type="dxa"/>
          </w:tcPr>
          <w:p w14:paraId="1939FEE1" w14:textId="77B6E59A"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 xml:space="preserve">Temporary Treatment Order hearings – </w:t>
            </w:r>
            <w:r w:rsidR="004B028A">
              <w:rPr>
                <w:rFonts w:ascii="Arial" w:hAnsi="Arial" w:cs="Arial"/>
                <w:color w:val="0070C0"/>
                <w:sz w:val="20"/>
                <w:szCs w:val="20"/>
              </w:rPr>
              <w:t>19</w:t>
            </w:r>
            <w:r w:rsidRPr="004C5EDC">
              <w:rPr>
                <w:rFonts w:ascii="Arial" w:hAnsi="Arial" w:cs="Arial"/>
                <w:color w:val="0070C0"/>
                <w:sz w:val="20"/>
                <w:szCs w:val="20"/>
              </w:rPr>
              <w:t>% legal representation</w:t>
            </w:r>
          </w:p>
        </w:tc>
        <w:tc>
          <w:tcPr>
            <w:tcW w:w="2756" w:type="dxa"/>
          </w:tcPr>
          <w:p w14:paraId="60F3B003" w14:textId="632EB73B"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T</w:t>
            </w:r>
            <w:r w:rsidR="004C5EDC">
              <w:rPr>
                <w:rFonts w:ascii="Arial" w:hAnsi="Arial" w:cs="Arial"/>
                <w:color w:val="0070C0"/>
                <w:sz w:val="20"/>
                <w:szCs w:val="20"/>
              </w:rPr>
              <w:t>T</w:t>
            </w:r>
            <w:r w:rsidRPr="004C5EDC">
              <w:rPr>
                <w:rFonts w:ascii="Arial" w:hAnsi="Arial" w:cs="Arial"/>
                <w:color w:val="0070C0"/>
                <w:sz w:val="20"/>
                <w:szCs w:val="20"/>
              </w:rPr>
              <w:t xml:space="preserve">O revoked in </w:t>
            </w:r>
            <w:r w:rsidR="004B028A">
              <w:rPr>
                <w:rFonts w:ascii="Arial" w:hAnsi="Arial" w:cs="Arial"/>
                <w:color w:val="0070C0"/>
                <w:sz w:val="20"/>
                <w:szCs w:val="20"/>
              </w:rPr>
              <w:t>8</w:t>
            </w:r>
            <w:r w:rsidRPr="004C5EDC">
              <w:rPr>
                <w:rFonts w:ascii="Arial" w:hAnsi="Arial" w:cs="Arial"/>
                <w:color w:val="0070C0"/>
                <w:sz w:val="20"/>
                <w:szCs w:val="20"/>
              </w:rPr>
              <w:t>% of all matters</w:t>
            </w:r>
          </w:p>
        </w:tc>
      </w:tr>
      <w:tr w:rsidR="003702CE" w:rsidRPr="00F768A3" w14:paraId="3CC9E7EA" w14:textId="77777777" w:rsidTr="00FA59C5">
        <w:tc>
          <w:tcPr>
            <w:tcW w:w="2211" w:type="dxa"/>
            <w:vMerge/>
          </w:tcPr>
          <w:p w14:paraId="1EA54782" w14:textId="77777777" w:rsidR="003702CE" w:rsidRPr="00F768A3" w:rsidRDefault="003702CE" w:rsidP="00F768A3">
            <w:pPr>
              <w:jc w:val="both"/>
              <w:rPr>
                <w:rFonts w:ascii="Arial" w:hAnsi="Arial" w:cs="Arial"/>
                <w:b/>
                <w:sz w:val="20"/>
                <w:szCs w:val="20"/>
              </w:rPr>
            </w:pPr>
          </w:p>
        </w:tc>
        <w:tc>
          <w:tcPr>
            <w:tcW w:w="3000" w:type="dxa"/>
          </w:tcPr>
          <w:p w14:paraId="45B4F98D" w14:textId="38C7F3EF"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 xml:space="preserve">Treatment Order hearings – </w:t>
            </w:r>
            <w:r w:rsidR="004B028A">
              <w:rPr>
                <w:rFonts w:ascii="Arial" w:hAnsi="Arial" w:cs="Arial"/>
                <w:color w:val="0070C0"/>
                <w:sz w:val="20"/>
                <w:szCs w:val="20"/>
              </w:rPr>
              <w:t>11</w:t>
            </w:r>
            <w:r w:rsidRPr="004C5EDC">
              <w:rPr>
                <w:rFonts w:ascii="Arial" w:hAnsi="Arial" w:cs="Arial"/>
                <w:color w:val="0070C0"/>
                <w:sz w:val="20"/>
                <w:szCs w:val="20"/>
              </w:rPr>
              <w:t>% legal representation</w:t>
            </w:r>
          </w:p>
        </w:tc>
        <w:tc>
          <w:tcPr>
            <w:tcW w:w="2784" w:type="dxa"/>
          </w:tcPr>
          <w:p w14:paraId="4AD68052" w14:textId="5747E5E4"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 xml:space="preserve">TO revoked in </w:t>
            </w:r>
            <w:r w:rsidR="004B028A">
              <w:rPr>
                <w:rFonts w:ascii="Arial" w:hAnsi="Arial" w:cs="Arial"/>
                <w:color w:val="0070C0"/>
                <w:sz w:val="20"/>
                <w:szCs w:val="20"/>
              </w:rPr>
              <w:t>5</w:t>
            </w:r>
            <w:r w:rsidRPr="004C5EDC">
              <w:rPr>
                <w:rFonts w:ascii="Arial" w:hAnsi="Arial" w:cs="Arial"/>
                <w:color w:val="0070C0"/>
                <w:sz w:val="20"/>
                <w:szCs w:val="20"/>
              </w:rPr>
              <w:t>% of matters</w:t>
            </w:r>
          </w:p>
        </w:tc>
        <w:tc>
          <w:tcPr>
            <w:tcW w:w="3028" w:type="dxa"/>
          </w:tcPr>
          <w:p w14:paraId="2205AB6C" w14:textId="0D4F206B"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Treatment Order</w:t>
            </w:r>
            <w:r w:rsidR="004C5EDC" w:rsidRPr="004C5EDC">
              <w:rPr>
                <w:rFonts w:ascii="Arial" w:hAnsi="Arial" w:cs="Arial"/>
                <w:color w:val="0070C0"/>
                <w:sz w:val="20"/>
                <w:szCs w:val="20"/>
              </w:rPr>
              <w:t xml:space="preserve"> hearings</w:t>
            </w:r>
            <w:r w:rsidRPr="004C5EDC">
              <w:rPr>
                <w:rFonts w:ascii="Arial" w:hAnsi="Arial" w:cs="Arial"/>
                <w:color w:val="0070C0"/>
                <w:sz w:val="20"/>
                <w:szCs w:val="20"/>
              </w:rPr>
              <w:t xml:space="preserve"> – </w:t>
            </w:r>
            <w:r w:rsidR="004B028A">
              <w:rPr>
                <w:rFonts w:ascii="Arial" w:hAnsi="Arial" w:cs="Arial"/>
                <w:color w:val="0070C0"/>
                <w:sz w:val="20"/>
                <w:szCs w:val="20"/>
              </w:rPr>
              <w:t>11</w:t>
            </w:r>
            <w:r w:rsidRPr="004C5EDC">
              <w:rPr>
                <w:rFonts w:ascii="Arial" w:hAnsi="Arial" w:cs="Arial"/>
                <w:color w:val="0070C0"/>
                <w:sz w:val="20"/>
                <w:szCs w:val="20"/>
              </w:rPr>
              <w:t>% legal representation</w:t>
            </w:r>
          </w:p>
        </w:tc>
        <w:tc>
          <w:tcPr>
            <w:tcW w:w="2756" w:type="dxa"/>
          </w:tcPr>
          <w:p w14:paraId="4E8E1BB6" w14:textId="13C1A02B" w:rsidR="003702CE" w:rsidRPr="004C5EDC" w:rsidRDefault="003702CE" w:rsidP="00F768A3">
            <w:pPr>
              <w:rPr>
                <w:rFonts w:ascii="Arial" w:hAnsi="Arial" w:cs="Arial"/>
                <w:color w:val="0070C0"/>
                <w:sz w:val="20"/>
                <w:szCs w:val="20"/>
              </w:rPr>
            </w:pPr>
            <w:r w:rsidRPr="004C5EDC">
              <w:rPr>
                <w:rFonts w:ascii="Arial" w:hAnsi="Arial" w:cs="Arial"/>
                <w:color w:val="0070C0"/>
                <w:sz w:val="20"/>
                <w:szCs w:val="20"/>
              </w:rPr>
              <w:t xml:space="preserve">TO revoked in </w:t>
            </w:r>
            <w:r w:rsidR="004B028A">
              <w:rPr>
                <w:rFonts w:ascii="Arial" w:hAnsi="Arial" w:cs="Arial"/>
                <w:color w:val="0070C0"/>
                <w:sz w:val="20"/>
                <w:szCs w:val="20"/>
              </w:rPr>
              <w:t>7</w:t>
            </w:r>
            <w:r w:rsidRPr="004C5EDC">
              <w:rPr>
                <w:rFonts w:ascii="Arial" w:hAnsi="Arial" w:cs="Arial"/>
                <w:color w:val="0070C0"/>
                <w:sz w:val="20"/>
                <w:szCs w:val="20"/>
              </w:rPr>
              <w:t>% of matters</w:t>
            </w:r>
          </w:p>
        </w:tc>
      </w:tr>
      <w:tr w:rsidR="003702CE" w:rsidRPr="00F768A3" w14:paraId="3159CAF4" w14:textId="77777777" w:rsidTr="00FA59C5">
        <w:tc>
          <w:tcPr>
            <w:tcW w:w="2211" w:type="dxa"/>
            <w:vMerge/>
          </w:tcPr>
          <w:p w14:paraId="5D5CF6A7" w14:textId="5CCBCA4E" w:rsidR="003702CE" w:rsidRPr="00F768A3" w:rsidRDefault="003702CE" w:rsidP="00F768A3">
            <w:pPr>
              <w:jc w:val="both"/>
              <w:rPr>
                <w:rFonts w:ascii="Arial" w:hAnsi="Arial" w:cs="Arial"/>
                <w:b/>
                <w:sz w:val="20"/>
                <w:szCs w:val="20"/>
              </w:rPr>
            </w:pPr>
          </w:p>
        </w:tc>
        <w:tc>
          <w:tcPr>
            <w:tcW w:w="3000" w:type="dxa"/>
          </w:tcPr>
          <w:p w14:paraId="526F5C2E" w14:textId="66D6EF23" w:rsidR="003702CE" w:rsidRPr="004C5EDC" w:rsidRDefault="003702CE" w:rsidP="00F768A3">
            <w:pPr>
              <w:rPr>
                <w:rFonts w:ascii="Arial" w:hAnsi="Arial" w:cs="Arial"/>
                <w:color w:val="7030A0"/>
                <w:sz w:val="20"/>
                <w:szCs w:val="20"/>
              </w:rPr>
            </w:pPr>
            <w:r w:rsidRPr="004C5EDC">
              <w:rPr>
                <w:rFonts w:ascii="Arial" w:hAnsi="Arial" w:cs="Arial"/>
                <w:color w:val="7030A0"/>
                <w:sz w:val="20"/>
                <w:szCs w:val="20"/>
              </w:rPr>
              <w:t xml:space="preserve">ECT Order applications – </w:t>
            </w:r>
            <w:r w:rsidR="004B028A">
              <w:rPr>
                <w:rFonts w:ascii="Arial" w:hAnsi="Arial" w:cs="Arial"/>
                <w:color w:val="7030A0"/>
                <w:sz w:val="20"/>
                <w:szCs w:val="20"/>
              </w:rPr>
              <w:t>13</w:t>
            </w:r>
            <w:r w:rsidRPr="004C5EDC">
              <w:rPr>
                <w:rFonts w:ascii="Arial" w:hAnsi="Arial" w:cs="Arial"/>
                <w:color w:val="7030A0"/>
                <w:sz w:val="20"/>
                <w:szCs w:val="20"/>
              </w:rPr>
              <w:t>% legal representation</w:t>
            </w:r>
          </w:p>
        </w:tc>
        <w:tc>
          <w:tcPr>
            <w:tcW w:w="2784" w:type="dxa"/>
          </w:tcPr>
          <w:p w14:paraId="15301FB0" w14:textId="0C48B2CA" w:rsidR="003702CE" w:rsidRPr="004C5EDC" w:rsidRDefault="003702CE" w:rsidP="00F768A3">
            <w:pPr>
              <w:rPr>
                <w:rFonts w:ascii="Arial" w:hAnsi="Arial" w:cs="Arial"/>
                <w:color w:val="7030A0"/>
                <w:sz w:val="20"/>
                <w:szCs w:val="20"/>
              </w:rPr>
            </w:pPr>
            <w:r w:rsidRPr="004C5EDC">
              <w:rPr>
                <w:rFonts w:ascii="Arial" w:hAnsi="Arial" w:cs="Arial"/>
                <w:color w:val="7030A0"/>
                <w:sz w:val="20"/>
                <w:szCs w:val="20"/>
              </w:rPr>
              <w:t xml:space="preserve">ECT application refused in </w:t>
            </w:r>
            <w:r w:rsidR="004B028A">
              <w:rPr>
                <w:rFonts w:ascii="Arial" w:hAnsi="Arial" w:cs="Arial"/>
                <w:color w:val="7030A0"/>
                <w:sz w:val="20"/>
                <w:szCs w:val="20"/>
              </w:rPr>
              <w:t>15</w:t>
            </w:r>
            <w:r w:rsidRPr="004C5EDC">
              <w:rPr>
                <w:rFonts w:ascii="Arial" w:hAnsi="Arial" w:cs="Arial"/>
                <w:color w:val="7030A0"/>
                <w:sz w:val="20"/>
                <w:szCs w:val="20"/>
              </w:rPr>
              <w:t>% of all matters</w:t>
            </w:r>
          </w:p>
        </w:tc>
        <w:tc>
          <w:tcPr>
            <w:tcW w:w="3028" w:type="dxa"/>
          </w:tcPr>
          <w:p w14:paraId="723C67A5" w14:textId="5E4A04EF" w:rsidR="003702CE" w:rsidRPr="004C5EDC" w:rsidRDefault="003702CE" w:rsidP="00F768A3">
            <w:pPr>
              <w:rPr>
                <w:rFonts w:ascii="Arial" w:hAnsi="Arial" w:cs="Arial"/>
                <w:color w:val="7030A0"/>
                <w:sz w:val="20"/>
                <w:szCs w:val="20"/>
              </w:rPr>
            </w:pPr>
            <w:r w:rsidRPr="004C5EDC">
              <w:rPr>
                <w:rFonts w:ascii="Arial" w:hAnsi="Arial" w:cs="Arial"/>
                <w:color w:val="7030A0"/>
                <w:sz w:val="20"/>
                <w:szCs w:val="20"/>
              </w:rPr>
              <w:t xml:space="preserve">ECT Order applications – </w:t>
            </w:r>
            <w:r w:rsidR="004B028A">
              <w:rPr>
                <w:rFonts w:ascii="Arial" w:hAnsi="Arial" w:cs="Arial"/>
                <w:color w:val="7030A0"/>
                <w:sz w:val="20"/>
                <w:szCs w:val="20"/>
              </w:rPr>
              <w:t>15</w:t>
            </w:r>
            <w:r w:rsidRPr="004C5EDC">
              <w:rPr>
                <w:rFonts w:ascii="Arial" w:hAnsi="Arial" w:cs="Arial"/>
                <w:color w:val="7030A0"/>
                <w:sz w:val="20"/>
                <w:szCs w:val="20"/>
              </w:rPr>
              <w:t>% legal representation</w:t>
            </w:r>
          </w:p>
        </w:tc>
        <w:tc>
          <w:tcPr>
            <w:tcW w:w="2756" w:type="dxa"/>
          </w:tcPr>
          <w:p w14:paraId="12611470" w14:textId="6E57EC5A" w:rsidR="003702CE" w:rsidRPr="004C5EDC" w:rsidRDefault="003702CE" w:rsidP="00F768A3">
            <w:pPr>
              <w:rPr>
                <w:rFonts w:ascii="Arial" w:hAnsi="Arial" w:cs="Arial"/>
                <w:color w:val="7030A0"/>
                <w:sz w:val="20"/>
                <w:szCs w:val="20"/>
              </w:rPr>
            </w:pPr>
            <w:r w:rsidRPr="004C5EDC">
              <w:rPr>
                <w:rFonts w:ascii="Arial" w:hAnsi="Arial" w:cs="Arial"/>
                <w:color w:val="7030A0"/>
                <w:sz w:val="20"/>
                <w:szCs w:val="20"/>
              </w:rPr>
              <w:t xml:space="preserve">ECT application refused in </w:t>
            </w:r>
            <w:r w:rsidR="004B028A">
              <w:rPr>
                <w:rFonts w:ascii="Arial" w:hAnsi="Arial" w:cs="Arial"/>
                <w:color w:val="7030A0"/>
                <w:sz w:val="20"/>
                <w:szCs w:val="20"/>
              </w:rPr>
              <w:t>14</w:t>
            </w:r>
            <w:r w:rsidRPr="004C5EDC">
              <w:rPr>
                <w:rFonts w:ascii="Arial" w:hAnsi="Arial" w:cs="Arial"/>
                <w:color w:val="7030A0"/>
                <w:sz w:val="20"/>
                <w:szCs w:val="20"/>
              </w:rPr>
              <w:t>% of all matters</w:t>
            </w:r>
          </w:p>
        </w:tc>
      </w:tr>
    </w:tbl>
    <w:p w14:paraId="04D0FE36" w14:textId="77777777" w:rsidR="0080479D" w:rsidRDefault="0080479D" w:rsidP="00EA43ED">
      <w:pPr>
        <w:jc w:val="both"/>
        <w:rPr>
          <w:rFonts w:ascii="Arial" w:hAnsi="Arial" w:cs="Arial"/>
          <w:sz w:val="20"/>
          <w:szCs w:val="20"/>
        </w:rPr>
        <w:sectPr w:rsidR="0080479D" w:rsidSect="00AA3E1D">
          <w:pgSz w:w="16840" w:h="11900" w:orient="landscape"/>
          <w:pgMar w:top="1134" w:right="1528" w:bottom="1418" w:left="1134" w:header="0" w:footer="709" w:gutter="0"/>
          <w:cols w:space="708"/>
          <w:titlePg/>
          <w:docGrid w:linePitch="360"/>
        </w:sectPr>
      </w:pPr>
      <w:bookmarkStart w:id="1" w:name="_GoBack"/>
      <w:bookmarkEnd w:id="1"/>
    </w:p>
    <w:p w14:paraId="67826122" w14:textId="77777777" w:rsidR="00B15BC0" w:rsidRPr="006E3136" w:rsidRDefault="00B15BC0" w:rsidP="00EA43ED">
      <w:pPr>
        <w:jc w:val="both"/>
        <w:rPr>
          <w:rFonts w:ascii="Arial" w:hAnsi="Arial" w:cs="Arial"/>
          <w:sz w:val="20"/>
          <w:szCs w:val="20"/>
        </w:rPr>
      </w:pPr>
    </w:p>
    <w:sectPr w:rsidR="00B15BC0" w:rsidRPr="006E3136" w:rsidSect="00B15BC0">
      <w:pgSz w:w="11900" w:h="16840"/>
      <w:pgMar w:top="1528" w:right="1418"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A4EFD" w14:textId="77777777" w:rsidR="00EB07A8" w:rsidRDefault="00EB07A8" w:rsidP="00091A22">
      <w:r>
        <w:separator/>
      </w:r>
    </w:p>
  </w:endnote>
  <w:endnote w:type="continuationSeparator" w:id="0">
    <w:p w14:paraId="7ADC0582" w14:textId="77777777" w:rsidR="00EB07A8" w:rsidRDefault="00EB07A8" w:rsidP="0009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1249394438"/>
      <w:docPartObj>
        <w:docPartGallery w:val="Page Numbers (Bottom of Page)"/>
        <w:docPartUnique/>
      </w:docPartObj>
    </w:sdtPr>
    <w:sdtEndPr>
      <w:rPr>
        <w:rFonts w:asciiTheme="minorHAnsi" w:hAnsiTheme="minorHAnsi" w:cstheme="minorBidi"/>
      </w:rPr>
    </w:sdtEndPr>
    <w:sdtContent>
      <w:p w14:paraId="7ED38C0B" w14:textId="51FE562B" w:rsidR="00EB07A8" w:rsidRPr="0082623A" w:rsidRDefault="00EB07A8">
        <w:pPr>
          <w:pStyle w:val="Footer"/>
          <w:jc w:val="right"/>
          <w:rPr>
            <w:sz w:val="16"/>
            <w:szCs w:val="16"/>
          </w:rPr>
        </w:pPr>
        <w:r w:rsidRPr="0082623A">
          <w:rPr>
            <w:rFonts w:ascii="Arial" w:hAnsi="Arial" w:cs="Arial"/>
            <w:sz w:val="16"/>
            <w:szCs w:val="16"/>
          </w:rPr>
          <w:t xml:space="preserve">Page | </w:t>
        </w:r>
        <w:r w:rsidRPr="0082623A">
          <w:rPr>
            <w:rFonts w:ascii="Arial" w:hAnsi="Arial" w:cs="Arial"/>
            <w:sz w:val="16"/>
            <w:szCs w:val="16"/>
          </w:rPr>
          <w:fldChar w:fldCharType="begin"/>
        </w:r>
        <w:r w:rsidRPr="0082623A">
          <w:rPr>
            <w:rFonts w:ascii="Arial" w:hAnsi="Arial" w:cs="Arial"/>
            <w:sz w:val="16"/>
            <w:szCs w:val="16"/>
          </w:rPr>
          <w:instrText xml:space="preserve"> PAGE   \* MERGEFORMAT </w:instrText>
        </w:r>
        <w:r w:rsidRPr="0082623A">
          <w:rPr>
            <w:rFonts w:ascii="Arial" w:hAnsi="Arial" w:cs="Arial"/>
            <w:sz w:val="16"/>
            <w:szCs w:val="16"/>
          </w:rPr>
          <w:fldChar w:fldCharType="separate"/>
        </w:r>
        <w:r w:rsidRPr="0082623A">
          <w:rPr>
            <w:rFonts w:ascii="Arial" w:hAnsi="Arial" w:cs="Arial"/>
            <w:noProof/>
            <w:sz w:val="16"/>
            <w:szCs w:val="16"/>
          </w:rPr>
          <w:t>2</w:t>
        </w:r>
        <w:r w:rsidRPr="0082623A">
          <w:rPr>
            <w:rFonts w:ascii="Arial" w:hAnsi="Arial" w:cs="Arial"/>
            <w:noProof/>
            <w:sz w:val="16"/>
            <w:szCs w:val="16"/>
          </w:rPr>
          <w:fldChar w:fldCharType="end"/>
        </w:r>
        <w:r w:rsidRPr="0082623A">
          <w:rPr>
            <w:sz w:val="16"/>
            <w:szCs w:val="16"/>
          </w:rPr>
          <w:t xml:space="preserve"> </w:t>
        </w:r>
      </w:p>
    </w:sdtContent>
  </w:sdt>
  <w:p w14:paraId="3A3D97B5" w14:textId="77777777" w:rsidR="00EB07A8" w:rsidRDefault="00EB0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312148579"/>
      <w:docPartObj>
        <w:docPartGallery w:val="Page Numbers (Bottom of Page)"/>
        <w:docPartUnique/>
      </w:docPartObj>
    </w:sdtPr>
    <w:sdtEndPr/>
    <w:sdtContent>
      <w:p w14:paraId="2F4E2B14" w14:textId="34E326A0" w:rsidR="00EB07A8" w:rsidRPr="0082623A" w:rsidRDefault="00EB07A8">
        <w:pPr>
          <w:pStyle w:val="Footer"/>
          <w:jc w:val="right"/>
          <w:rPr>
            <w:rFonts w:ascii="Arial" w:hAnsi="Arial" w:cs="Arial"/>
            <w:sz w:val="16"/>
            <w:szCs w:val="16"/>
          </w:rPr>
        </w:pPr>
        <w:r w:rsidRPr="0082623A">
          <w:rPr>
            <w:rFonts w:ascii="Arial" w:hAnsi="Arial" w:cs="Arial"/>
            <w:sz w:val="16"/>
            <w:szCs w:val="16"/>
          </w:rPr>
          <w:t xml:space="preserve">Page | </w:t>
        </w:r>
        <w:r w:rsidRPr="0082623A">
          <w:rPr>
            <w:rFonts w:ascii="Arial" w:hAnsi="Arial" w:cs="Arial"/>
            <w:sz w:val="16"/>
            <w:szCs w:val="16"/>
          </w:rPr>
          <w:fldChar w:fldCharType="begin"/>
        </w:r>
        <w:r w:rsidRPr="0082623A">
          <w:rPr>
            <w:rFonts w:ascii="Arial" w:hAnsi="Arial" w:cs="Arial"/>
            <w:sz w:val="16"/>
            <w:szCs w:val="16"/>
          </w:rPr>
          <w:instrText xml:space="preserve"> PAGE   \* MERGEFORMAT </w:instrText>
        </w:r>
        <w:r w:rsidRPr="0082623A">
          <w:rPr>
            <w:rFonts w:ascii="Arial" w:hAnsi="Arial" w:cs="Arial"/>
            <w:sz w:val="16"/>
            <w:szCs w:val="16"/>
          </w:rPr>
          <w:fldChar w:fldCharType="separate"/>
        </w:r>
        <w:r w:rsidRPr="0082623A">
          <w:rPr>
            <w:rFonts w:ascii="Arial" w:hAnsi="Arial" w:cs="Arial"/>
            <w:noProof/>
            <w:sz w:val="16"/>
            <w:szCs w:val="16"/>
          </w:rPr>
          <w:t>2</w:t>
        </w:r>
        <w:r w:rsidRPr="0082623A">
          <w:rPr>
            <w:rFonts w:ascii="Arial" w:hAnsi="Arial" w:cs="Arial"/>
            <w:noProof/>
            <w:sz w:val="16"/>
            <w:szCs w:val="16"/>
          </w:rPr>
          <w:fldChar w:fldCharType="end"/>
        </w:r>
        <w:r w:rsidRPr="0082623A">
          <w:rPr>
            <w:rFonts w:ascii="Arial" w:hAnsi="Arial" w:cs="Arial"/>
            <w:sz w:val="16"/>
            <w:szCs w:val="16"/>
          </w:rPr>
          <w:t xml:space="preserve"> </w:t>
        </w:r>
      </w:p>
    </w:sdtContent>
  </w:sdt>
  <w:p w14:paraId="455546BC" w14:textId="77777777" w:rsidR="00EB07A8" w:rsidRDefault="00EB0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35BC5" w14:textId="77777777" w:rsidR="00EB07A8" w:rsidRDefault="00EB07A8" w:rsidP="00091A22">
      <w:r>
        <w:separator/>
      </w:r>
    </w:p>
  </w:footnote>
  <w:footnote w:type="continuationSeparator" w:id="0">
    <w:p w14:paraId="55F2EEB1" w14:textId="77777777" w:rsidR="00EB07A8" w:rsidRDefault="00EB07A8" w:rsidP="00091A22">
      <w:r>
        <w:continuationSeparator/>
      </w:r>
    </w:p>
  </w:footnote>
  <w:footnote w:id="1">
    <w:p w14:paraId="77D317A5" w14:textId="5ABA17DA" w:rsidR="00EB07A8" w:rsidRPr="00EB07A8" w:rsidRDefault="00EB07A8" w:rsidP="00091A22">
      <w:pPr>
        <w:pStyle w:val="FootnoteText"/>
        <w:rPr>
          <w:rFonts w:ascii="Arial" w:hAnsi="Arial" w:cs="Arial"/>
          <w:sz w:val="16"/>
          <w:szCs w:val="16"/>
        </w:rPr>
      </w:pPr>
      <w:r w:rsidRPr="000A5C18">
        <w:rPr>
          <w:rStyle w:val="FootnoteReference"/>
          <w:rFonts w:ascii="Arial" w:hAnsi="Arial" w:cs="Arial"/>
          <w:sz w:val="16"/>
          <w:szCs w:val="16"/>
        </w:rPr>
        <w:footnoteRef/>
      </w:r>
      <w:r w:rsidRPr="000A5C18">
        <w:rPr>
          <w:rFonts w:ascii="Arial" w:hAnsi="Arial" w:cs="Arial"/>
          <w:sz w:val="16"/>
          <w:szCs w:val="16"/>
        </w:rPr>
        <w:t xml:space="preserve"> The Action Plan is available at:  </w:t>
      </w:r>
      <w:hyperlink r:id="rId1" w:history="1">
        <w:r w:rsidRPr="000A5C18">
          <w:rPr>
            <w:rStyle w:val="Hyperlink"/>
            <w:rFonts w:ascii="Arial" w:hAnsi="Arial" w:cs="Arial"/>
            <w:sz w:val="16"/>
            <w:szCs w:val="16"/>
          </w:rPr>
          <w:t>https://www.mht.vic.gov.au/news/action-plan-increasing-participation-tribunal-hearings</w:t>
        </w:r>
      </w:hyperlink>
      <w:r>
        <w:rPr>
          <w:rStyle w:val="Hyperlink"/>
          <w:rFonts w:ascii="Arial" w:hAnsi="Arial" w:cs="Arial"/>
          <w:sz w:val="16"/>
          <w:szCs w:val="16"/>
          <w:u w:val="none"/>
        </w:rPr>
        <w:t>.</w:t>
      </w:r>
    </w:p>
  </w:footnote>
  <w:footnote w:id="2">
    <w:p w14:paraId="783F0F12" w14:textId="3031ECC6" w:rsidR="00EB07A8" w:rsidRPr="00EB07A8" w:rsidRDefault="00EB07A8" w:rsidP="00091A22">
      <w:pPr>
        <w:pStyle w:val="FootnoteText"/>
        <w:rPr>
          <w:rFonts w:ascii="Arial" w:hAnsi="Arial" w:cs="Arial"/>
          <w:sz w:val="16"/>
          <w:szCs w:val="16"/>
        </w:rPr>
      </w:pPr>
      <w:r w:rsidRPr="000A5C18">
        <w:rPr>
          <w:rStyle w:val="FootnoteReference"/>
          <w:rFonts w:ascii="Arial" w:hAnsi="Arial" w:cs="Arial"/>
          <w:sz w:val="16"/>
          <w:szCs w:val="16"/>
        </w:rPr>
        <w:footnoteRef/>
      </w:r>
      <w:r w:rsidRPr="000A5C18">
        <w:rPr>
          <w:rFonts w:ascii="Arial" w:hAnsi="Arial" w:cs="Arial"/>
          <w:sz w:val="16"/>
          <w:szCs w:val="16"/>
        </w:rPr>
        <w:t xml:space="preserve"> The Tribunal’s submission to the Royal Commission into Victoria’s Mental Health System is available at: </w:t>
      </w:r>
      <w:hyperlink r:id="rId2" w:history="1">
        <w:r w:rsidRPr="000A5C18">
          <w:rPr>
            <w:rStyle w:val="Hyperlink"/>
            <w:rFonts w:ascii="Arial" w:hAnsi="Arial" w:cs="Arial"/>
            <w:sz w:val="16"/>
            <w:szCs w:val="16"/>
          </w:rPr>
          <w:t>https://www.mht.vic.gov.au/news/our-submission-royal-commission-victorias-mental-health-system</w:t>
        </w:r>
      </w:hyperlink>
      <w:r>
        <w:rPr>
          <w:rStyle w:val="Hyperlink"/>
          <w:rFonts w:ascii="Arial" w:hAnsi="Arial" w:cs="Arial"/>
          <w:sz w:val="16"/>
          <w:szCs w:val="16"/>
          <w:u w:val="none"/>
        </w:rPr>
        <w:t>.</w:t>
      </w:r>
    </w:p>
  </w:footnote>
  <w:footnote w:id="3">
    <w:p w14:paraId="513879BA" w14:textId="3F15676F" w:rsidR="00EB07A8" w:rsidRPr="00EB07A8" w:rsidRDefault="00EB07A8" w:rsidP="00DB0FC5">
      <w:pPr>
        <w:pStyle w:val="FootnoteText"/>
        <w:rPr>
          <w:rFonts w:ascii="Arial" w:hAnsi="Arial" w:cs="Arial"/>
          <w:sz w:val="16"/>
          <w:szCs w:val="16"/>
        </w:rPr>
      </w:pPr>
      <w:r w:rsidRPr="00DB0FC5">
        <w:rPr>
          <w:rStyle w:val="FootnoteReference"/>
          <w:rFonts w:ascii="Arial" w:hAnsi="Arial" w:cs="Arial"/>
          <w:sz w:val="16"/>
          <w:szCs w:val="16"/>
        </w:rPr>
        <w:footnoteRef/>
      </w:r>
      <w:r w:rsidRPr="00DB0FC5">
        <w:rPr>
          <w:rFonts w:ascii="Arial" w:hAnsi="Arial" w:cs="Arial"/>
          <w:sz w:val="16"/>
          <w:szCs w:val="16"/>
        </w:rPr>
        <w:t xml:space="preserve"> The Tribunal has published </w:t>
      </w:r>
      <w:r w:rsidRPr="00DB0FC5">
        <w:rPr>
          <w:rFonts w:ascii="Arial" w:hAnsi="Arial" w:cs="Arial"/>
          <w:i/>
          <w:sz w:val="16"/>
          <w:szCs w:val="16"/>
        </w:rPr>
        <w:t>Guide to Solution</w:t>
      </w:r>
      <w:r>
        <w:rPr>
          <w:rFonts w:ascii="Arial" w:hAnsi="Arial" w:cs="Arial"/>
          <w:i/>
          <w:sz w:val="16"/>
          <w:szCs w:val="16"/>
        </w:rPr>
        <w:t>-</w:t>
      </w:r>
      <w:r w:rsidRPr="00DB0FC5">
        <w:rPr>
          <w:rFonts w:ascii="Arial" w:hAnsi="Arial" w:cs="Arial"/>
          <w:i/>
          <w:sz w:val="16"/>
          <w:szCs w:val="16"/>
        </w:rPr>
        <w:t xml:space="preserve">Focused Hearings in the Mental Health Tribunal </w:t>
      </w:r>
      <w:r w:rsidRPr="00DB0FC5">
        <w:rPr>
          <w:rFonts w:ascii="Arial" w:hAnsi="Arial" w:cs="Arial"/>
          <w:sz w:val="16"/>
          <w:szCs w:val="16"/>
        </w:rPr>
        <w:t xml:space="preserve">that is available on our website at </w:t>
      </w:r>
      <w:hyperlink r:id="rId3" w:history="1">
        <w:r w:rsidRPr="00DB0FC5">
          <w:rPr>
            <w:rStyle w:val="Hyperlink"/>
            <w:rFonts w:ascii="Arial" w:hAnsi="Arial" w:cs="Arial"/>
            <w:sz w:val="16"/>
            <w:szCs w:val="16"/>
          </w:rPr>
          <w:t>https://www.mht.vic.gov.au/guides-policies-and-procedures</w:t>
        </w:r>
      </w:hyperlink>
      <w:r>
        <w:rPr>
          <w:rStyle w:val="Hyperlink"/>
          <w:rFonts w:ascii="Arial" w:hAnsi="Arial" w:cs="Arial"/>
          <w:sz w:val="16"/>
          <w:szCs w:val="16"/>
          <w:u w:val="none"/>
        </w:rPr>
        <w:t>.</w:t>
      </w:r>
    </w:p>
  </w:footnote>
  <w:footnote w:id="4">
    <w:p w14:paraId="263228BE" w14:textId="59860D39" w:rsidR="00EB07A8" w:rsidRPr="008A02E2" w:rsidRDefault="00EB07A8" w:rsidP="00091A22">
      <w:pPr>
        <w:pStyle w:val="FootnoteText"/>
        <w:jc w:val="both"/>
        <w:rPr>
          <w:rFonts w:ascii="Arial" w:hAnsi="Arial" w:cs="Arial"/>
          <w:sz w:val="16"/>
          <w:szCs w:val="16"/>
        </w:rPr>
      </w:pPr>
      <w:r w:rsidRPr="00F97775">
        <w:rPr>
          <w:rStyle w:val="FootnoteReference"/>
          <w:rFonts w:ascii="Arial" w:hAnsi="Arial" w:cs="Arial"/>
          <w:sz w:val="16"/>
          <w:szCs w:val="16"/>
        </w:rPr>
        <w:footnoteRef/>
      </w:r>
      <w:r w:rsidRPr="00F97775">
        <w:rPr>
          <w:rFonts w:ascii="Arial" w:hAnsi="Arial" w:cs="Arial"/>
          <w:sz w:val="16"/>
          <w:szCs w:val="16"/>
        </w:rPr>
        <w:t xml:space="preserve"> </w:t>
      </w:r>
      <w:r>
        <w:rPr>
          <w:rFonts w:ascii="Arial" w:hAnsi="Arial" w:cs="Arial"/>
          <w:sz w:val="16"/>
          <w:szCs w:val="16"/>
        </w:rPr>
        <w:t>Section 184(3).</w:t>
      </w:r>
    </w:p>
  </w:footnote>
  <w:footnote w:id="5">
    <w:p w14:paraId="6D51B698" w14:textId="6BA44B97" w:rsidR="00EB07A8" w:rsidRPr="00A479FD" w:rsidRDefault="00EB07A8" w:rsidP="00091A22">
      <w:pPr>
        <w:pStyle w:val="FootnoteText"/>
        <w:jc w:val="both"/>
        <w:rPr>
          <w:rFonts w:ascii="Arial" w:hAnsi="Arial" w:cs="Arial"/>
          <w:sz w:val="16"/>
          <w:szCs w:val="16"/>
        </w:rPr>
      </w:pPr>
      <w:r w:rsidRPr="00EB07A8">
        <w:rPr>
          <w:rStyle w:val="FootnoteReference"/>
          <w:rFonts w:ascii="Arial" w:hAnsi="Arial" w:cs="Arial"/>
          <w:sz w:val="16"/>
          <w:szCs w:val="16"/>
        </w:rPr>
        <w:footnoteRef/>
      </w:r>
      <w:r w:rsidRPr="00EB07A8">
        <w:rPr>
          <w:rFonts w:ascii="Arial" w:hAnsi="Arial" w:cs="Arial"/>
          <w:sz w:val="16"/>
          <w:szCs w:val="16"/>
        </w:rPr>
        <w:t xml:space="preserve"> </w:t>
      </w:r>
      <w:r w:rsidR="008858E2" w:rsidRPr="00DF0956">
        <w:rPr>
          <w:rFonts w:ascii="Arial" w:hAnsi="Arial" w:cs="Arial"/>
          <w:sz w:val="16"/>
          <w:szCs w:val="16"/>
        </w:rPr>
        <w:t xml:space="preserve">Mental Health Legal Centre Inc. 2019, </w:t>
      </w:r>
      <w:r w:rsidR="008858E2" w:rsidRPr="00DF0956">
        <w:rPr>
          <w:rFonts w:ascii="Arial" w:hAnsi="Arial" w:cs="Arial"/>
          <w:i/>
          <w:sz w:val="16"/>
          <w:szCs w:val="16"/>
        </w:rPr>
        <w:t>Submission to the Royal Commission into Victoria’s Mental Health System,</w:t>
      </w:r>
      <w:r w:rsidR="008858E2" w:rsidRPr="00DF0956">
        <w:rPr>
          <w:rFonts w:ascii="Arial" w:hAnsi="Arial" w:cs="Arial"/>
          <w:sz w:val="16"/>
          <w:szCs w:val="16"/>
        </w:rPr>
        <w:t xml:space="preserve"> 33: ‘The MHT</w:t>
      </w:r>
      <w:r w:rsidR="008858E2">
        <w:rPr>
          <w:rFonts w:ascii="Arial" w:hAnsi="Arial" w:cs="Arial"/>
          <w:sz w:val="16"/>
          <w:szCs w:val="16"/>
        </w:rPr>
        <w:t xml:space="preserve"> does not view the low levels of legal representation as a problem. In its 2017/18 Annual report it stated that it was vital to avoid “creating a misconception that having a lawyer is necessary to ensure a fair hearing or that it determines outcomes” (Mental Health Tribunal 2018).’</w:t>
      </w:r>
    </w:p>
  </w:footnote>
  <w:footnote w:id="6">
    <w:p w14:paraId="72D6E08C" w14:textId="7F4C354D" w:rsidR="00EB07A8" w:rsidRPr="00A479FD" w:rsidRDefault="00EB07A8" w:rsidP="00091A22">
      <w:pPr>
        <w:pStyle w:val="FootnoteText"/>
        <w:jc w:val="both"/>
        <w:rPr>
          <w:rFonts w:ascii="Arial" w:hAnsi="Arial" w:cs="Arial"/>
          <w:sz w:val="16"/>
          <w:szCs w:val="16"/>
        </w:rPr>
      </w:pPr>
      <w:r w:rsidRPr="00EB07A8">
        <w:rPr>
          <w:rStyle w:val="FootnoteReference"/>
          <w:rFonts w:ascii="Arial" w:hAnsi="Arial" w:cs="Arial"/>
          <w:sz w:val="16"/>
          <w:szCs w:val="16"/>
        </w:rPr>
        <w:footnoteRef/>
      </w:r>
      <w:r w:rsidRPr="00EB07A8">
        <w:rPr>
          <w:rFonts w:ascii="Arial" w:hAnsi="Arial" w:cs="Arial"/>
          <w:sz w:val="16"/>
          <w:szCs w:val="16"/>
        </w:rPr>
        <w:t xml:space="preserve"> Section 192.</w:t>
      </w:r>
    </w:p>
  </w:footnote>
  <w:footnote w:id="7">
    <w:p w14:paraId="3EE7FEAC" w14:textId="71EDED00" w:rsidR="00EB07A8" w:rsidRPr="00EB07A8" w:rsidRDefault="00EB07A8" w:rsidP="00754222">
      <w:pPr>
        <w:pStyle w:val="FootnoteText"/>
        <w:rPr>
          <w:rFonts w:ascii="Arial" w:hAnsi="Arial" w:cs="Arial"/>
          <w:sz w:val="16"/>
          <w:szCs w:val="16"/>
        </w:rPr>
      </w:pPr>
      <w:r w:rsidRPr="00A479FD">
        <w:rPr>
          <w:rStyle w:val="FootnoteReference"/>
          <w:rFonts w:ascii="Arial" w:hAnsi="Arial" w:cs="Arial"/>
          <w:sz w:val="16"/>
          <w:szCs w:val="16"/>
        </w:rPr>
        <w:footnoteRef/>
      </w:r>
      <w:r w:rsidRPr="00A479FD">
        <w:rPr>
          <w:rFonts w:ascii="Arial" w:hAnsi="Arial" w:cs="Arial"/>
          <w:sz w:val="16"/>
          <w:szCs w:val="16"/>
        </w:rPr>
        <w:t xml:space="preserve"> The full report on the survey is available at: </w:t>
      </w:r>
      <w:hyperlink r:id="rId4" w:history="1">
        <w:r w:rsidRPr="00A479FD">
          <w:rPr>
            <w:rStyle w:val="Hyperlink"/>
            <w:rFonts w:ascii="Arial" w:hAnsi="Arial" w:cs="Arial"/>
            <w:sz w:val="16"/>
            <w:szCs w:val="16"/>
          </w:rPr>
          <w:t>https://www.mht.vic.gov.au/sites/default/files/documents/201905/MHT%20Hearing%20Experience%20Survey%20Report.pdf</w:t>
        </w:r>
      </w:hyperlink>
      <w:r>
        <w:rPr>
          <w:rStyle w:val="Hyperlink"/>
          <w:rFonts w:ascii="Arial" w:hAnsi="Arial" w:cs="Arial"/>
          <w:sz w:val="16"/>
          <w:szCs w:val="16"/>
          <w:u w:val="none"/>
        </w:rPr>
        <w:t>.</w:t>
      </w:r>
    </w:p>
  </w:footnote>
  <w:footnote w:id="8">
    <w:p w14:paraId="3E2F9D3A" w14:textId="5864E2D5" w:rsidR="00EB07A8" w:rsidRPr="00A479FD" w:rsidRDefault="00EB07A8" w:rsidP="005E7474">
      <w:pPr>
        <w:pStyle w:val="FootnoteText"/>
        <w:jc w:val="both"/>
        <w:rPr>
          <w:rFonts w:ascii="Arial" w:hAnsi="Arial" w:cs="Arial"/>
          <w:sz w:val="16"/>
          <w:szCs w:val="16"/>
        </w:rPr>
      </w:pPr>
      <w:r w:rsidRPr="005E7474">
        <w:rPr>
          <w:rStyle w:val="FootnoteReference"/>
          <w:rFonts w:ascii="Arial" w:hAnsi="Arial" w:cs="Arial"/>
          <w:sz w:val="16"/>
          <w:szCs w:val="16"/>
        </w:rPr>
        <w:footnoteRef/>
      </w:r>
      <w:r w:rsidRPr="005E7474">
        <w:rPr>
          <w:rFonts w:ascii="Arial" w:hAnsi="Arial" w:cs="Arial"/>
          <w:sz w:val="16"/>
          <w:szCs w:val="16"/>
        </w:rPr>
        <w:t xml:space="preserve"> </w:t>
      </w:r>
      <w:r w:rsidR="005E7474">
        <w:rPr>
          <w:rFonts w:ascii="Arial" w:hAnsi="Arial" w:cs="Arial"/>
          <w:sz w:val="16"/>
          <w:szCs w:val="16"/>
        </w:rPr>
        <w:t xml:space="preserve">Law Council of Australia, 2018, </w:t>
      </w:r>
      <w:r w:rsidR="005E7474" w:rsidRPr="006E43FE">
        <w:rPr>
          <w:rFonts w:ascii="Arial" w:hAnsi="Arial" w:cs="Arial"/>
          <w:i/>
          <w:sz w:val="16"/>
          <w:szCs w:val="16"/>
        </w:rPr>
        <w:t>The Justice Project, Final Report – Part 1, People with Disability,</w:t>
      </w:r>
      <w:r w:rsidR="005E7474">
        <w:rPr>
          <w:rFonts w:ascii="Arial" w:hAnsi="Arial" w:cs="Arial"/>
          <w:sz w:val="16"/>
          <w:szCs w:val="16"/>
        </w:rPr>
        <w:t xml:space="preserve"> 60, cited in Productivity Commission, 2019, </w:t>
      </w:r>
      <w:r w:rsidR="005E7474" w:rsidRPr="003E1986">
        <w:rPr>
          <w:rFonts w:ascii="Arial" w:hAnsi="Arial" w:cs="Arial"/>
          <w:i/>
          <w:sz w:val="16"/>
          <w:szCs w:val="16"/>
        </w:rPr>
        <w:t>Mental Health - Draft Report,</w:t>
      </w:r>
      <w:r w:rsidR="005E7474">
        <w:rPr>
          <w:rFonts w:ascii="Arial" w:hAnsi="Arial" w:cs="Arial"/>
          <w:sz w:val="16"/>
          <w:szCs w:val="16"/>
        </w:rPr>
        <w:t xml:space="preserve"> 641.</w:t>
      </w:r>
    </w:p>
  </w:footnote>
  <w:footnote w:id="9">
    <w:p w14:paraId="77853AA7" w14:textId="14AC8E3F" w:rsidR="00EB07A8" w:rsidRPr="005E7474" w:rsidRDefault="00EB07A8" w:rsidP="005E7474">
      <w:pPr>
        <w:pStyle w:val="FootnoteText"/>
        <w:jc w:val="both"/>
        <w:rPr>
          <w:rFonts w:ascii="Arial" w:hAnsi="Arial" w:cs="Arial"/>
          <w:sz w:val="16"/>
          <w:szCs w:val="16"/>
        </w:rPr>
      </w:pPr>
      <w:r w:rsidRPr="005E7474">
        <w:rPr>
          <w:rStyle w:val="FootnoteReference"/>
          <w:rFonts w:ascii="Arial" w:hAnsi="Arial" w:cs="Arial"/>
          <w:sz w:val="16"/>
          <w:szCs w:val="16"/>
        </w:rPr>
        <w:footnoteRef/>
      </w:r>
      <w:r w:rsidRPr="005E7474">
        <w:rPr>
          <w:rFonts w:ascii="Arial" w:hAnsi="Arial" w:cs="Arial"/>
          <w:sz w:val="16"/>
          <w:szCs w:val="16"/>
        </w:rPr>
        <w:t xml:space="preserve"> It is also instructive to note that the Queensland MHRT ha</w:t>
      </w:r>
      <w:r w:rsidR="005E7474">
        <w:rPr>
          <w:rFonts w:ascii="Arial" w:hAnsi="Arial" w:cs="Arial"/>
          <w:sz w:val="16"/>
          <w:szCs w:val="16"/>
        </w:rPr>
        <w:t>s</w:t>
      </w:r>
      <w:r w:rsidRPr="005E7474">
        <w:rPr>
          <w:rFonts w:ascii="Arial" w:hAnsi="Arial" w:cs="Arial"/>
          <w:sz w:val="16"/>
          <w:szCs w:val="16"/>
        </w:rPr>
        <w:t xml:space="preserve"> confirmed that in the first year after legal representation became mandatory in ECT hearings the ECT refusal rate only increased by 0.6% to 5.9%.</w:t>
      </w:r>
    </w:p>
  </w:footnote>
  <w:footnote w:id="10">
    <w:p w14:paraId="1F8EEA6A" w14:textId="766B982C" w:rsidR="00EB07A8" w:rsidRPr="00410FA2" w:rsidRDefault="00EB07A8" w:rsidP="005E7474">
      <w:pPr>
        <w:pStyle w:val="FootnoteText"/>
        <w:jc w:val="both"/>
        <w:rPr>
          <w:rFonts w:ascii="Arial" w:hAnsi="Arial" w:cs="Arial"/>
          <w:sz w:val="16"/>
          <w:szCs w:val="16"/>
        </w:rPr>
      </w:pPr>
      <w:r w:rsidRPr="005E7474">
        <w:rPr>
          <w:rStyle w:val="FootnoteReference"/>
          <w:rFonts w:ascii="Arial" w:hAnsi="Arial" w:cs="Arial"/>
          <w:sz w:val="16"/>
          <w:szCs w:val="16"/>
        </w:rPr>
        <w:footnoteRef/>
      </w:r>
      <w:r w:rsidRPr="005E7474">
        <w:rPr>
          <w:rFonts w:ascii="Arial" w:hAnsi="Arial" w:cs="Arial"/>
          <w:sz w:val="16"/>
          <w:szCs w:val="16"/>
        </w:rPr>
        <w:t xml:space="preserve"> The Queensland MHRT advise that pursuant to section 7</w:t>
      </w:r>
      <w:r w:rsidR="005E7474">
        <w:rPr>
          <w:rFonts w:ascii="Arial" w:hAnsi="Arial" w:cs="Arial"/>
          <w:sz w:val="16"/>
          <w:szCs w:val="16"/>
        </w:rPr>
        <w:t>3</w:t>
      </w:r>
      <w:r w:rsidRPr="005E7474">
        <w:rPr>
          <w:rFonts w:ascii="Arial" w:hAnsi="Arial" w:cs="Arial"/>
          <w:sz w:val="16"/>
          <w:szCs w:val="16"/>
        </w:rPr>
        <w:t xml:space="preserve">9(3)(b) </w:t>
      </w:r>
      <w:r w:rsidRPr="005E7474">
        <w:rPr>
          <w:rFonts w:ascii="Arial" w:hAnsi="Arial" w:cs="Arial"/>
          <w:i/>
          <w:sz w:val="16"/>
          <w:szCs w:val="16"/>
        </w:rPr>
        <w:t>Mental Health Act 2016 (Qld)</w:t>
      </w:r>
      <w:r w:rsidRPr="005E7474">
        <w:rPr>
          <w:rFonts w:ascii="Arial" w:hAnsi="Arial" w:cs="Arial"/>
          <w:sz w:val="16"/>
          <w:szCs w:val="16"/>
        </w:rPr>
        <w:t xml:space="preserve"> in matters where legal representation is </w:t>
      </w:r>
      <w:r w:rsidR="00787885" w:rsidRPr="005E7474">
        <w:rPr>
          <w:rFonts w:ascii="Arial" w:hAnsi="Arial" w:cs="Arial"/>
          <w:sz w:val="16"/>
          <w:szCs w:val="16"/>
        </w:rPr>
        <w:t>mandatory,</w:t>
      </w:r>
      <w:r w:rsidRPr="005E7474">
        <w:rPr>
          <w:rFonts w:ascii="Arial" w:hAnsi="Arial" w:cs="Arial"/>
          <w:sz w:val="16"/>
          <w:szCs w:val="16"/>
        </w:rPr>
        <w:t xml:space="preserve"> but the person is unable to express their views, wishes or preferences the lawyer must act in the person’s best interests.</w:t>
      </w:r>
    </w:p>
  </w:footnote>
  <w:footnote w:id="11">
    <w:p w14:paraId="43AF8DD7" w14:textId="21E3D8A9" w:rsidR="00EB07A8" w:rsidRPr="00F85A91" w:rsidRDefault="00EB07A8" w:rsidP="00091A22">
      <w:pPr>
        <w:pStyle w:val="FootnoteText"/>
        <w:rPr>
          <w:rFonts w:ascii="Arial" w:hAnsi="Arial" w:cs="Arial"/>
          <w:sz w:val="16"/>
          <w:szCs w:val="16"/>
        </w:rPr>
      </w:pPr>
      <w:r w:rsidRPr="00A479FD">
        <w:rPr>
          <w:rStyle w:val="FootnoteReference"/>
          <w:rFonts w:ascii="Arial" w:hAnsi="Arial" w:cs="Arial"/>
          <w:sz w:val="16"/>
          <w:szCs w:val="16"/>
        </w:rPr>
        <w:footnoteRef/>
      </w:r>
      <w:r w:rsidRPr="00A479FD">
        <w:rPr>
          <w:rFonts w:ascii="Arial" w:hAnsi="Arial" w:cs="Arial"/>
          <w:sz w:val="16"/>
          <w:szCs w:val="16"/>
        </w:rPr>
        <w:t xml:space="preserve"> </w:t>
      </w:r>
      <w:r w:rsidR="005E7474" w:rsidRPr="00A479FD">
        <w:rPr>
          <w:rFonts w:ascii="Arial" w:hAnsi="Arial" w:cs="Arial"/>
          <w:sz w:val="16"/>
          <w:szCs w:val="16"/>
        </w:rPr>
        <w:t xml:space="preserve">Details are available </w:t>
      </w:r>
      <w:r w:rsidR="005E7474">
        <w:rPr>
          <w:rFonts w:ascii="Arial" w:hAnsi="Arial" w:cs="Arial"/>
          <w:sz w:val="16"/>
          <w:szCs w:val="16"/>
        </w:rPr>
        <w:t>on</w:t>
      </w:r>
      <w:r w:rsidR="005E7474" w:rsidRPr="00A479FD">
        <w:rPr>
          <w:rFonts w:ascii="Arial" w:hAnsi="Arial" w:cs="Arial"/>
          <w:sz w:val="16"/>
          <w:szCs w:val="16"/>
        </w:rPr>
        <w:t xml:space="preserve"> VLA</w:t>
      </w:r>
      <w:r w:rsidR="005E7474">
        <w:rPr>
          <w:rFonts w:ascii="Arial" w:hAnsi="Arial" w:cs="Arial"/>
          <w:sz w:val="16"/>
          <w:szCs w:val="16"/>
        </w:rPr>
        <w:t>’s</w:t>
      </w:r>
      <w:r w:rsidR="005E7474" w:rsidRPr="00A479FD">
        <w:rPr>
          <w:rFonts w:ascii="Arial" w:hAnsi="Arial" w:cs="Arial"/>
          <w:sz w:val="16"/>
          <w:szCs w:val="16"/>
        </w:rPr>
        <w:t xml:space="preserve"> website:  </w:t>
      </w:r>
      <w:hyperlink r:id="rId5" w:history="1">
        <w:r w:rsidR="005E7474" w:rsidRPr="00A479FD">
          <w:rPr>
            <w:rStyle w:val="Hyperlink"/>
            <w:rFonts w:ascii="Arial" w:hAnsi="Arial" w:cs="Arial"/>
            <w:sz w:val="16"/>
            <w:szCs w:val="16"/>
          </w:rPr>
          <w:t>https://handbook.vla.vic.gov.au/handbook/7-state-civil-law-guidelines/guideline-2-mental-health-tribunal-cases</w:t>
        </w:r>
      </w:hyperlink>
      <w:r w:rsidR="005E7474">
        <w:rPr>
          <w:rStyle w:val="Hyperlink"/>
          <w:rFonts w:ascii="Arial" w:hAnsi="Arial" w:cs="Arial"/>
          <w:sz w:val="16"/>
          <w:szCs w:val="16"/>
          <w:u w:val="none"/>
        </w:rPr>
        <w:t xml:space="preserve"> </w:t>
      </w:r>
      <w:r w:rsidR="005E7474">
        <w:rPr>
          <w:rStyle w:val="Hyperlink"/>
          <w:rFonts w:ascii="Arial" w:hAnsi="Arial" w:cs="Arial"/>
          <w:color w:val="auto"/>
          <w:sz w:val="16"/>
          <w:szCs w:val="16"/>
          <w:u w:val="none"/>
        </w:rPr>
        <w:t>(d</w:t>
      </w:r>
      <w:r w:rsidR="005E7474" w:rsidRPr="005E7474">
        <w:rPr>
          <w:rStyle w:val="Hyperlink"/>
          <w:rFonts w:ascii="Arial" w:hAnsi="Arial" w:cs="Arial"/>
          <w:color w:val="auto"/>
          <w:sz w:val="16"/>
          <w:szCs w:val="16"/>
          <w:u w:val="none"/>
        </w:rPr>
        <w:t>ownloaded on 21 January 2020).</w:t>
      </w:r>
    </w:p>
  </w:footnote>
  <w:footnote w:id="12">
    <w:p w14:paraId="40E14DCB" w14:textId="77777777" w:rsidR="00EB07A8" w:rsidRPr="00510A7C" w:rsidRDefault="00EB07A8" w:rsidP="00091A22">
      <w:pPr>
        <w:pStyle w:val="FootnoteText"/>
        <w:rPr>
          <w:rFonts w:ascii="Arial" w:hAnsi="Arial" w:cs="Arial"/>
          <w:sz w:val="16"/>
          <w:szCs w:val="16"/>
        </w:rPr>
      </w:pPr>
      <w:r w:rsidRPr="00510A7C">
        <w:rPr>
          <w:rStyle w:val="FootnoteReference"/>
          <w:rFonts w:ascii="Arial" w:hAnsi="Arial" w:cs="Arial"/>
          <w:sz w:val="16"/>
          <w:szCs w:val="16"/>
        </w:rPr>
        <w:footnoteRef/>
      </w:r>
      <w:r w:rsidRPr="00510A7C">
        <w:rPr>
          <w:rFonts w:ascii="Arial" w:hAnsi="Arial" w:cs="Arial"/>
          <w:sz w:val="16"/>
          <w:szCs w:val="16"/>
        </w:rPr>
        <w:t xml:space="preserve"> See in particular sections 11(1)(a),(c),(d) and (e).</w:t>
      </w:r>
    </w:p>
  </w:footnote>
  <w:footnote w:id="13">
    <w:p w14:paraId="1E7232AD" w14:textId="77777777" w:rsidR="00EB07A8" w:rsidRPr="00510A7C" w:rsidRDefault="00EB07A8" w:rsidP="00091A22">
      <w:pPr>
        <w:pStyle w:val="FootnoteText"/>
        <w:rPr>
          <w:rFonts w:ascii="Arial" w:hAnsi="Arial" w:cs="Arial"/>
          <w:sz w:val="16"/>
          <w:szCs w:val="16"/>
        </w:rPr>
      </w:pPr>
      <w:r w:rsidRPr="00510A7C">
        <w:rPr>
          <w:rStyle w:val="FootnoteReference"/>
          <w:rFonts w:ascii="Arial" w:hAnsi="Arial" w:cs="Arial"/>
          <w:sz w:val="16"/>
          <w:szCs w:val="16"/>
        </w:rPr>
        <w:footnoteRef/>
      </w:r>
      <w:r w:rsidRPr="00510A7C">
        <w:rPr>
          <w:rFonts w:ascii="Arial" w:hAnsi="Arial" w:cs="Arial"/>
          <w:sz w:val="16"/>
          <w:szCs w:val="16"/>
        </w:rPr>
        <w:t xml:space="preserve"> </w:t>
      </w:r>
      <w:r>
        <w:rPr>
          <w:rFonts w:ascii="Arial" w:hAnsi="Arial" w:cs="Arial"/>
          <w:sz w:val="16"/>
          <w:szCs w:val="16"/>
        </w:rPr>
        <w:t>Section 11(1)(d).</w:t>
      </w:r>
    </w:p>
  </w:footnote>
  <w:footnote w:id="14">
    <w:p w14:paraId="1E0EC6BB" w14:textId="13413773" w:rsidR="00EB07A8" w:rsidRPr="00510A7C" w:rsidRDefault="00EB07A8" w:rsidP="00091A22">
      <w:pPr>
        <w:pStyle w:val="FootnoteText"/>
        <w:rPr>
          <w:rFonts w:ascii="Arial" w:hAnsi="Arial" w:cs="Arial"/>
          <w:sz w:val="16"/>
          <w:szCs w:val="16"/>
        </w:rPr>
      </w:pPr>
      <w:r w:rsidRPr="00D459E1">
        <w:rPr>
          <w:rStyle w:val="FootnoteReference"/>
          <w:rFonts w:ascii="Arial" w:hAnsi="Arial" w:cs="Arial"/>
          <w:sz w:val="16"/>
          <w:szCs w:val="16"/>
        </w:rPr>
        <w:footnoteRef/>
      </w:r>
      <w:r w:rsidRPr="00D459E1">
        <w:rPr>
          <w:rFonts w:ascii="Arial" w:hAnsi="Arial" w:cs="Arial"/>
          <w:sz w:val="16"/>
          <w:szCs w:val="16"/>
        </w:rPr>
        <w:t xml:space="preserve"> </w:t>
      </w:r>
      <w:r w:rsidR="00D459E1">
        <w:rPr>
          <w:rFonts w:ascii="Arial" w:hAnsi="Arial" w:cs="Arial"/>
          <w:sz w:val="16"/>
          <w:szCs w:val="16"/>
        </w:rPr>
        <w:t>Fritze, Eleanore</w:t>
      </w:r>
      <w:r w:rsidR="00D459E1" w:rsidRPr="0037791D">
        <w:rPr>
          <w:rFonts w:ascii="Arial" w:hAnsi="Arial" w:cs="Arial"/>
          <w:sz w:val="16"/>
          <w:szCs w:val="16"/>
        </w:rPr>
        <w:t xml:space="preserve">, </w:t>
      </w:r>
      <w:r w:rsidR="00D459E1">
        <w:rPr>
          <w:rFonts w:ascii="Arial" w:hAnsi="Arial" w:cs="Arial"/>
          <w:sz w:val="16"/>
          <w:szCs w:val="16"/>
        </w:rPr>
        <w:t xml:space="preserve">2015, </w:t>
      </w:r>
      <w:r w:rsidR="00D459E1" w:rsidRPr="0037791D">
        <w:rPr>
          <w:rFonts w:ascii="Arial" w:hAnsi="Arial" w:cs="Arial"/>
          <w:i/>
          <w:sz w:val="16"/>
          <w:szCs w:val="16"/>
        </w:rPr>
        <w:t>Shining a Light Behind Closed Doors</w:t>
      </w:r>
      <w:r w:rsidR="00D459E1">
        <w:rPr>
          <w:rFonts w:ascii="Arial" w:hAnsi="Arial" w:cs="Arial"/>
          <w:i/>
          <w:sz w:val="16"/>
          <w:szCs w:val="16"/>
        </w:rPr>
        <w:t xml:space="preserve"> -</w:t>
      </w:r>
      <w:r w:rsidR="00D459E1" w:rsidRPr="0037791D">
        <w:rPr>
          <w:rFonts w:ascii="Arial" w:hAnsi="Arial" w:cs="Arial"/>
          <w:i/>
          <w:sz w:val="16"/>
          <w:szCs w:val="16"/>
        </w:rPr>
        <w:t xml:space="preserve"> Report of the Jack Brockhoff Foundation Churchill Fellowship to better protect the human rights and dignity of people with disabilities, detained in closed environments for compulsory treatment, through the use of innovative legal services,</w:t>
      </w:r>
      <w:r w:rsidR="00D459E1" w:rsidRPr="0037791D">
        <w:rPr>
          <w:rFonts w:ascii="Arial" w:hAnsi="Arial" w:cs="Arial"/>
          <w:sz w:val="16"/>
          <w:szCs w:val="16"/>
        </w:rPr>
        <w:t xml:space="preserve"> 56.</w:t>
      </w:r>
    </w:p>
  </w:footnote>
  <w:footnote w:id="15">
    <w:p w14:paraId="1BACE046" w14:textId="526923A8" w:rsidR="00EB07A8" w:rsidRPr="00B71306" w:rsidRDefault="00EB07A8" w:rsidP="00D459E1">
      <w:pPr>
        <w:pStyle w:val="FootnoteText"/>
        <w:jc w:val="both"/>
        <w:rPr>
          <w:rFonts w:ascii="Arial" w:hAnsi="Arial" w:cs="Arial"/>
          <w:sz w:val="16"/>
          <w:szCs w:val="16"/>
        </w:rPr>
      </w:pPr>
      <w:r w:rsidRPr="00D459E1">
        <w:rPr>
          <w:rStyle w:val="FootnoteReference"/>
          <w:rFonts w:ascii="Arial" w:hAnsi="Arial" w:cs="Arial"/>
          <w:sz w:val="16"/>
          <w:szCs w:val="16"/>
        </w:rPr>
        <w:footnoteRef/>
      </w:r>
      <w:r w:rsidRPr="00D459E1">
        <w:rPr>
          <w:rFonts w:ascii="Arial" w:hAnsi="Arial" w:cs="Arial"/>
          <w:sz w:val="16"/>
          <w:szCs w:val="16"/>
        </w:rPr>
        <w:t xml:space="preserve">  Revocations under s</w:t>
      </w:r>
      <w:r w:rsidR="00D459E1" w:rsidRPr="00D459E1">
        <w:rPr>
          <w:rFonts w:ascii="Arial" w:hAnsi="Arial" w:cs="Arial"/>
          <w:sz w:val="16"/>
          <w:szCs w:val="16"/>
        </w:rPr>
        <w:t xml:space="preserve">ection </w:t>
      </w:r>
      <w:r w:rsidRPr="00D459E1">
        <w:rPr>
          <w:rFonts w:ascii="Arial" w:hAnsi="Arial" w:cs="Arial"/>
          <w:sz w:val="16"/>
          <w:szCs w:val="16"/>
        </w:rPr>
        <w:t>5(c) will be in cases where the consumer has gone missing or is evading contact with their mental health treatment team, the revocation is based on the fact that treatment cannot be provided pursuant to an Order because the consumer cannot be found.  Given it is a revocation based on an objective fact rather than the Tribunal accepting one view of the facts and the law over another these revocations are not relevant to the issues that are the subject of this submission.</w:t>
      </w:r>
    </w:p>
  </w:footnote>
  <w:footnote w:id="16">
    <w:p w14:paraId="3279FB53" w14:textId="72F4DED5" w:rsidR="00EB07A8" w:rsidRPr="00D459E1" w:rsidRDefault="00EB07A8">
      <w:pPr>
        <w:pStyle w:val="FootnoteText"/>
        <w:rPr>
          <w:rFonts w:ascii="Arial" w:hAnsi="Arial" w:cs="Arial"/>
          <w:sz w:val="16"/>
          <w:szCs w:val="16"/>
        </w:rPr>
      </w:pPr>
      <w:r w:rsidRPr="00D459E1">
        <w:rPr>
          <w:rStyle w:val="FootnoteReference"/>
          <w:rFonts w:ascii="Arial" w:hAnsi="Arial" w:cs="Arial"/>
          <w:sz w:val="16"/>
          <w:szCs w:val="16"/>
        </w:rPr>
        <w:footnoteRef/>
      </w:r>
      <w:r w:rsidRPr="00D459E1">
        <w:rPr>
          <w:rFonts w:ascii="Arial" w:hAnsi="Arial" w:cs="Arial"/>
          <w:sz w:val="16"/>
          <w:szCs w:val="16"/>
        </w:rPr>
        <w:t xml:space="preserve"> </w:t>
      </w:r>
      <w:r w:rsidR="00D459E1" w:rsidRPr="00DF0956">
        <w:rPr>
          <w:rFonts w:ascii="Arial" w:hAnsi="Arial" w:cs="Arial"/>
          <w:sz w:val="16"/>
          <w:szCs w:val="16"/>
        </w:rPr>
        <w:t xml:space="preserve">Mental Health Review Tribunal (NSW), 2018, </w:t>
      </w:r>
      <w:r w:rsidR="00D459E1" w:rsidRPr="00DF0956">
        <w:rPr>
          <w:rFonts w:ascii="Arial" w:hAnsi="Arial" w:cs="Arial"/>
          <w:i/>
          <w:sz w:val="16"/>
          <w:szCs w:val="16"/>
        </w:rPr>
        <w:t xml:space="preserve">2017/18 Annual Report </w:t>
      </w:r>
      <w:r w:rsidR="00D459E1" w:rsidRPr="00DF0956">
        <w:rPr>
          <w:rFonts w:ascii="Arial" w:hAnsi="Arial" w:cs="Arial"/>
          <w:sz w:val="16"/>
          <w:szCs w:val="16"/>
        </w:rPr>
        <w:t xml:space="preserve">and Mental Health Review Tribunal (NSW), 2019, </w:t>
      </w:r>
      <w:r w:rsidR="00D459E1" w:rsidRPr="00DF0956">
        <w:rPr>
          <w:rFonts w:ascii="Arial" w:hAnsi="Arial" w:cs="Arial"/>
          <w:i/>
          <w:sz w:val="16"/>
          <w:szCs w:val="16"/>
        </w:rPr>
        <w:t>2018/19 Annual Report</w:t>
      </w:r>
      <w:r w:rsidR="00D459E1" w:rsidRPr="00DF0956">
        <w:rPr>
          <w:rFonts w:ascii="Arial" w:hAnsi="Arial" w:cs="Arial"/>
          <w:sz w:val="16"/>
          <w:szCs w:val="16"/>
        </w:rPr>
        <w:t>.</w:t>
      </w:r>
    </w:p>
  </w:footnote>
  <w:footnote w:id="17">
    <w:p w14:paraId="7E8F6E82" w14:textId="4EC7322C" w:rsidR="00EB07A8" w:rsidRPr="004B028A" w:rsidRDefault="00EB07A8">
      <w:pPr>
        <w:pStyle w:val="FootnoteText"/>
        <w:rPr>
          <w:rFonts w:ascii="Arial" w:hAnsi="Arial" w:cs="Arial"/>
          <w:sz w:val="16"/>
          <w:szCs w:val="16"/>
        </w:rPr>
      </w:pPr>
      <w:r w:rsidRPr="004B028A">
        <w:rPr>
          <w:rStyle w:val="FootnoteReference"/>
          <w:rFonts w:ascii="Arial" w:hAnsi="Arial" w:cs="Arial"/>
          <w:sz w:val="16"/>
          <w:szCs w:val="16"/>
        </w:rPr>
        <w:footnoteRef/>
      </w:r>
      <w:r w:rsidRPr="004B028A">
        <w:rPr>
          <w:rFonts w:ascii="Arial" w:hAnsi="Arial" w:cs="Arial"/>
          <w:sz w:val="16"/>
          <w:szCs w:val="16"/>
        </w:rPr>
        <w:t xml:space="preserve"> </w:t>
      </w:r>
      <w:r w:rsidR="00D459E1" w:rsidRPr="004B028A">
        <w:rPr>
          <w:rFonts w:ascii="Arial" w:hAnsi="Arial" w:cs="Arial"/>
          <w:sz w:val="16"/>
          <w:szCs w:val="16"/>
        </w:rPr>
        <w:t>Legal representation is compulsory – subject to a consumer’s right to refuse representation</w:t>
      </w:r>
      <w:r w:rsidR="00D459E1">
        <w:rPr>
          <w:rFonts w:ascii="Arial" w:hAnsi="Arial" w:cs="Arial"/>
          <w:sz w:val="16"/>
          <w:szCs w:val="16"/>
        </w:rPr>
        <w:t xml:space="preserve">: </w:t>
      </w:r>
      <w:r w:rsidR="00D459E1" w:rsidRPr="0055662E">
        <w:rPr>
          <w:rFonts w:ascii="Arial" w:hAnsi="Arial" w:cs="Arial"/>
          <w:i/>
          <w:sz w:val="16"/>
          <w:szCs w:val="16"/>
        </w:rPr>
        <w:t>Mental Health Act 2007</w:t>
      </w:r>
      <w:r w:rsidR="00D459E1">
        <w:rPr>
          <w:rFonts w:ascii="Arial" w:hAnsi="Arial" w:cs="Arial"/>
          <w:sz w:val="16"/>
          <w:szCs w:val="16"/>
        </w:rPr>
        <w:t xml:space="preserve"> (NSW), s. 154(2A): ‘An assessable person who is before the Tribunal for a mental health inquiry must, unless the person decides that he or she does not want to be represented, be represented by an Australian legal practitioner or, with the approval of the Tribunal, by another person of his or her choice.</w:t>
      </w:r>
    </w:p>
  </w:footnote>
  <w:footnote w:id="18">
    <w:p w14:paraId="785A0375" w14:textId="6068ED66" w:rsidR="00EB07A8" w:rsidRPr="00E97705" w:rsidRDefault="00EB07A8">
      <w:pPr>
        <w:pStyle w:val="FootnoteText"/>
        <w:rPr>
          <w:rFonts w:ascii="Arial" w:hAnsi="Arial" w:cs="Arial"/>
          <w:sz w:val="16"/>
          <w:szCs w:val="16"/>
        </w:rPr>
      </w:pPr>
      <w:r w:rsidRPr="00D459E1">
        <w:rPr>
          <w:rStyle w:val="FootnoteReference"/>
          <w:rFonts w:ascii="Arial" w:hAnsi="Arial" w:cs="Arial"/>
          <w:sz w:val="16"/>
          <w:szCs w:val="16"/>
        </w:rPr>
        <w:footnoteRef/>
      </w:r>
      <w:r w:rsidRPr="00D459E1">
        <w:rPr>
          <w:rFonts w:ascii="Arial" w:hAnsi="Arial" w:cs="Arial"/>
          <w:sz w:val="16"/>
          <w:szCs w:val="16"/>
        </w:rPr>
        <w:t xml:space="preserve"> </w:t>
      </w:r>
      <w:r w:rsidR="00D459E1" w:rsidRPr="00DF0956">
        <w:rPr>
          <w:rFonts w:ascii="Arial" w:hAnsi="Arial" w:cs="Arial"/>
          <w:sz w:val="16"/>
          <w:szCs w:val="16"/>
        </w:rPr>
        <w:t xml:space="preserve">Mental Health Review Tribunal (Qld), 2018, </w:t>
      </w:r>
      <w:r w:rsidR="00D459E1" w:rsidRPr="00DF0956">
        <w:rPr>
          <w:rFonts w:ascii="Arial" w:hAnsi="Arial" w:cs="Arial"/>
          <w:i/>
          <w:sz w:val="16"/>
          <w:szCs w:val="16"/>
        </w:rPr>
        <w:t>2017-18 Annual Report,</w:t>
      </w:r>
      <w:r w:rsidR="00D459E1" w:rsidRPr="00DF0956">
        <w:rPr>
          <w:rFonts w:ascii="Arial" w:hAnsi="Arial" w:cs="Arial"/>
          <w:sz w:val="16"/>
          <w:szCs w:val="16"/>
        </w:rPr>
        <w:t xml:space="preserve"> State Government of Queensland, Brisbane; and Mental Health Review Tribunal (Qld), 2019, </w:t>
      </w:r>
      <w:r w:rsidR="00D459E1" w:rsidRPr="00DF0956">
        <w:rPr>
          <w:rFonts w:ascii="Arial" w:hAnsi="Arial" w:cs="Arial"/>
          <w:i/>
          <w:sz w:val="16"/>
          <w:szCs w:val="16"/>
        </w:rPr>
        <w:t>2018-19 Annual Report,</w:t>
      </w:r>
      <w:r w:rsidR="00D459E1" w:rsidRPr="00DF0956">
        <w:rPr>
          <w:rFonts w:ascii="Arial" w:hAnsi="Arial" w:cs="Arial"/>
          <w:sz w:val="16"/>
          <w:szCs w:val="16"/>
        </w:rPr>
        <w:t xml:space="preserve"> State</w:t>
      </w:r>
      <w:r w:rsidR="00D459E1">
        <w:rPr>
          <w:rFonts w:ascii="Arial" w:hAnsi="Arial" w:cs="Arial"/>
          <w:sz w:val="16"/>
          <w:szCs w:val="16"/>
        </w:rPr>
        <w:t xml:space="preserve"> Government of Queensland, Brisbane.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243D" w14:textId="77777777" w:rsidR="00EB07A8" w:rsidRPr="00A25B17" w:rsidRDefault="00EB07A8" w:rsidP="007C3DF2">
    <w:pPr>
      <w:pStyle w:val="Header"/>
      <w:ind w:left="6804"/>
      <w:rPr>
        <w:rFonts w:ascii="Arial" w:hAnsi="Arial" w:cs="Arial"/>
        <w:sz w:val="20"/>
        <w:szCs w:val="20"/>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15D52"/>
    <w:multiLevelType w:val="hybridMultilevel"/>
    <w:tmpl w:val="D5DAB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C0314F"/>
    <w:multiLevelType w:val="hybridMultilevel"/>
    <w:tmpl w:val="DB8C08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83595E"/>
    <w:multiLevelType w:val="multilevel"/>
    <w:tmpl w:val="298A14F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9461DA6"/>
    <w:multiLevelType w:val="multilevel"/>
    <w:tmpl w:val="B43843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5E13A06"/>
    <w:multiLevelType w:val="hybridMultilevel"/>
    <w:tmpl w:val="8A2089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06C27AA"/>
    <w:multiLevelType w:val="hybridMultilevel"/>
    <w:tmpl w:val="B7A0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41F48A8"/>
    <w:multiLevelType w:val="hybridMultilevel"/>
    <w:tmpl w:val="E510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A1371A"/>
    <w:multiLevelType w:val="hybridMultilevel"/>
    <w:tmpl w:val="35DEE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A22"/>
    <w:rsid w:val="00005F91"/>
    <w:rsid w:val="00024B47"/>
    <w:rsid w:val="00071C88"/>
    <w:rsid w:val="00091A22"/>
    <w:rsid w:val="000A5C18"/>
    <w:rsid w:val="000B2EDC"/>
    <w:rsid w:val="000C5271"/>
    <w:rsid w:val="000E0E18"/>
    <w:rsid w:val="000F458F"/>
    <w:rsid w:val="00120D78"/>
    <w:rsid w:val="00122AA1"/>
    <w:rsid w:val="00126CD2"/>
    <w:rsid w:val="00132C16"/>
    <w:rsid w:val="00151F4F"/>
    <w:rsid w:val="001B41FC"/>
    <w:rsid w:val="001E66DB"/>
    <w:rsid w:val="0020377F"/>
    <w:rsid w:val="00237290"/>
    <w:rsid w:val="00272900"/>
    <w:rsid w:val="002B1999"/>
    <w:rsid w:val="002B7822"/>
    <w:rsid w:val="002C2454"/>
    <w:rsid w:val="002E2198"/>
    <w:rsid w:val="002E6029"/>
    <w:rsid w:val="00337B32"/>
    <w:rsid w:val="00351699"/>
    <w:rsid w:val="0036271E"/>
    <w:rsid w:val="003702CE"/>
    <w:rsid w:val="00385C67"/>
    <w:rsid w:val="00410FA2"/>
    <w:rsid w:val="00442BC2"/>
    <w:rsid w:val="00447E4C"/>
    <w:rsid w:val="004B028A"/>
    <w:rsid w:val="004C0A50"/>
    <w:rsid w:val="004C5EDC"/>
    <w:rsid w:val="00531806"/>
    <w:rsid w:val="00560CC8"/>
    <w:rsid w:val="0059437E"/>
    <w:rsid w:val="005D0EE3"/>
    <w:rsid w:val="005E7474"/>
    <w:rsid w:val="00607124"/>
    <w:rsid w:val="00624B71"/>
    <w:rsid w:val="00667378"/>
    <w:rsid w:val="006B38CB"/>
    <w:rsid w:val="006C4BB1"/>
    <w:rsid w:val="006E3136"/>
    <w:rsid w:val="006E413A"/>
    <w:rsid w:val="00732B4A"/>
    <w:rsid w:val="00754222"/>
    <w:rsid w:val="00774DB3"/>
    <w:rsid w:val="00787885"/>
    <w:rsid w:val="007B58AA"/>
    <w:rsid w:val="007C3DF2"/>
    <w:rsid w:val="007F6D3C"/>
    <w:rsid w:val="0080479D"/>
    <w:rsid w:val="008069F9"/>
    <w:rsid w:val="0081412A"/>
    <w:rsid w:val="00821258"/>
    <w:rsid w:val="0082623A"/>
    <w:rsid w:val="00865CAF"/>
    <w:rsid w:val="0087099D"/>
    <w:rsid w:val="00883D7B"/>
    <w:rsid w:val="008858E2"/>
    <w:rsid w:val="00896C0A"/>
    <w:rsid w:val="008B38E3"/>
    <w:rsid w:val="008F1759"/>
    <w:rsid w:val="00963F05"/>
    <w:rsid w:val="00973FE9"/>
    <w:rsid w:val="009B1331"/>
    <w:rsid w:val="009D4F1E"/>
    <w:rsid w:val="00A479FD"/>
    <w:rsid w:val="00A704C3"/>
    <w:rsid w:val="00A97C33"/>
    <w:rsid w:val="00AA3E1D"/>
    <w:rsid w:val="00AB2E1B"/>
    <w:rsid w:val="00AC1530"/>
    <w:rsid w:val="00AD6622"/>
    <w:rsid w:val="00AE3317"/>
    <w:rsid w:val="00B13E88"/>
    <w:rsid w:val="00B15BC0"/>
    <w:rsid w:val="00B470ED"/>
    <w:rsid w:val="00BA2FF0"/>
    <w:rsid w:val="00BA5BFC"/>
    <w:rsid w:val="00BE6178"/>
    <w:rsid w:val="00BF7565"/>
    <w:rsid w:val="00C11E41"/>
    <w:rsid w:val="00C2313F"/>
    <w:rsid w:val="00C659B5"/>
    <w:rsid w:val="00CC0A06"/>
    <w:rsid w:val="00CC607A"/>
    <w:rsid w:val="00CE6B02"/>
    <w:rsid w:val="00D13154"/>
    <w:rsid w:val="00D16811"/>
    <w:rsid w:val="00D16A7D"/>
    <w:rsid w:val="00D3776B"/>
    <w:rsid w:val="00D43813"/>
    <w:rsid w:val="00D459E1"/>
    <w:rsid w:val="00D55FFD"/>
    <w:rsid w:val="00D650F8"/>
    <w:rsid w:val="00D82358"/>
    <w:rsid w:val="00DB0FC5"/>
    <w:rsid w:val="00DD4F85"/>
    <w:rsid w:val="00DE5E05"/>
    <w:rsid w:val="00DF7BFB"/>
    <w:rsid w:val="00E22110"/>
    <w:rsid w:val="00E3233F"/>
    <w:rsid w:val="00E60BD4"/>
    <w:rsid w:val="00E72EF4"/>
    <w:rsid w:val="00E97705"/>
    <w:rsid w:val="00EA0EED"/>
    <w:rsid w:val="00EA43ED"/>
    <w:rsid w:val="00EB07A8"/>
    <w:rsid w:val="00EC39B4"/>
    <w:rsid w:val="00F2189E"/>
    <w:rsid w:val="00F533B1"/>
    <w:rsid w:val="00F768A3"/>
    <w:rsid w:val="00F84C33"/>
    <w:rsid w:val="00F91EF8"/>
    <w:rsid w:val="00FA59C5"/>
    <w:rsid w:val="00FD5B77"/>
    <w:rsid w:val="00FE175A"/>
    <w:rsid w:val="00FF2F6A"/>
    <w:rsid w:val="00FF335F"/>
    <w:rsid w:val="00FF7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30C45FF2"/>
  <w15:chartTrackingRefBased/>
  <w15:docId w15:val="{3D10DB59-E844-4B6F-B1FE-AAA691BF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A2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A22"/>
    <w:pPr>
      <w:tabs>
        <w:tab w:val="center" w:pos="4320"/>
        <w:tab w:val="right" w:pos="8640"/>
      </w:tabs>
    </w:pPr>
  </w:style>
  <w:style w:type="character" w:customStyle="1" w:styleId="HeaderChar">
    <w:name w:val="Header Char"/>
    <w:basedOn w:val="DefaultParagraphFont"/>
    <w:link w:val="Header"/>
    <w:uiPriority w:val="99"/>
    <w:rsid w:val="00091A22"/>
    <w:rPr>
      <w:rFonts w:eastAsiaTheme="minorEastAsia"/>
      <w:sz w:val="24"/>
      <w:szCs w:val="24"/>
    </w:rPr>
  </w:style>
  <w:style w:type="character" w:styleId="Hyperlink">
    <w:name w:val="Hyperlink"/>
    <w:basedOn w:val="DefaultParagraphFont"/>
    <w:uiPriority w:val="99"/>
    <w:unhideWhenUsed/>
    <w:rsid w:val="00091A22"/>
    <w:rPr>
      <w:color w:val="0000FF" w:themeColor="hyperlink"/>
      <w:u w:val="single"/>
    </w:rPr>
  </w:style>
  <w:style w:type="paragraph" w:styleId="ListParagraph">
    <w:name w:val="List Paragraph"/>
    <w:basedOn w:val="Normal"/>
    <w:uiPriority w:val="34"/>
    <w:qFormat/>
    <w:rsid w:val="00091A22"/>
    <w:pPr>
      <w:ind w:left="720"/>
      <w:contextualSpacing/>
    </w:pPr>
  </w:style>
  <w:style w:type="paragraph" w:styleId="FootnoteText">
    <w:name w:val="footnote text"/>
    <w:basedOn w:val="Normal"/>
    <w:link w:val="FootnoteTextChar"/>
    <w:uiPriority w:val="99"/>
    <w:unhideWhenUsed/>
    <w:rsid w:val="00091A22"/>
    <w:rPr>
      <w:sz w:val="20"/>
      <w:szCs w:val="20"/>
    </w:rPr>
  </w:style>
  <w:style w:type="character" w:customStyle="1" w:styleId="FootnoteTextChar">
    <w:name w:val="Footnote Text Char"/>
    <w:basedOn w:val="DefaultParagraphFont"/>
    <w:link w:val="FootnoteText"/>
    <w:uiPriority w:val="99"/>
    <w:rsid w:val="00091A22"/>
    <w:rPr>
      <w:rFonts w:eastAsiaTheme="minorEastAsia"/>
      <w:sz w:val="20"/>
      <w:szCs w:val="20"/>
    </w:rPr>
  </w:style>
  <w:style w:type="character" w:styleId="FootnoteReference">
    <w:name w:val="footnote reference"/>
    <w:basedOn w:val="DefaultParagraphFont"/>
    <w:uiPriority w:val="99"/>
    <w:semiHidden/>
    <w:unhideWhenUsed/>
    <w:rsid w:val="00091A22"/>
    <w:rPr>
      <w:vertAlign w:val="superscript"/>
    </w:rPr>
  </w:style>
  <w:style w:type="character" w:styleId="CommentReference">
    <w:name w:val="annotation reference"/>
    <w:basedOn w:val="DefaultParagraphFont"/>
    <w:uiPriority w:val="99"/>
    <w:semiHidden/>
    <w:unhideWhenUsed/>
    <w:rsid w:val="00091A22"/>
    <w:rPr>
      <w:sz w:val="16"/>
      <w:szCs w:val="16"/>
    </w:rPr>
  </w:style>
  <w:style w:type="paragraph" w:styleId="CommentText">
    <w:name w:val="annotation text"/>
    <w:basedOn w:val="Normal"/>
    <w:link w:val="CommentTextChar"/>
    <w:uiPriority w:val="99"/>
    <w:semiHidden/>
    <w:unhideWhenUsed/>
    <w:rsid w:val="00091A22"/>
    <w:rPr>
      <w:sz w:val="20"/>
      <w:szCs w:val="20"/>
    </w:rPr>
  </w:style>
  <w:style w:type="character" w:customStyle="1" w:styleId="CommentTextChar">
    <w:name w:val="Comment Text Char"/>
    <w:basedOn w:val="DefaultParagraphFont"/>
    <w:link w:val="CommentText"/>
    <w:uiPriority w:val="99"/>
    <w:semiHidden/>
    <w:rsid w:val="00091A22"/>
    <w:rPr>
      <w:rFonts w:eastAsiaTheme="minorEastAsia"/>
      <w:sz w:val="20"/>
      <w:szCs w:val="20"/>
    </w:rPr>
  </w:style>
  <w:style w:type="table" w:styleId="TableGrid">
    <w:name w:val="Table Grid"/>
    <w:basedOn w:val="TableNormal"/>
    <w:uiPriority w:val="59"/>
    <w:rsid w:val="00091A2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1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A22"/>
    <w:rPr>
      <w:rFonts w:ascii="Segoe UI" w:eastAsiaTheme="minorEastAsia" w:hAnsi="Segoe UI" w:cs="Segoe UI"/>
      <w:sz w:val="18"/>
      <w:szCs w:val="18"/>
    </w:rPr>
  </w:style>
  <w:style w:type="paragraph" w:styleId="Footer">
    <w:name w:val="footer"/>
    <w:basedOn w:val="Normal"/>
    <w:link w:val="FooterChar"/>
    <w:uiPriority w:val="99"/>
    <w:unhideWhenUsed/>
    <w:rsid w:val="00091A22"/>
    <w:pPr>
      <w:tabs>
        <w:tab w:val="center" w:pos="4513"/>
        <w:tab w:val="right" w:pos="9026"/>
      </w:tabs>
    </w:pPr>
  </w:style>
  <w:style w:type="character" w:customStyle="1" w:styleId="FooterChar">
    <w:name w:val="Footer Char"/>
    <w:basedOn w:val="DefaultParagraphFont"/>
    <w:link w:val="Footer"/>
    <w:uiPriority w:val="99"/>
    <w:rsid w:val="00091A22"/>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6E3136"/>
    <w:rPr>
      <w:b/>
      <w:bCs/>
    </w:rPr>
  </w:style>
  <w:style w:type="character" w:customStyle="1" w:styleId="CommentSubjectChar">
    <w:name w:val="Comment Subject Char"/>
    <w:basedOn w:val="CommentTextChar"/>
    <w:link w:val="CommentSubject"/>
    <w:uiPriority w:val="99"/>
    <w:semiHidden/>
    <w:rsid w:val="006E3136"/>
    <w:rPr>
      <w:rFonts w:eastAsiaTheme="minorEastAsia"/>
      <w:b/>
      <w:bCs/>
      <w:sz w:val="20"/>
      <w:szCs w:val="20"/>
    </w:rPr>
  </w:style>
  <w:style w:type="character" w:styleId="FollowedHyperlink">
    <w:name w:val="FollowedHyperlink"/>
    <w:basedOn w:val="DefaultParagraphFont"/>
    <w:uiPriority w:val="99"/>
    <w:semiHidden/>
    <w:unhideWhenUsed/>
    <w:rsid w:val="00BE6178"/>
    <w:rPr>
      <w:color w:val="800080" w:themeColor="followedHyperlink"/>
      <w:u w:val="single"/>
    </w:rPr>
  </w:style>
  <w:style w:type="character" w:styleId="UnresolvedMention">
    <w:name w:val="Unresolved Mention"/>
    <w:basedOn w:val="DefaultParagraphFont"/>
    <w:uiPriority w:val="99"/>
    <w:semiHidden/>
    <w:unhideWhenUsed/>
    <w:rsid w:val="000A5C18"/>
    <w:rPr>
      <w:color w:val="605E5C"/>
      <w:shd w:val="clear" w:color="auto" w:fill="E1DFDD"/>
    </w:rPr>
  </w:style>
  <w:style w:type="paragraph" w:customStyle="1" w:styleId="MHRCbody">
    <w:name w:val="MHRC body"/>
    <w:autoRedefine/>
    <w:qFormat/>
    <w:rsid w:val="009D4F1E"/>
    <w:pPr>
      <w:spacing w:after="120" w:line="240" w:lineRule="auto"/>
      <w:jc w:val="both"/>
    </w:pPr>
    <w:rPr>
      <w:rFonts w:ascii="Arial" w:eastAsia="Times" w:hAnsi="Arial" w:cs="Times New Roman"/>
      <w:sz w:val="20"/>
      <w:szCs w:val="20"/>
    </w:rPr>
  </w:style>
  <w:style w:type="paragraph" w:customStyle="1" w:styleId="MHTreportmaintitleteal">
    <w:name w:val="MHT report main title teal"/>
    <w:uiPriority w:val="4"/>
    <w:rsid w:val="009D4F1E"/>
    <w:pPr>
      <w:keepLines/>
      <w:spacing w:after="240" w:line="580" w:lineRule="atLeast"/>
    </w:pPr>
    <w:rPr>
      <w:rFonts w:ascii="Arial" w:eastAsia="Times New Roman" w:hAnsi="Arial" w:cs="Times New Roman"/>
      <w:bCs/>
      <w:color w:val="006F78"/>
      <w:sz w:val="50"/>
      <w:szCs w:val="50"/>
    </w:rPr>
  </w:style>
  <w:style w:type="paragraph" w:customStyle="1" w:styleId="MHTreportsubtitle">
    <w:name w:val="MHT report subtitle"/>
    <w:uiPriority w:val="4"/>
    <w:rsid w:val="009D4F1E"/>
    <w:pPr>
      <w:spacing w:after="120" w:line="380" w:lineRule="atLeast"/>
    </w:pPr>
    <w:rPr>
      <w:rFonts w:ascii="Arial" w:eastAsia="Times New Roman" w:hAnsi="Arial" w:cs="Times New Roman"/>
      <w:bCs/>
      <w:color w:val="000000" w:themeColor="text1"/>
      <w:sz w:val="30"/>
      <w:szCs w:val="30"/>
    </w:rPr>
  </w:style>
  <w:style w:type="paragraph" w:customStyle="1" w:styleId="Coverinstructions">
    <w:name w:val="Cover instructions"/>
    <w:rsid w:val="009D4F1E"/>
    <w:pPr>
      <w:spacing w:line="320" w:lineRule="atLeast"/>
    </w:pPr>
    <w:rPr>
      <w:rFonts w:ascii="Arial" w:eastAsia="Times New Roman" w:hAnsi="Arial" w:cs="Times New Roman"/>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mht.vic.gov.au/guides-policies-and-procedures" TargetMode="External"/><Relationship Id="rId2" Type="http://schemas.openxmlformats.org/officeDocument/2006/relationships/hyperlink" Target="https://www.mht.vic.gov.au/news/our-submission-royal-commission-victorias-mental-health-system" TargetMode="External"/><Relationship Id="rId1" Type="http://schemas.openxmlformats.org/officeDocument/2006/relationships/hyperlink" Target="https://www.mht.vic.gov.au/news/action-plan-increasing-participation-tribunal-hearings" TargetMode="External"/><Relationship Id="rId5" Type="http://schemas.openxmlformats.org/officeDocument/2006/relationships/hyperlink" Target="https://handbook.vla.vic.gov.au/handbook/7-state-civil-law-guidelines/guideline-2-mental-health-tribunal-cases" TargetMode="External"/><Relationship Id="rId4" Type="http://schemas.openxmlformats.org/officeDocument/2006/relationships/hyperlink" Target="https://www.mht.vic.gov.au/sites/default/files/documents/201905/MHT%20Hearing%20Experience%20Survey%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60673-A346-4195-B7EF-EEBE5733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4600</Words>
  <Characters>26225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Carroll (DHHS)</dc:creator>
  <cp:keywords/>
  <dc:description/>
  <cp:lastModifiedBy>Evan McGregor (DHHS)</cp:lastModifiedBy>
  <cp:revision>4</cp:revision>
  <cp:lastPrinted>2020-01-22T06:55:00Z</cp:lastPrinted>
  <dcterms:created xsi:type="dcterms:W3CDTF">2020-01-22T06:56:00Z</dcterms:created>
  <dcterms:modified xsi:type="dcterms:W3CDTF">2020-01-22T22:08:00Z</dcterms:modified>
</cp:coreProperties>
</file>