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53065" w14:textId="77777777" w:rsidR="009F005A" w:rsidRDefault="00B6270F" w:rsidP="00B6270F">
      <w:pPr>
        <w:pStyle w:val="MHRCbody"/>
        <w:tabs>
          <w:tab w:val="left" w:pos="3585"/>
        </w:tabs>
      </w:pPr>
      <w:r>
        <w:rPr>
          <w:noProof/>
        </w:rPr>
        <w:drawing>
          <wp:anchor distT="0" distB="0" distL="114300" distR="114300" simplePos="0" relativeHeight="251659264" behindDoc="1" locked="0" layoutInCell="1" allowOverlap="1" wp14:anchorId="1B572C67" wp14:editId="7A4EA4DD">
            <wp:simplePos x="0" y="0"/>
            <wp:positionH relativeFrom="page">
              <wp:align>right</wp:align>
            </wp:positionH>
            <wp:positionV relativeFrom="paragraph">
              <wp:posOffset>-1800225</wp:posOffset>
            </wp:positionV>
            <wp:extent cx="7548634"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T Generic Document Cover (June 2019).jpg"/>
                    <pic:cNvPicPr/>
                  </pic:nvPicPr>
                  <pic:blipFill>
                    <a:blip r:embed="rId8"/>
                    <a:stretch>
                      <a:fillRect/>
                    </a:stretch>
                  </pic:blipFill>
                  <pic:spPr>
                    <a:xfrm>
                      <a:off x="0" y="0"/>
                      <a:ext cx="7548634" cy="10677525"/>
                    </a:xfrm>
                    <a:prstGeom prst="rect">
                      <a:avLst/>
                    </a:prstGeom>
                  </pic:spPr>
                </pic:pic>
              </a:graphicData>
            </a:graphic>
            <wp14:sizeRelH relativeFrom="page">
              <wp14:pctWidth>0</wp14:pctWidth>
            </wp14:sizeRelH>
            <wp14:sizeRelV relativeFrom="page">
              <wp14:pctHeight>0</wp14:pctHeight>
            </wp14:sizeRelV>
          </wp:anchor>
        </w:drawing>
      </w:r>
      <w:r>
        <w:tab/>
      </w:r>
    </w:p>
    <w:tbl>
      <w:tblPr>
        <w:tblpPr w:leftFromText="180" w:rightFromText="180" w:vertAnchor="page" w:horzAnchor="margin" w:tblpXSpec="right" w:tblpY="5881"/>
        <w:tblW w:w="7938" w:type="dxa"/>
        <w:tblCellMar>
          <w:left w:w="0" w:type="dxa"/>
          <w:right w:w="0" w:type="dxa"/>
        </w:tblCellMar>
        <w:tblLook w:val="04A0" w:firstRow="1" w:lastRow="0" w:firstColumn="1" w:lastColumn="0" w:noHBand="0" w:noVBand="1"/>
      </w:tblPr>
      <w:tblGrid>
        <w:gridCol w:w="7938"/>
      </w:tblGrid>
      <w:tr w:rsidR="009F005A" w:rsidRPr="003072C6" w14:paraId="2B6DEBB2" w14:textId="77777777" w:rsidTr="009F005A">
        <w:trPr>
          <w:trHeight w:val="3988"/>
        </w:trPr>
        <w:tc>
          <w:tcPr>
            <w:tcW w:w="7938" w:type="dxa"/>
            <w:shd w:val="clear" w:color="auto" w:fill="auto"/>
          </w:tcPr>
          <w:p w14:paraId="2D9E602B" w14:textId="1897F084" w:rsidR="009F005A" w:rsidRPr="00AB1E18" w:rsidRDefault="005537ED" w:rsidP="009F005A">
            <w:pPr>
              <w:pStyle w:val="MHTreportmaintitleteal"/>
              <w:rPr>
                <w:b/>
                <w:color w:val="FFFFFF" w:themeColor="background1"/>
              </w:rPr>
            </w:pPr>
            <w:r w:rsidRPr="00AB1E18">
              <w:rPr>
                <w:b/>
                <w:color w:val="FFFFFF" w:themeColor="background1"/>
              </w:rPr>
              <w:t>Royal Commission into Victoria</w:t>
            </w:r>
            <w:r w:rsidR="00C138EC">
              <w:rPr>
                <w:b/>
                <w:color w:val="FFFFFF" w:themeColor="background1"/>
              </w:rPr>
              <w:t>’s</w:t>
            </w:r>
            <w:bookmarkStart w:id="0" w:name="_GoBack"/>
            <w:bookmarkEnd w:id="0"/>
            <w:r w:rsidRPr="00AB1E18">
              <w:rPr>
                <w:b/>
                <w:color w:val="FFFFFF" w:themeColor="background1"/>
              </w:rPr>
              <w:t xml:space="preserve"> Mental Health System</w:t>
            </w:r>
          </w:p>
          <w:p w14:paraId="2470A0D6" w14:textId="30F0EF4C" w:rsidR="005537ED" w:rsidRPr="00AB1E18" w:rsidRDefault="005537ED" w:rsidP="009F005A">
            <w:pPr>
              <w:pStyle w:val="MHTreportmaintitleteal"/>
              <w:rPr>
                <w:b/>
                <w:color w:val="FFFFFF" w:themeColor="background1"/>
              </w:rPr>
            </w:pPr>
          </w:p>
          <w:p w14:paraId="261906B6" w14:textId="6F598D8E" w:rsidR="005537ED" w:rsidRPr="00DC71F4" w:rsidRDefault="005537ED" w:rsidP="009F005A">
            <w:pPr>
              <w:pStyle w:val="MHTreportmaintitleteal"/>
              <w:rPr>
                <w:b/>
                <w:color w:val="FFFFFF" w:themeColor="background1"/>
                <w:sz w:val="36"/>
              </w:rPr>
            </w:pPr>
            <w:r w:rsidRPr="00DC71F4">
              <w:rPr>
                <w:b/>
                <w:color w:val="FFFFFF" w:themeColor="background1"/>
                <w:sz w:val="36"/>
              </w:rPr>
              <w:t xml:space="preserve">Formal submission from the </w:t>
            </w:r>
            <w:r w:rsidR="00FF1050" w:rsidRPr="00DC71F4">
              <w:rPr>
                <w:b/>
                <w:color w:val="FFFFFF" w:themeColor="background1"/>
                <w:sz w:val="36"/>
              </w:rPr>
              <w:br/>
            </w:r>
            <w:r w:rsidRPr="00DC71F4">
              <w:rPr>
                <w:b/>
                <w:color w:val="FFFFFF" w:themeColor="background1"/>
                <w:sz w:val="36"/>
              </w:rPr>
              <w:t>Victorian Mental Health Tribunal</w:t>
            </w:r>
          </w:p>
          <w:p w14:paraId="4232C65F" w14:textId="77777777" w:rsidR="005537ED" w:rsidRPr="00DD28B3" w:rsidRDefault="005537ED" w:rsidP="009F005A">
            <w:pPr>
              <w:pStyle w:val="MHTreportmaintitleteal"/>
              <w:rPr>
                <w:color w:val="FFFFFF" w:themeColor="background1"/>
              </w:rPr>
            </w:pPr>
          </w:p>
          <w:p w14:paraId="2FDC246B" w14:textId="02E30FE9" w:rsidR="009F005A" w:rsidRPr="00655C10" w:rsidRDefault="005537ED" w:rsidP="009F005A">
            <w:pPr>
              <w:pStyle w:val="MHTreportsubtitle"/>
              <w:rPr>
                <w:b/>
                <w:color w:val="FFFFFF" w:themeColor="background1"/>
              </w:rPr>
            </w:pPr>
            <w:r w:rsidRPr="00655C10">
              <w:rPr>
                <w:b/>
                <w:color w:val="FFFFFF" w:themeColor="background1"/>
              </w:rPr>
              <w:t>June 2019</w:t>
            </w:r>
          </w:p>
        </w:tc>
      </w:tr>
      <w:tr w:rsidR="009F005A" w:rsidRPr="003072C6" w14:paraId="6BAAD1D8" w14:textId="77777777" w:rsidTr="005537ED">
        <w:trPr>
          <w:trHeight w:val="80"/>
        </w:trPr>
        <w:tc>
          <w:tcPr>
            <w:tcW w:w="7938" w:type="dxa"/>
            <w:shd w:val="clear" w:color="auto" w:fill="auto"/>
          </w:tcPr>
          <w:p w14:paraId="32F7E8CD" w14:textId="77777777" w:rsidR="009F005A" w:rsidRPr="00DD28B3" w:rsidRDefault="009F005A" w:rsidP="009F005A">
            <w:pPr>
              <w:pStyle w:val="Coverinstructions"/>
              <w:rPr>
                <w:color w:val="FFFFFF" w:themeColor="background1"/>
              </w:rPr>
            </w:pPr>
          </w:p>
        </w:tc>
      </w:tr>
    </w:tbl>
    <w:p w14:paraId="51625ECF" w14:textId="1F84B7A0" w:rsidR="00D2427A" w:rsidRDefault="00D2427A" w:rsidP="00B6270F">
      <w:pPr>
        <w:pStyle w:val="MHRCbody"/>
        <w:tabs>
          <w:tab w:val="left" w:pos="3585"/>
        </w:tabs>
      </w:pPr>
    </w:p>
    <w:p w14:paraId="2435E841" w14:textId="45C29B9C" w:rsidR="00D2427A" w:rsidRDefault="00B6270F" w:rsidP="00B6270F">
      <w:pPr>
        <w:pStyle w:val="MHRCbody"/>
        <w:tabs>
          <w:tab w:val="left" w:pos="2040"/>
        </w:tabs>
      </w:pPr>
      <w:r>
        <w:tab/>
      </w:r>
    </w:p>
    <w:p w14:paraId="43D72B20" w14:textId="448EDB57" w:rsidR="00B6270F" w:rsidRDefault="00B6270F">
      <w:pPr>
        <w:rPr>
          <w:sz w:val="22"/>
          <w:szCs w:val="22"/>
        </w:rPr>
      </w:pPr>
      <w:r>
        <w:rPr>
          <w:sz w:val="22"/>
          <w:szCs w:val="22"/>
        </w:rPr>
        <w:br w:type="page"/>
      </w:r>
    </w:p>
    <w:p w14:paraId="37815F57" w14:textId="77777777" w:rsidR="00B6270F" w:rsidRDefault="00B6270F" w:rsidP="002D672C">
      <w:pPr>
        <w:spacing w:before="240" w:after="240"/>
        <w:rPr>
          <w:sz w:val="22"/>
          <w:szCs w:val="22"/>
        </w:rPr>
        <w:sectPr w:rsidR="00B6270F" w:rsidSect="00BC78F1">
          <w:pgSz w:w="11906" w:h="16838" w:code="9"/>
          <w:pgMar w:top="2835" w:right="1191" w:bottom="1418" w:left="2211" w:header="510" w:footer="510" w:gutter="0"/>
          <w:cols w:space="708"/>
          <w:docGrid w:linePitch="360"/>
        </w:sectPr>
      </w:pPr>
    </w:p>
    <w:p w14:paraId="2856F2D1" w14:textId="01EF09AA" w:rsidR="001A386B" w:rsidRDefault="001A386B"/>
    <w:p w14:paraId="308E7FBA" w14:textId="77777777" w:rsidR="007E70C9" w:rsidRDefault="007E70C9">
      <w:pPr>
        <w:rPr>
          <w:rFonts w:ascii="Arial" w:eastAsiaTheme="minorHAnsi" w:hAnsi="Arial" w:cs="Arial"/>
        </w:rPr>
      </w:pPr>
    </w:p>
    <w:p w14:paraId="1564E376" w14:textId="77777777" w:rsidR="007E70C9" w:rsidRDefault="007E70C9">
      <w:pPr>
        <w:rPr>
          <w:rFonts w:ascii="Arial" w:eastAsiaTheme="minorHAnsi" w:hAnsi="Arial" w:cs="Arial"/>
        </w:rPr>
      </w:pPr>
    </w:p>
    <w:p w14:paraId="1FCFB05D" w14:textId="77777777" w:rsidR="007E70C9" w:rsidRDefault="007E70C9">
      <w:pPr>
        <w:rPr>
          <w:rFonts w:ascii="Arial" w:eastAsiaTheme="minorHAnsi" w:hAnsi="Arial" w:cs="Arial"/>
        </w:rPr>
      </w:pPr>
    </w:p>
    <w:p w14:paraId="0810F657" w14:textId="77777777" w:rsidR="007E70C9" w:rsidRDefault="007E70C9">
      <w:pPr>
        <w:rPr>
          <w:rFonts w:ascii="Arial" w:eastAsiaTheme="minorHAnsi" w:hAnsi="Arial" w:cs="Arial"/>
        </w:rPr>
      </w:pPr>
    </w:p>
    <w:p w14:paraId="2D0D27C8" w14:textId="77777777" w:rsidR="007E70C9" w:rsidRDefault="007E70C9">
      <w:pPr>
        <w:rPr>
          <w:rFonts w:ascii="Arial" w:eastAsiaTheme="minorHAnsi" w:hAnsi="Arial" w:cs="Arial"/>
        </w:rPr>
      </w:pPr>
    </w:p>
    <w:p w14:paraId="00E21ADE" w14:textId="77777777" w:rsidR="007E70C9" w:rsidRDefault="007E70C9">
      <w:pPr>
        <w:rPr>
          <w:rFonts w:ascii="Arial" w:eastAsiaTheme="minorHAnsi" w:hAnsi="Arial" w:cs="Arial"/>
        </w:rPr>
      </w:pPr>
    </w:p>
    <w:p w14:paraId="521F215E" w14:textId="77777777" w:rsidR="007E70C9" w:rsidRDefault="007E70C9">
      <w:pPr>
        <w:rPr>
          <w:rFonts w:ascii="Arial" w:eastAsiaTheme="minorHAnsi" w:hAnsi="Arial" w:cs="Arial"/>
        </w:rPr>
      </w:pPr>
    </w:p>
    <w:p w14:paraId="084EF712" w14:textId="77777777" w:rsidR="007E70C9" w:rsidRDefault="007E70C9">
      <w:pPr>
        <w:rPr>
          <w:rFonts w:ascii="Arial" w:eastAsiaTheme="minorHAnsi" w:hAnsi="Arial" w:cs="Arial"/>
        </w:rPr>
      </w:pPr>
    </w:p>
    <w:p w14:paraId="519AC55A" w14:textId="77777777" w:rsidR="007E70C9" w:rsidRDefault="007E70C9">
      <w:pPr>
        <w:rPr>
          <w:rFonts w:ascii="Arial" w:eastAsiaTheme="minorHAnsi" w:hAnsi="Arial" w:cs="Arial"/>
        </w:rPr>
      </w:pPr>
    </w:p>
    <w:p w14:paraId="2EF332DB" w14:textId="77777777" w:rsidR="007E70C9" w:rsidRDefault="007E70C9">
      <w:pPr>
        <w:rPr>
          <w:rFonts w:ascii="Arial" w:eastAsiaTheme="minorHAnsi" w:hAnsi="Arial" w:cs="Arial"/>
        </w:rPr>
      </w:pPr>
    </w:p>
    <w:p w14:paraId="755F64D9" w14:textId="77777777" w:rsidR="007E70C9" w:rsidRDefault="007E70C9">
      <w:pPr>
        <w:rPr>
          <w:rFonts w:ascii="Arial" w:eastAsiaTheme="minorHAnsi" w:hAnsi="Arial" w:cs="Arial"/>
        </w:rPr>
      </w:pPr>
    </w:p>
    <w:p w14:paraId="6DE9762F" w14:textId="77777777" w:rsidR="007E70C9" w:rsidRDefault="007E70C9">
      <w:pPr>
        <w:rPr>
          <w:rFonts w:ascii="Arial" w:eastAsiaTheme="minorHAnsi" w:hAnsi="Arial" w:cs="Arial"/>
        </w:rPr>
      </w:pPr>
    </w:p>
    <w:p w14:paraId="1D75BA3B" w14:textId="77777777" w:rsidR="007E70C9" w:rsidRDefault="007E70C9">
      <w:pPr>
        <w:rPr>
          <w:rFonts w:ascii="Arial" w:eastAsiaTheme="minorHAnsi" w:hAnsi="Arial" w:cs="Arial"/>
        </w:rPr>
      </w:pPr>
    </w:p>
    <w:p w14:paraId="766B0660" w14:textId="77777777" w:rsidR="007E70C9" w:rsidRDefault="007E70C9">
      <w:pPr>
        <w:rPr>
          <w:rFonts w:ascii="Arial" w:eastAsiaTheme="minorHAnsi" w:hAnsi="Arial" w:cs="Arial"/>
        </w:rPr>
      </w:pPr>
    </w:p>
    <w:p w14:paraId="78958730" w14:textId="77777777" w:rsidR="007E70C9" w:rsidRDefault="007E70C9">
      <w:pPr>
        <w:rPr>
          <w:rFonts w:ascii="Arial" w:eastAsiaTheme="minorHAnsi" w:hAnsi="Arial" w:cs="Arial"/>
        </w:rPr>
      </w:pPr>
    </w:p>
    <w:p w14:paraId="3D4BD763" w14:textId="77777777" w:rsidR="007E70C9" w:rsidRDefault="007E70C9">
      <w:pPr>
        <w:rPr>
          <w:rFonts w:ascii="Arial" w:eastAsiaTheme="minorHAnsi" w:hAnsi="Arial" w:cs="Arial"/>
        </w:rPr>
      </w:pPr>
    </w:p>
    <w:p w14:paraId="16AEFBB1" w14:textId="77777777" w:rsidR="007E70C9" w:rsidRDefault="007E70C9">
      <w:pPr>
        <w:rPr>
          <w:rFonts w:ascii="Arial" w:eastAsiaTheme="minorHAnsi" w:hAnsi="Arial" w:cs="Arial"/>
        </w:rPr>
      </w:pPr>
    </w:p>
    <w:p w14:paraId="121BE33B" w14:textId="77777777" w:rsidR="007E70C9" w:rsidRDefault="007E70C9">
      <w:pPr>
        <w:rPr>
          <w:rFonts w:ascii="Arial" w:eastAsiaTheme="minorHAnsi" w:hAnsi="Arial" w:cs="Arial"/>
        </w:rPr>
      </w:pPr>
    </w:p>
    <w:p w14:paraId="50D86F5C" w14:textId="77777777" w:rsidR="007E70C9" w:rsidRDefault="007E70C9">
      <w:pPr>
        <w:rPr>
          <w:rFonts w:ascii="Arial" w:eastAsiaTheme="minorHAnsi" w:hAnsi="Arial" w:cs="Arial"/>
        </w:rPr>
      </w:pPr>
    </w:p>
    <w:p w14:paraId="7B376CC3" w14:textId="77777777" w:rsidR="007E70C9" w:rsidRDefault="007E70C9">
      <w:pPr>
        <w:rPr>
          <w:rFonts w:ascii="Arial" w:eastAsiaTheme="minorHAnsi" w:hAnsi="Arial" w:cs="Arial"/>
        </w:rPr>
      </w:pPr>
    </w:p>
    <w:p w14:paraId="7899F581" w14:textId="246D1C31" w:rsidR="007E70C9" w:rsidRDefault="007E70C9">
      <w:pPr>
        <w:rPr>
          <w:rFonts w:ascii="Arial" w:eastAsiaTheme="minorHAnsi" w:hAnsi="Arial" w:cs="Arial"/>
        </w:rPr>
      </w:pPr>
    </w:p>
    <w:p w14:paraId="08DF3E53" w14:textId="7766A44E" w:rsidR="002D1FE1" w:rsidRDefault="002D1FE1">
      <w:pPr>
        <w:rPr>
          <w:rFonts w:ascii="Arial" w:eastAsiaTheme="minorHAnsi" w:hAnsi="Arial" w:cs="Arial"/>
        </w:rPr>
      </w:pPr>
    </w:p>
    <w:p w14:paraId="37BA4058" w14:textId="77777777" w:rsidR="002D1FE1" w:rsidRDefault="002D1FE1">
      <w:pPr>
        <w:rPr>
          <w:rFonts w:ascii="Arial" w:eastAsiaTheme="minorHAnsi" w:hAnsi="Arial" w:cs="Arial"/>
        </w:rPr>
      </w:pPr>
    </w:p>
    <w:p w14:paraId="67DB3FBF" w14:textId="77777777" w:rsidR="007E70C9" w:rsidRDefault="007E70C9">
      <w:pPr>
        <w:rPr>
          <w:rFonts w:ascii="Arial" w:eastAsiaTheme="minorHAnsi" w:hAnsi="Arial" w:cs="Arial"/>
        </w:rPr>
      </w:pPr>
    </w:p>
    <w:p w14:paraId="0D72EFD6" w14:textId="77777777" w:rsidR="007E70C9" w:rsidRDefault="007E70C9">
      <w:pPr>
        <w:rPr>
          <w:rFonts w:ascii="Arial" w:eastAsiaTheme="minorHAnsi" w:hAnsi="Arial" w:cs="Arial"/>
        </w:rPr>
      </w:pPr>
    </w:p>
    <w:p w14:paraId="5C163931" w14:textId="77777777" w:rsidR="007E70C9" w:rsidRDefault="007E70C9">
      <w:pPr>
        <w:rPr>
          <w:rFonts w:ascii="Arial" w:eastAsiaTheme="minorHAnsi" w:hAnsi="Arial" w:cs="Arial"/>
        </w:rPr>
      </w:pPr>
    </w:p>
    <w:p w14:paraId="31456557" w14:textId="77777777" w:rsidR="007E70C9" w:rsidRDefault="007E70C9">
      <w:pPr>
        <w:rPr>
          <w:rFonts w:ascii="Arial" w:eastAsiaTheme="minorHAnsi" w:hAnsi="Arial" w:cs="Arial"/>
        </w:rPr>
      </w:pPr>
    </w:p>
    <w:p w14:paraId="106D14CA" w14:textId="12D3A392" w:rsidR="007E70C9" w:rsidRDefault="00044206" w:rsidP="00044206">
      <w:pPr>
        <w:jc w:val="center"/>
        <w:rPr>
          <w:rFonts w:ascii="Arial" w:eastAsiaTheme="minorHAnsi" w:hAnsi="Arial" w:cs="Arial"/>
        </w:rPr>
      </w:pPr>
      <w:r>
        <w:rPr>
          <w:rFonts w:ascii="Arial" w:eastAsiaTheme="minorHAnsi" w:hAnsi="Arial" w:cs="Arial"/>
        </w:rPr>
        <w:t>This page is intentionally left blank</w:t>
      </w:r>
    </w:p>
    <w:p w14:paraId="3444B29F" w14:textId="77777777" w:rsidR="007E70C9" w:rsidRDefault="007E70C9">
      <w:pPr>
        <w:rPr>
          <w:rFonts w:ascii="Arial" w:eastAsiaTheme="minorHAnsi" w:hAnsi="Arial" w:cs="Arial"/>
        </w:rPr>
      </w:pPr>
    </w:p>
    <w:p w14:paraId="6E13B098" w14:textId="77777777" w:rsidR="001A386B" w:rsidRDefault="001A386B"/>
    <w:p w14:paraId="0D8CD617" w14:textId="77777777" w:rsidR="001A386B" w:rsidRDefault="001A386B"/>
    <w:p w14:paraId="0C9343AB" w14:textId="77777777" w:rsidR="00370586" w:rsidRDefault="00370586">
      <w:pPr>
        <w:sectPr w:rsidR="00370586" w:rsidSect="00937C19">
          <w:headerReference w:type="default" r:id="rId9"/>
          <w:footerReference w:type="default" r:id="rId10"/>
          <w:type w:val="continuous"/>
          <w:pgSz w:w="11906" w:h="16838" w:code="9"/>
          <w:pgMar w:top="426" w:right="1191" w:bottom="1134" w:left="2211" w:header="567" w:footer="510" w:gutter="0"/>
          <w:cols w:space="284"/>
          <w:docGrid w:linePitch="360"/>
        </w:sectPr>
      </w:pPr>
    </w:p>
    <w:p w14:paraId="2BE19CC4" w14:textId="77777777" w:rsidR="00370586" w:rsidRPr="00370586" w:rsidRDefault="00370586" w:rsidP="00370586">
      <w:pPr>
        <w:keepNext/>
        <w:keepLines/>
        <w:spacing w:after="320"/>
        <w:contextualSpacing/>
        <w:jc w:val="center"/>
        <w:outlineLvl w:val="0"/>
        <w:rPr>
          <w:rFonts w:ascii="Arial" w:eastAsia="MS Gothic" w:hAnsi="Arial" w:cs="Arial"/>
          <w:b/>
          <w:bCs/>
          <w:caps/>
          <w:kern w:val="32"/>
          <w:sz w:val="40"/>
          <w:szCs w:val="40"/>
        </w:rPr>
      </w:pPr>
      <w:r w:rsidRPr="00370586">
        <w:rPr>
          <w:rFonts w:ascii="Arial" w:eastAsia="MS Gothic" w:hAnsi="Arial" w:cs="Arial"/>
          <w:b/>
          <w:bCs/>
          <w:caps/>
          <w:kern w:val="32"/>
          <w:sz w:val="40"/>
          <w:szCs w:val="40"/>
        </w:rPr>
        <w:lastRenderedPageBreak/>
        <w:t>Mental Health Tribunal Submission</w:t>
      </w:r>
    </w:p>
    <w:p w14:paraId="0947CD38" w14:textId="448700B0" w:rsidR="00370586" w:rsidRDefault="00370586" w:rsidP="00370586">
      <w:pPr>
        <w:spacing w:after="120"/>
        <w:jc w:val="both"/>
        <w:rPr>
          <w:rFonts w:ascii="Arial" w:eastAsia="Times" w:hAnsi="Arial"/>
        </w:rPr>
      </w:pPr>
    </w:p>
    <w:p w14:paraId="614A450D" w14:textId="77777777" w:rsidR="00543059" w:rsidRDefault="00543059" w:rsidP="000601D3">
      <w:pPr>
        <w:keepNext/>
        <w:keepLines/>
        <w:spacing w:before="240" w:after="90"/>
        <w:contextualSpacing/>
        <w:jc w:val="center"/>
        <w:outlineLvl w:val="1"/>
        <w:rPr>
          <w:rFonts w:ascii="Arial" w:hAnsi="Arial"/>
          <w:b/>
          <w:caps/>
          <w:sz w:val="32"/>
          <w:szCs w:val="32"/>
        </w:rPr>
      </w:pPr>
      <w:bookmarkStart w:id="1" w:name="_Hlk11920627"/>
      <w:r>
        <w:rPr>
          <w:rFonts w:ascii="Arial" w:hAnsi="Arial"/>
          <w:b/>
          <w:caps/>
          <w:sz w:val="32"/>
          <w:szCs w:val="32"/>
        </w:rPr>
        <w:t>CONTENTS</w:t>
      </w:r>
    </w:p>
    <w:bookmarkEnd w:id="1"/>
    <w:p w14:paraId="57CECF2B" w14:textId="77777777" w:rsidR="00543059" w:rsidRPr="00543059" w:rsidRDefault="00543059" w:rsidP="000601D3">
      <w:pPr>
        <w:keepNext/>
        <w:keepLines/>
        <w:spacing w:before="240" w:after="90"/>
        <w:contextualSpacing/>
        <w:outlineLvl w:val="1"/>
        <w:rPr>
          <w:rFonts w:ascii="Arial" w:hAnsi="Arial"/>
          <w:b/>
          <w:caps/>
        </w:rPr>
      </w:pPr>
    </w:p>
    <w:p w14:paraId="635C0A5A" w14:textId="1B781EBD" w:rsidR="00FA73F5" w:rsidRPr="000601D3" w:rsidRDefault="00FA73F5" w:rsidP="000601D3">
      <w:pPr>
        <w:keepNext/>
        <w:keepLines/>
        <w:spacing w:before="240" w:after="90"/>
        <w:contextualSpacing/>
        <w:outlineLvl w:val="1"/>
        <w:rPr>
          <w:rFonts w:ascii="Arial" w:hAnsi="Arial" w:cs="Arial"/>
          <w:b/>
          <w:caps/>
        </w:rPr>
      </w:pPr>
      <w:r w:rsidRPr="000601D3">
        <w:rPr>
          <w:rFonts w:ascii="Arial" w:hAnsi="Arial" w:cs="Arial"/>
          <w:b/>
          <w:caps/>
        </w:rPr>
        <w:t>Executive Summary</w:t>
      </w:r>
      <w:r w:rsidR="00797D37">
        <w:rPr>
          <w:rFonts w:ascii="Arial" w:hAnsi="Arial" w:cs="Arial"/>
          <w:b/>
          <w:caps/>
        </w:rPr>
        <w:tab/>
      </w:r>
      <w:r w:rsidR="00797D37">
        <w:rPr>
          <w:rFonts w:ascii="Arial" w:hAnsi="Arial" w:cs="Arial"/>
          <w:b/>
          <w:caps/>
        </w:rPr>
        <w:tab/>
      </w:r>
      <w:r w:rsidR="00797D37">
        <w:rPr>
          <w:rFonts w:ascii="Arial" w:hAnsi="Arial" w:cs="Arial"/>
          <w:b/>
          <w:caps/>
        </w:rPr>
        <w:tab/>
      </w:r>
      <w:r w:rsidR="00797D37">
        <w:rPr>
          <w:rFonts w:ascii="Arial" w:hAnsi="Arial" w:cs="Arial"/>
          <w:b/>
          <w:caps/>
        </w:rPr>
        <w:tab/>
      </w:r>
      <w:r w:rsidR="00797D37">
        <w:rPr>
          <w:rFonts w:ascii="Arial" w:hAnsi="Arial" w:cs="Arial"/>
          <w:b/>
          <w:caps/>
        </w:rPr>
        <w:tab/>
      </w:r>
      <w:r w:rsidR="00797D37">
        <w:rPr>
          <w:rFonts w:ascii="Arial" w:hAnsi="Arial" w:cs="Arial"/>
          <w:b/>
          <w:caps/>
        </w:rPr>
        <w:tab/>
      </w:r>
      <w:r w:rsidR="00797D37">
        <w:rPr>
          <w:rFonts w:ascii="Arial" w:hAnsi="Arial" w:cs="Arial"/>
          <w:b/>
          <w:caps/>
        </w:rPr>
        <w:tab/>
      </w:r>
      <w:r w:rsidR="00797D37">
        <w:rPr>
          <w:rFonts w:ascii="Arial" w:hAnsi="Arial" w:cs="Arial"/>
          <w:b/>
          <w:caps/>
        </w:rPr>
        <w:tab/>
        <w:t xml:space="preserve">        4</w:t>
      </w:r>
    </w:p>
    <w:p w14:paraId="5D05FB15" w14:textId="1C230155" w:rsidR="00FA73F5" w:rsidRDefault="00FA73F5" w:rsidP="000601D3">
      <w:pPr>
        <w:spacing w:after="120"/>
        <w:contextualSpacing/>
        <w:jc w:val="both"/>
        <w:rPr>
          <w:rFonts w:ascii="Arial" w:eastAsia="Times" w:hAnsi="Arial" w:cs="Arial"/>
          <w:highlight w:val="yellow"/>
        </w:rPr>
      </w:pPr>
    </w:p>
    <w:p w14:paraId="29B4B5EA" w14:textId="77777777" w:rsidR="00197C50" w:rsidRPr="000601D3" w:rsidRDefault="00197C50" w:rsidP="000601D3">
      <w:pPr>
        <w:spacing w:after="120"/>
        <w:contextualSpacing/>
        <w:jc w:val="both"/>
        <w:rPr>
          <w:rFonts w:ascii="Arial" w:eastAsia="Times" w:hAnsi="Arial" w:cs="Arial"/>
          <w:highlight w:val="yellow"/>
        </w:rPr>
      </w:pPr>
    </w:p>
    <w:p w14:paraId="51D8CC36" w14:textId="77777777" w:rsidR="00FA73F5" w:rsidRPr="000601D3" w:rsidRDefault="00FA73F5" w:rsidP="000601D3">
      <w:pPr>
        <w:keepNext/>
        <w:keepLines/>
        <w:spacing w:before="240" w:after="90"/>
        <w:contextualSpacing/>
        <w:outlineLvl w:val="1"/>
        <w:rPr>
          <w:rFonts w:ascii="Arial" w:hAnsi="Arial" w:cs="Arial"/>
          <w:b/>
          <w:caps/>
        </w:rPr>
      </w:pPr>
      <w:r w:rsidRPr="000601D3">
        <w:rPr>
          <w:rFonts w:ascii="Arial" w:hAnsi="Arial" w:cs="Arial"/>
          <w:b/>
          <w:caps/>
        </w:rPr>
        <w:t>Part A:</w:t>
      </w:r>
      <w:r w:rsidRPr="000601D3">
        <w:rPr>
          <w:rFonts w:ascii="Arial" w:hAnsi="Arial" w:cs="Arial"/>
          <w:b/>
          <w:caps/>
        </w:rPr>
        <w:tab/>
      </w:r>
      <w:r w:rsidRPr="000601D3">
        <w:rPr>
          <w:rFonts w:ascii="Arial" w:hAnsi="Arial" w:cs="Arial"/>
          <w:b/>
          <w:caps/>
        </w:rPr>
        <w:tab/>
        <w:t>Introduction and Context</w:t>
      </w:r>
    </w:p>
    <w:p w14:paraId="051F03A5" w14:textId="77777777" w:rsidR="00FA73F5" w:rsidRPr="000601D3" w:rsidRDefault="00FA73F5" w:rsidP="000601D3">
      <w:pPr>
        <w:spacing w:after="120"/>
        <w:contextualSpacing/>
        <w:jc w:val="both"/>
        <w:rPr>
          <w:rFonts w:ascii="Arial" w:eastAsia="Times" w:hAnsi="Arial" w:cs="Arial"/>
        </w:rPr>
      </w:pPr>
    </w:p>
    <w:p w14:paraId="11DB841F" w14:textId="2AAC4D40" w:rsidR="00FA73F5" w:rsidRPr="00197C50" w:rsidRDefault="00FA73F5" w:rsidP="000601D3">
      <w:pPr>
        <w:keepNext/>
        <w:keepLines/>
        <w:numPr>
          <w:ilvl w:val="0"/>
          <w:numId w:val="40"/>
        </w:numPr>
        <w:spacing w:before="240" w:after="90"/>
        <w:contextualSpacing/>
        <w:outlineLvl w:val="1"/>
        <w:rPr>
          <w:rFonts w:ascii="Arial" w:hAnsi="Arial" w:cs="Arial"/>
          <w:b/>
        </w:rPr>
      </w:pPr>
      <w:r w:rsidRPr="00197C50">
        <w:rPr>
          <w:rFonts w:ascii="Arial" w:hAnsi="Arial" w:cs="Arial"/>
          <w:b/>
        </w:rPr>
        <w:t>Introduction</w:t>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t xml:space="preserve">        6</w:t>
      </w:r>
    </w:p>
    <w:p w14:paraId="2D684F10" w14:textId="77777777" w:rsidR="00FA73F5" w:rsidRPr="000601D3" w:rsidRDefault="00FA73F5" w:rsidP="000601D3">
      <w:pPr>
        <w:spacing w:before="240" w:after="120"/>
        <w:contextualSpacing/>
        <w:jc w:val="both"/>
        <w:rPr>
          <w:rFonts w:ascii="Arial" w:eastAsiaTheme="minorHAnsi" w:hAnsi="Arial" w:cs="Arial"/>
        </w:rPr>
      </w:pPr>
    </w:p>
    <w:p w14:paraId="0E18C7DA" w14:textId="77777777" w:rsidR="00FA73F5" w:rsidRPr="000601D3" w:rsidRDefault="00FA73F5" w:rsidP="00E74801">
      <w:pPr>
        <w:keepNext/>
        <w:keepLines/>
        <w:spacing w:before="240" w:after="90"/>
        <w:contextualSpacing/>
        <w:jc w:val="both"/>
        <w:outlineLvl w:val="1"/>
        <w:rPr>
          <w:rFonts w:ascii="Arial" w:hAnsi="Arial" w:cs="Arial"/>
        </w:rPr>
      </w:pPr>
      <w:r w:rsidRPr="000601D3">
        <w:rPr>
          <w:rFonts w:ascii="Arial" w:hAnsi="Arial" w:cs="Arial"/>
        </w:rPr>
        <w:t>1.1  This submission</w:t>
      </w:r>
    </w:p>
    <w:p w14:paraId="67B7B249" w14:textId="77777777" w:rsidR="00FA73F5" w:rsidRPr="000601D3" w:rsidRDefault="00FA73F5" w:rsidP="000601D3">
      <w:pPr>
        <w:spacing w:before="240" w:after="120"/>
        <w:contextualSpacing/>
        <w:jc w:val="both"/>
        <w:rPr>
          <w:rFonts w:ascii="Arial" w:eastAsiaTheme="minorHAnsi" w:hAnsi="Arial" w:cs="Arial"/>
        </w:rPr>
      </w:pPr>
    </w:p>
    <w:p w14:paraId="7A9F43CF" w14:textId="77777777" w:rsidR="00FA73F5" w:rsidRPr="000601D3" w:rsidRDefault="00FA73F5" w:rsidP="000601D3">
      <w:pPr>
        <w:spacing w:before="240" w:after="120"/>
        <w:contextualSpacing/>
        <w:jc w:val="both"/>
        <w:rPr>
          <w:rFonts w:ascii="Arial" w:eastAsiaTheme="minorHAnsi" w:hAnsi="Arial" w:cs="Arial"/>
        </w:rPr>
      </w:pPr>
    </w:p>
    <w:p w14:paraId="4AF963D2" w14:textId="1774E8E5" w:rsidR="00FA73F5" w:rsidRPr="00197C50" w:rsidRDefault="00FA73F5" w:rsidP="000601D3">
      <w:pPr>
        <w:keepNext/>
        <w:keepLines/>
        <w:numPr>
          <w:ilvl w:val="0"/>
          <w:numId w:val="40"/>
        </w:numPr>
        <w:spacing w:before="240" w:after="90"/>
        <w:contextualSpacing/>
        <w:jc w:val="both"/>
        <w:outlineLvl w:val="1"/>
        <w:rPr>
          <w:rFonts w:ascii="Arial" w:hAnsi="Arial" w:cs="Arial"/>
          <w:b/>
        </w:rPr>
      </w:pPr>
      <w:r w:rsidRPr="00197C50">
        <w:rPr>
          <w:rFonts w:ascii="Arial" w:hAnsi="Arial" w:cs="Arial"/>
          <w:b/>
        </w:rPr>
        <w:t xml:space="preserve">The </w:t>
      </w:r>
      <w:r w:rsidRPr="00197C50">
        <w:rPr>
          <w:rFonts w:ascii="Arial" w:hAnsi="Arial" w:cs="Arial"/>
          <w:b/>
          <w:i/>
        </w:rPr>
        <w:t xml:space="preserve">Mental Health Act 2014 </w:t>
      </w:r>
      <w:r w:rsidRPr="00197C50">
        <w:rPr>
          <w:rFonts w:ascii="Arial" w:hAnsi="Arial" w:cs="Arial"/>
          <w:b/>
        </w:rPr>
        <w:t>– a catalyst for reform</w:t>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t xml:space="preserve">        6</w:t>
      </w:r>
    </w:p>
    <w:p w14:paraId="5C77406F" w14:textId="77777777" w:rsidR="00FA73F5" w:rsidRPr="000601D3" w:rsidRDefault="00FA73F5" w:rsidP="000601D3">
      <w:pPr>
        <w:spacing w:after="120"/>
        <w:contextualSpacing/>
        <w:jc w:val="both"/>
        <w:rPr>
          <w:rFonts w:ascii="Arial" w:eastAsia="Times" w:hAnsi="Arial" w:cs="Arial"/>
        </w:rPr>
      </w:pPr>
    </w:p>
    <w:p w14:paraId="442CFCC2" w14:textId="77777777" w:rsidR="00FA73F5" w:rsidRPr="000601D3" w:rsidRDefault="00FA73F5" w:rsidP="000601D3">
      <w:pPr>
        <w:spacing w:after="120"/>
        <w:contextualSpacing/>
        <w:jc w:val="both"/>
        <w:rPr>
          <w:rFonts w:ascii="Arial" w:eastAsia="Times" w:hAnsi="Arial" w:cs="Arial"/>
        </w:rPr>
      </w:pPr>
    </w:p>
    <w:p w14:paraId="0CE96776" w14:textId="487AD74F" w:rsidR="00FA73F5" w:rsidRPr="00197C50" w:rsidRDefault="00FA73F5" w:rsidP="000601D3">
      <w:pPr>
        <w:keepNext/>
        <w:keepLines/>
        <w:numPr>
          <w:ilvl w:val="0"/>
          <w:numId w:val="40"/>
        </w:numPr>
        <w:spacing w:before="240" w:after="90"/>
        <w:contextualSpacing/>
        <w:jc w:val="both"/>
        <w:outlineLvl w:val="1"/>
        <w:rPr>
          <w:rFonts w:ascii="Arial" w:hAnsi="Arial" w:cs="Arial"/>
          <w:b/>
        </w:rPr>
      </w:pPr>
      <w:r w:rsidRPr="00197C50">
        <w:rPr>
          <w:rFonts w:ascii="Arial" w:hAnsi="Arial" w:cs="Arial"/>
          <w:b/>
        </w:rPr>
        <w:t xml:space="preserve">The Tribunal’s </w:t>
      </w:r>
      <w:r w:rsidR="00FC3960">
        <w:rPr>
          <w:rFonts w:ascii="Arial" w:hAnsi="Arial" w:cs="Arial"/>
          <w:b/>
        </w:rPr>
        <w:t>a</w:t>
      </w:r>
      <w:r w:rsidRPr="00197C50">
        <w:rPr>
          <w:rFonts w:ascii="Arial" w:hAnsi="Arial" w:cs="Arial"/>
          <w:b/>
        </w:rPr>
        <w:t xml:space="preserve">pproach to the </w:t>
      </w:r>
      <w:r w:rsidR="00FC3960">
        <w:rPr>
          <w:rFonts w:ascii="Arial" w:hAnsi="Arial" w:cs="Arial"/>
          <w:b/>
        </w:rPr>
        <w:t>p</w:t>
      </w:r>
      <w:r w:rsidRPr="00197C50">
        <w:rPr>
          <w:rFonts w:ascii="Arial" w:hAnsi="Arial" w:cs="Arial"/>
          <w:b/>
        </w:rPr>
        <w:t xml:space="preserve">erformance of its </w:t>
      </w:r>
      <w:r w:rsidR="00FC3960">
        <w:rPr>
          <w:rFonts w:ascii="Arial" w:hAnsi="Arial" w:cs="Arial"/>
          <w:b/>
        </w:rPr>
        <w:t>f</w:t>
      </w:r>
      <w:r w:rsidRPr="00197C50">
        <w:rPr>
          <w:rFonts w:ascii="Arial" w:hAnsi="Arial" w:cs="Arial"/>
          <w:b/>
        </w:rPr>
        <w:t>unctions</w:t>
      </w:r>
      <w:r w:rsidR="00797D37">
        <w:rPr>
          <w:rFonts w:ascii="Arial" w:hAnsi="Arial" w:cs="Arial"/>
          <w:b/>
        </w:rPr>
        <w:tab/>
      </w:r>
      <w:r w:rsidR="00797D37">
        <w:rPr>
          <w:rFonts w:ascii="Arial" w:hAnsi="Arial" w:cs="Arial"/>
          <w:b/>
        </w:rPr>
        <w:tab/>
      </w:r>
      <w:r w:rsidR="00797D37">
        <w:rPr>
          <w:rFonts w:ascii="Arial" w:hAnsi="Arial" w:cs="Arial"/>
          <w:b/>
        </w:rPr>
        <w:tab/>
        <w:t xml:space="preserve">        7</w:t>
      </w:r>
    </w:p>
    <w:p w14:paraId="7132CA31" w14:textId="77777777" w:rsidR="00FA73F5" w:rsidRPr="000601D3" w:rsidRDefault="00FA73F5" w:rsidP="000601D3">
      <w:pPr>
        <w:spacing w:after="120"/>
        <w:contextualSpacing/>
        <w:jc w:val="both"/>
        <w:rPr>
          <w:rFonts w:ascii="Arial" w:eastAsia="Times" w:hAnsi="Arial" w:cs="Arial"/>
        </w:rPr>
      </w:pPr>
    </w:p>
    <w:p w14:paraId="2A4A88DD" w14:textId="77777777" w:rsidR="00FA73F5" w:rsidRPr="000601D3" w:rsidRDefault="00FA73F5" w:rsidP="000601D3">
      <w:pPr>
        <w:spacing w:after="120"/>
        <w:contextualSpacing/>
        <w:jc w:val="both"/>
        <w:rPr>
          <w:rFonts w:ascii="Arial" w:eastAsia="Times" w:hAnsi="Arial" w:cs="Arial"/>
        </w:rPr>
      </w:pPr>
    </w:p>
    <w:p w14:paraId="08715FD4" w14:textId="44C2E0E9" w:rsidR="00FA73F5" w:rsidRPr="00197C50" w:rsidRDefault="00FA73F5" w:rsidP="000601D3">
      <w:pPr>
        <w:keepNext/>
        <w:keepLines/>
        <w:numPr>
          <w:ilvl w:val="0"/>
          <w:numId w:val="40"/>
        </w:numPr>
        <w:spacing w:before="240" w:after="90"/>
        <w:contextualSpacing/>
        <w:jc w:val="both"/>
        <w:outlineLvl w:val="1"/>
        <w:rPr>
          <w:rFonts w:ascii="Arial" w:hAnsi="Arial" w:cs="Arial"/>
          <w:b/>
        </w:rPr>
      </w:pPr>
      <w:r w:rsidRPr="00197C50">
        <w:rPr>
          <w:rFonts w:ascii="Arial" w:hAnsi="Arial" w:cs="Arial"/>
          <w:b/>
        </w:rPr>
        <w:t>The Legal Framework for Compulsory Treatment</w:t>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t xml:space="preserve">        8</w:t>
      </w:r>
    </w:p>
    <w:p w14:paraId="0075FDD1" w14:textId="77777777" w:rsidR="00FA73F5" w:rsidRPr="000601D3" w:rsidRDefault="00FA73F5" w:rsidP="000601D3">
      <w:pPr>
        <w:spacing w:before="240"/>
        <w:contextualSpacing/>
        <w:jc w:val="both"/>
        <w:rPr>
          <w:rFonts w:ascii="Arial" w:eastAsiaTheme="minorHAnsi" w:hAnsi="Arial" w:cs="Arial"/>
        </w:rPr>
      </w:pPr>
    </w:p>
    <w:p w14:paraId="52709677" w14:textId="77777777" w:rsidR="00FA73F5" w:rsidRPr="000601D3" w:rsidRDefault="00FA73F5" w:rsidP="00E74801">
      <w:pPr>
        <w:spacing w:before="240"/>
        <w:contextualSpacing/>
        <w:jc w:val="both"/>
        <w:rPr>
          <w:rFonts w:ascii="Arial" w:eastAsiaTheme="minorHAnsi" w:hAnsi="Arial" w:cs="Arial"/>
        </w:rPr>
      </w:pPr>
      <w:r w:rsidRPr="000601D3">
        <w:rPr>
          <w:rFonts w:ascii="Arial" w:eastAsiaTheme="minorHAnsi" w:hAnsi="Arial" w:cs="Arial"/>
        </w:rPr>
        <w:t>4.1  Criteria for compulsory treatment</w:t>
      </w:r>
    </w:p>
    <w:p w14:paraId="44492BDF" w14:textId="77777777" w:rsidR="00FA73F5" w:rsidRPr="000601D3" w:rsidRDefault="00FA73F5" w:rsidP="00E74801">
      <w:pPr>
        <w:spacing w:before="240" w:after="120"/>
        <w:contextualSpacing/>
        <w:jc w:val="both"/>
        <w:rPr>
          <w:rFonts w:ascii="Arial" w:eastAsiaTheme="minorHAnsi" w:hAnsi="Arial" w:cs="Arial"/>
        </w:rPr>
      </w:pPr>
    </w:p>
    <w:p w14:paraId="326F805C" w14:textId="2D5F9495" w:rsidR="00FA73F5" w:rsidRPr="000601D3" w:rsidRDefault="00FA73F5" w:rsidP="00E74801">
      <w:pPr>
        <w:spacing w:before="240"/>
        <w:contextualSpacing/>
        <w:jc w:val="both"/>
        <w:rPr>
          <w:rFonts w:ascii="Arial" w:eastAsiaTheme="minorHAnsi" w:hAnsi="Arial" w:cs="Arial"/>
        </w:rPr>
      </w:pPr>
      <w:r w:rsidRPr="000601D3">
        <w:rPr>
          <w:rFonts w:ascii="Arial" w:eastAsiaTheme="minorHAnsi" w:hAnsi="Arial" w:cs="Arial"/>
        </w:rPr>
        <w:t>4.2  Determination of the setting and duration of a T</w:t>
      </w:r>
      <w:r w:rsidR="00182B1A">
        <w:rPr>
          <w:rFonts w:ascii="Arial" w:eastAsiaTheme="minorHAnsi" w:hAnsi="Arial" w:cs="Arial"/>
        </w:rPr>
        <w:t xml:space="preserve">reatment </w:t>
      </w:r>
      <w:r w:rsidRPr="000601D3">
        <w:rPr>
          <w:rFonts w:ascii="Arial" w:eastAsiaTheme="minorHAnsi" w:hAnsi="Arial" w:cs="Arial"/>
        </w:rPr>
        <w:t>O</w:t>
      </w:r>
      <w:r w:rsidR="00182B1A">
        <w:rPr>
          <w:rFonts w:ascii="Arial" w:eastAsiaTheme="minorHAnsi" w:hAnsi="Arial" w:cs="Arial"/>
        </w:rPr>
        <w:t>rder</w:t>
      </w:r>
    </w:p>
    <w:p w14:paraId="7A9C1133" w14:textId="77777777" w:rsidR="00FA73F5" w:rsidRPr="000601D3" w:rsidRDefault="00FA73F5" w:rsidP="00E74801">
      <w:pPr>
        <w:spacing w:before="240"/>
        <w:contextualSpacing/>
        <w:jc w:val="both"/>
        <w:rPr>
          <w:rFonts w:ascii="Arial" w:eastAsiaTheme="minorHAnsi" w:hAnsi="Arial" w:cs="Arial"/>
        </w:rPr>
      </w:pPr>
    </w:p>
    <w:p w14:paraId="5F5F21C8" w14:textId="578146B5" w:rsidR="00FA73F5" w:rsidRPr="000601D3" w:rsidRDefault="00FA73F5" w:rsidP="00E74801">
      <w:pPr>
        <w:spacing w:before="240" w:after="120"/>
        <w:contextualSpacing/>
        <w:jc w:val="both"/>
        <w:rPr>
          <w:rFonts w:ascii="Arial" w:eastAsiaTheme="minorHAnsi" w:hAnsi="Arial" w:cs="Arial"/>
        </w:rPr>
      </w:pPr>
      <w:r w:rsidRPr="000601D3">
        <w:rPr>
          <w:rFonts w:ascii="Arial" w:eastAsiaTheme="minorHAnsi" w:hAnsi="Arial" w:cs="Arial"/>
        </w:rPr>
        <w:t>4.3  Decisions regarding the specific treatment/s that will be provided pursuant to a T</w:t>
      </w:r>
      <w:r w:rsidR="00182B1A">
        <w:rPr>
          <w:rFonts w:ascii="Arial" w:eastAsiaTheme="minorHAnsi" w:hAnsi="Arial" w:cs="Arial"/>
        </w:rPr>
        <w:t xml:space="preserve">reatment </w:t>
      </w:r>
      <w:r w:rsidRPr="000601D3">
        <w:rPr>
          <w:rFonts w:ascii="Arial" w:eastAsiaTheme="minorHAnsi" w:hAnsi="Arial" w:cs="Arial"/>
        </w:rPr>
        <w:t>O</w:t>
      </w:r>
      <w:r w:rsidR="00E421AF">
        <w:rPr>
          <w:rFonts w:ascii="Arial" w:eastAsiaTheme="minorHAnsi" w:hAnsi="Arial" w:cs="Arial"/>
        </w:rPr>
        <w:t>rder</w:t>
      </w:r>
    </w:p>
    <w:p w14:paraId="5F9FDBEF" w14:textId="77777777" w:rsidR="00FA73F5" w:rsidRPr="000601D3" w:rsidRDefault="00FA73F5" w:rsidP="00E74801">
      <w:pPr>
        <w:spacing w:before="240" w:after="120"/>
        <w:contextualSpacing/>
        <w:jc w:val="both"/>
        <w:rPr>
          <w:rFonts w:ascii="Arial" w:eastAsiaTheme="minorHAnsi" w:hAnsi="Arial" w:cs="Arial"/>
        </w:rPr>
      </w:pPr>
    </w:p>
    <w:p w14:paraId="41DC0E7F" w14:textId="77777777" w:rsidR="00FA73F5" w:rsidRPr="000601D3" w:rsidRDefault="00FA73F5" w:rsidP="00E74801">
      <w:pPr>
        <w:keepNext/>
        <w:keepLines/>
        <w:spacing w:before="240" w:after="90"/>
        <w:contextualSpacing/>
        <w:jc w:val="both"/>
        <w:outlineLvl w:val="1"/>
        <w:rPr>
          <w:rFonts w:ascii="Arial" w:hAnsi="Arial" w:cs="Arial"/>
        </w:rPr>
      </w:pPr>
      <w:r w:rsidRPr="000601D3">
        <w:rPr>
          <w:rFonts w:ascii="Arial" w:hAnsi="Arial" w:cs="Arial"/>
        </w:rPr>
        <w:t>4.4  Compulsory treatment for prisoners and people on remand</w:t>
      </w:r>
    </w:p>
    <w:p w14:paraId="6870638D" w14:textId="7E63406F" w:rsidR="00FA73F5" w:rsidRDefault="00FA73F5" w:rsidP="000601D3">
      <w:pPr>
        <w:spacing w:after="120"/>
        <w:contextualSpacing/>
        <w:jc w:val="both"/>
        <w:rPr>
          <w:rFonts w:ascii="Arial" w:eastAsia="Times" w:hAnsi="Arial" w:cs="Arial"/>
        </w:rPr>
      </w:pPr>
    </w:p>
    <w:p w14:paraId="40ABEBBE" w14:textId="77777777" w:rsidR="00197C50" w:rsidRPr="000601D3" w:rsidRDefault="00197C50" w:rsidP="000601D3">
      <w:pPr>
        <w:spacing w:after="120"/>
        <w:contextualSpacing/>
        <w:jc w:val="both"/>
        <w:rPr>
          <w:rFonts w:ascii="Arial" w:eastAsia="Times" w:hAnsi="Arial" w:cs="Arial"/>
        </w:rPr>
      </w:pPr>
    </w:p>
    <w:p w14:paraId="3AA80ED6" w14:textId="50343A98" w:rsidR="00FA73F5" w:rsidRPr="00197C50" w:rsidRDefault="00FA73F5" w:rsidP="000601D3">
      <w:pPr>
        <w:keepNext/>
        <w:keepLines/>
        <w:numPr>
          <w:ilvl w:val="0"/>
          <w:numId w:val="40"/>
        </w:numPr>
        <w:spacing w:before="240" w:after="90"/>
        <w:contextualSpacing/>
        <w:jc w:val="both"/>
        <w:outlineLvl w:val="1"/>
        <w:rPr>
          <w:rFonts w:ascii="Arial" w:hAnsi="Arial" w:cs="Arial"/>
          <w:b/>
        </w:rPr>
      </w:pPr>
      <w:r w:rsidRPr="00197C50">
        <w:rPr>
          <w:rFonts w:ascii="Arial" w:hAnsi="Arial" w:cs="Arial"/>
          <w:b/>
        </w:rPr>
        <w:t>The Legal Framework Applicable to E</w:t>
      </w:r>
      <w:r w:rsidR="00E421AF">
        <w:rPr>
          <w:rFonts w:ascii="Arial" w:hAnsi="Arial" w:cs="Arial"/>
          <w:b/>
        </w:rPr>
        <w:t xml:space="preserve">lectroconvulsive </w:t>
      </w:r>
      <w:r w:rsidRPr="00197C50">
        <w:rPr>
          <w:rFonts w:ascii="Arial" w:hAnsi="Arial" w:cs="Arial"/>
          <w:b/>
        </w:rPr>
        <w:t>T</w:t>
      </w:r>
      <w:r w:rsidR="00E421AF">
        <w:rPr>
          <w:rFonts w:ascii="Arial" w:hAnsi="Arial" w:cs="Arial"/>
          <w:b/>
        </w:rPr>
        <w:t>reatment</w:t>
      </w:r>
      <w:r w:rsidR="00797D37">
        <w:rPr>
          <w:rFonts w:ascii="Arial" w:hAnsi="Arial" w:cs="Arial"/>
          <w:b/>
        </w:rPr>
        <w:tab/>
      </w:r>
      <w:r w:rsidR="00797D37">
        <w:rPr>
          <w:rFonts w:ascii="Arial" w:hAnsi="Arial" w:cs="Arial"/>
          <w:b/>
        </w:rPr>
        <w:tab/>
        <w:t xml:space="preserve">      10</w:t>
      </w:r>
    </w:p>
    <w:p w14:paraId="5C4DEFD2" w14:textId="77777777" w:rsidR="00FA73F5" w:rsidRPr="000601D3" w:rsidRDefault="00FA73F5" w:rsidP="000601D3">
      <w:pPr>
        <w:spacing w:after="120"/>
        <w:contextualSpacing/>
        <w:jc w:val="both"/>
        <w:rPr>
          <w:rFonts w:ascii="Arial" w:eastAsia="Times" w:hAnsi="Arial" w:cs="Arial"/>
        </w:rPr>
      </w:pPr>
    </w:p>
    <w:p w14:paraId="07FA36E7" w14:textId="77777777" w:rsidR="00FA73F5" w:rsidRPr="000601D3" w:rsidRDefault="00FA73F5" w:rsidP="00E74801">
      <w:pPr>
        <w:spacing w:after="120"/>
        <w:contextualSpacing/>
        <w:jc w:val="both"/>
        <w:rPr>
          <w:rFonts w:ascii="Arial" w:eastAsia="Times" w:hAnsi="Arial" w:cs="Arial"/>
        </w:rPr>
      </w:pPr>
      <w:r w:rsidRPr="000601D3">
        <w:rPr>
          <w:rFonts w:ascii="Arial" w:eastAsia="Times" w:hAnsi="Arial" w:cs="Arial"/>
        </w:rPr>
        <w:t>5.1  Capacity to provide informed consent</w:t>
      </w:r>
    </w:p>
    <w:p w14:paraId="2518F0F8" w14:textId="77777777" w:rsidR="00FA73F5" w:rsidRPr="000601D3" w:rsidRDefault="00FA73F5" w:rsidP="00E74801">
      <w:pPr>
        <w:spacing w:after="120"/>
        <w:contextualSpacing/>
        <w:jc w:val="both"/>
        <w:rPr>
          <w:rFonts w:ascii="Arial" w:eastAsia="Times" w:hAnsi="Arial" w:cs="Arial"/>
        </w:rPr>
      </w:pPr>
    </w:p>
    <w:p w14:paraId="32F294AF" w14:textId="77777777" w:rsidR="00FA73F5" w:rsidRPr="000601D3" w:rsidRDefault="00FA73F5" w:rsidP="00E74801">
      <w:pPr>
        <w:spacing w:after="120"/>
        <w:contextualSpacing/>
        <w:jc w:val="both"/>
        <w:rPr>
          <w:rFonts w:ascii="Arial" w:eastAsia="Times" w:hAnsi="Arial" w:cs="Arial"/>
        </w:rPr>
      </w:pPr>
      <w:r w:rsidRPr="000601D3">
        <w:rPr>
          <w:rFonts w:ascii="Arial" w:eastAsia="Times" w:hAnsi="Arial" w:cs="Arial"/>
        </w:rPr>
        <w:t>5.2  Least restrictive treatment</w:t>
      </w:r>
    </w:p>
    <w:p w14:paraId="249AB42A" w14:textId="5DFE7CF5" w:rsidR="00197C50" w:rsidRDefault="00197C50" w:rsidP="000601D3">
      <w:pPr>
        <w:spacing w:after="120"/>
        <w:contextualSpacing/>
        <w:jc w:val="both"/>
        <w:rPr>
          <w:rFonts w:ascii="Arial" w:eastAsia="Times" w:hAnsi="Arial" w:cs="Arial"/>
        </w:rPr>
      </w:pPr>
    </w:p>
    <w:p w14:paraId="070CAAB5" w14:textId="77777777" w:rsidR="00197C50" w:rsidRPr="000601D3" w:rsidRDefault="00197C50" w:rsidP="000601D3">
      <w:pPr>
        <w:spacing w:after="120"/>
        <w:contextualSpacing/>
        <w:jc w:val="both"/>
        <w:rPr>
          <w:rFonts w:ascii="Arial" w:eastAsia="Times" w:hAnsi="Arial" w:cs="Arial"/>
        </w:rPr>
      </w:pPr>
    </w:p>
    <w:p w14:paraId="028FBCDE" w14:textId="77777777" w:rsidR="00FA73F5" w:rsidRPr="00197C50" w:rsidRDefault="00FA73F5" w:rsidP="000601D3">
      <w:pPr>
        <w:keepNext/>
        <w:keepLines/>
        <w:spacing w:before="240" w:after="90"/>
        <w:contextualSpacing/>
        <w:outlineLvl w:val="1"/>
        <w:rPr>
          <w:rFonts w:ascii="Arial" w:hAnsi="Arial" w:cs="Arial"/>
          <w:b/>
          <w:caps/>
        </w:rPr>
      </w:pPr>
      <w:r w:rsidRPr="00197C50">
        <w:rPr>
          <w:rFonts w:ascii="Arial" w:hAnsi="Arial" w:cs="Arial"/>
          <w:b/>
          <w:caps/>
        </w:rPr>
        <w:t>Part B:</w:t>
      </w:r>
      <w:r w:rsidRPr="00197C50">
        <w:rPr>
          <w:rFonts w:ascii="Arial" w:hAnsi="Arial" w:cs="Arial"/>
          <w:b/>
          <w:caps/>
        </w:rPr>
        <w:tab/>
      </w:r>
      <w:r w:rsidRPr="00197C50">
        <w:rPr>
          <w:rFonts w:ascii="Arial" w:hAnsi="Arial" w:cs="Arial"/>
          <w:b/>
          <w:caps/>
        </w:rPr>
        <w:tab/>
        <w:t>Response to Questions</w:t>
      </w:r>
    </w:p>
    <w:p w14:paraId="5F4D3FA0" w14:textId="0BFDA438" w:rsidR="00FA73F5" w:rsidRDefault="00FA73F5" w:rsidP="000601D3">
      <w:pPr>
        <w:spacing w:after="120"/>
        <w:contextualSpacing/>
        <w:jc w:val="both"/>
        <w:rPr>
          <w:rFonts w:ascii="Arial" w:eastAsia="Times" w:hAnsi="Arial" w:cs="Arial"/>
        </w:rPr>
      </w:pPr>
    </w:p>
    <w:p w14:paraId="1C91B03E" w14:textId="77777777" w:rsidR="00197C50" w:rsidRPr="000601D3" w:rsidRDefault="00197C50" w:rsidP="000601D3">
      <w:pPr>
        <w:spacing w:after="120"/>
        <w:contextualSpacing/>
        <w:jc w:val="both"/>
        <w:rPr>
          <w:rFonts w:ascii="Arial" w:eastAsia="Times" w:hAnsi="Arial" w:cs="Arial"/>
        </w:rPr>
      </w:pPr>
    </w:p>
    <w:p w14:paraId="515D9968" w14:textId="77777777" w:rsidR="00797D37" w:rsidRDefault="00FA73F5" w:rsidP="000601D3">
      <w:pPr>
        <w:keepNext/>
        <w:keepLines/>
        <w:spacing w:before="240" w:after="90"/>
        <w:contextualSpacing/>
        <w:jc w:val="both"/>
        <w:outlineLvl w:val="1"/>
        <w:rPr>
          <w:rFonts w:ascii="Arial" w:hAnsi="Arial" w:cs="Arial"/>
          <w:b/>
        </w:rPr>
      </w:pPr>
      <w:r w:rsidRPr="00197C50">
        <w:rPr>
          <w:rFonts w:ascii="Arial" w:hAnsi="Arial" w:cs="Arial"/>
          <w:b/>
        </w:rPr>
        <w:t xml:space="preserve">1.  What makes it hard for people to experience good mental health and what </w:t>
      </w:r>
    </w:p>
    <w:p w14:paraId="318ED90F" w14:textId="47D23983" w:rsidR="00FA73F5" w:rsidRPr="00197C50" w:rsidRDefault="00FA73F5" w:rsidP="000601D3">
      <w:pPr>
        <w:keepNext/>
        <w:keepLines/>
        <w:spacing w:before="240" w:after="90"/>
        <w:contextualSpacing/>
        <w:jc w:val="both"/>
        <w:outlineLvl w:val="1"/>
        <w:rPr>
          <w:rFonts w:ascii="Arial" w:hAnsi="Arial" w:cs="Arial"/>
          <w:b/>
        </w:rPr>
      </w:pPr>
      <w:r w:rsidRPr="00197C50">
        <w:rPr>
          <w:rFonts w:ascii="Arial" w:hAnsi="Arial" w:cs="Arial"/>
          <w:b/>
        </w:rPr>
        <w:t>can be done to improve this (question 4)?</w:t>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t xml:space="preserve">      13</w:t>
      </w:r>
    </w:p>
    <w:p w14:paraId="5029EF90" w14:textId="14B3AA0D" w:rsidR="00FA73F5" w:rsidRDefault="00FA73F5" w:rsidP="000601D3">
      <w:pPr>
        <w:keepNext/>
        <w:keepLines/>
        <w:spacing w:before="280" w:after="120"/>
        <w:contextualSpacing/>
        <w:jc w:val="both"/>
        <w:outlineLvl w:val="2"/>
        <w:rPr>
          <w:rFonts w:ascii="Arial" w:eastAsia="MS Gothic" w:hAnsi="Arial" w:cs="Arial"/>
          <w:bCs/>
        </w:rPr>
      </w:pPr>
    </w:p>
    <w:p w14:paraId="73D83C5A" w14:textId="77777777" w:rsidR="00FA73F5" w:rsidRPr="00E74801" w:rsidRDefault="00FA73F5" w:rsidP="000601D3">
      <w:pPr>
        <w:keepNext/>
        <w:keepLines/>
        <w:spacing w:before="280" w:after="120"/>
        <w:contextualSpacing/>
        <w:jc w:val="both"/>
        <w:outlineLvl w:val="2"/>
        <w:rPr>
          <w:rFonts w:ascii="Arial" w:eastAsia="MS Gothic" w:hAnsi="Arial" w:cs="Arial"/>
          <w:bCs/>
        </w:rPr>
      </w:pPr>
      <w:r w:rsidRPr="00E74801">
        <w:rPr>
          <w:rFonts w:ascii="Arial" w:eastAsia="MS Gothic" w:hAnsi="Arial" w:cs="Arial"/>
          <w:bCs/>
        </w:rPr>
        <w:t>1.1  There are a range of mental health services but there is not a coherent mental health system</w:t>
      </w:r>
    </w:p>
    <w:p w14:paraId="49904F1E" w14:textId="77777777" w:rsidR="00FA73F5" w:rsidRPr="000601D3" w:rsidRDefault="00FA73F5" w:rsidP="000601D3">
      <w:pPr>
        <w:spacing w:before="240" w:after="200"/>
        <w:contextualSpacing/>
        <w:jc w:val="both"/>
        <w:rPr>
          <w:rFonts w:ascii="Arial" w:eastAsiaTheme="minorHAnsi" w:hAnsi="Arial" w:cs="Arial"/>
        </w:rPr>
      </w:pPr>
    </w:p>
    <w:p w14:paraId="6635B9E8" w14:textId="77777777" w:rsidR="00FA73F5" w:rsidRPr="000601D3" w:rsidRDefault="00FA73F5" w:rsidP="00197C50">
      <w:pPr>
        <w:spacing w:before="240" w:after="200"/>
        <w:ind w:left="720"/>
        <w:contextualSpacing/>
        <w:jc w:val="both"/>
        <w:rPr>
          <w:rFonts w:ascii="Arial" w:eastAsiaTheme="minorHAnsi" w:hAnsi="Arial" w:cs="Arial"/>
        </w:rPr>
      </w:pPr>
      <w:r w:rsidRPr="000601D3">
        <w:rPr>
          <w:rFonts w:ascii="Arial" w:eastAsiaTheme="minorHAnsi" w:hAnsi="Arial" w:cs="Arial"/>
        </w:rPr>
        <w:t>1.1.1  Internal silos</w:t>
      </w:r>
    </w:p>
    <w:p w14:paraId="3629D957" w14:textId="77777777" w:rsidR="00FA73F5" w:rsidRPr="000601D3" w:rsidRDefault="00FA73F5" w:rsidP="00197C50">
      <w:pPr>
        <w:spacing w:before="240" w:after="200"/>
        <w:ind w:left="720"/>
        <w:contextualSpacing/>
        <w:jc w:val="both"/>
        <w:rPr>
          <w:rFonts w:ascii="Arial" w:eastAsiaTheme="minorHAnsi" w:hAnsi="Arial" w:cs="Arial"/>
        </w:rPr>
      </w:pPr>
    </w:p>
    <w:p w14:paraId="1A39940A" w14:textId="77777777" w:rsidR="00FA73F5" w:rsidRPr="000601D3" w:rsidRDefault="00FA73F5" w:rsidP="00197C50">
      <w:pPr>
        <w:spacing w:before="240" w:after="200"/>
        <w:ind w:left="1440"/>
        <w:contextualSpacing/>
        <w:jc w:val="both"/>
        <w:rPr>
          <w:rFonts w:ascii="Arial" w:eastAsiaTheme="minorHAnsi" w:hAnsi="Arial" w:cs="Arial"/>
          <w:i/>
        </w:rPr>
      </w:pPr>
      <w:r w:rsidRPr="000601D3">
        <w:rPr>
          <w:rFonts w:ascii="Arial" w:eastAsiaTheme="minorHAnsi" w:hAnsi="Arial" w:cs="Arial"/>
          <w:i/>
        </w:rPr>
        <w:t>1.1.1(a)  Collaboration between inpatient and community treating teams</w:t>
      </w:r>
    </w:p>
    <w:p w14:paraId="59B6430B" w14:textId="77777777" w:rsidR="00FA73F5" w:rsidRPr="000601D3" w:rsidRDefault="00FA73F5" w:rsidP="00197C50">
      <w:pPr>
        <w:spacing w:before="240" w:after="200"/>
        <w:ind w:left="1440"/>
        <w:contextualSpacing/>
        <w:jc w:val="both"/>
        <w:rPr>
          <w:rFonts w:ascii="Arial" w:eastAsiaTheme="minorHAnsi" w:hAnsi="Arial" w:cs="Arial"/>
          <w:i/>
        </w:rPr>
      </w:pPr>
      <w:r w:rsidRPr="000601D3">
        <w:rPr>
          <w:rFonts w:ascii="Arial" w:eastAsiaTheme="minorHAnsi" w:hAnsi="Arial" w:cs="Arial"/>
          <w:i/>
        </w:rPr>
        <w:t>1.1.1(b)  Moving between different levels of care</w:t>
      </w:r>
    </w:p>
    <w:p w14:paraId="4036D791" w14:textId="77777777" w:rsidR="00FA73F5" w:rsidRPr="000601D3" w:rsidRDefault="00FA73F5" w:rsidP="00197C50">
      <w:pPr>
        <w:spacing w:before="240" w:after="200"/>
        <w:ind w:left="720"/>
        <w:contextualSpacing/>
        <w:jc w:val="both"/>
        <w:rPr>
          <w:rFonts w:ascii="Arial" w:eastAsiaTheme="minorHAnsi" w:hAnsi="Arial" w:cs="Arial"/>
        </w:rPr>
      </w:pPr>
    </w:p>
    <w:p w14:paraId="34E7434E" w14:textId="77777777" w:rsidR="00FA73F5" w:rsidRPr="000601D3" w:rsidRDefault="00FA73F5" w:rsidP="00197C50">
      <w:pPr>
        <w:spacing w:before="240" w:after="200"/>
        <w:ind w:left="720"/>
        <w:contextualSpacing/>
        <w:jc w:val="both"/>
        <w:rPr>
          <w:rFonts w:ascii="Arial" w:eastAsiaTheme="minorHAnsi" w:hAnsi="Arial" w:cs="Arial"/>
        </w:rPr>
      </w:pPr>
      <w:r w:rsidRPr="000601D3">
        <w:rPr>
          <w:rFonts w:ascii="Arial" w:eastAsiaTheme="minorHAnsi" w:hAnsi="Arial" w:cs="Arial"/>
        </w:rPr>
        <w:t>1.1.2  External silos</w:t>
      </w:r>
    </w:p>
    <w:p w14:paraId="270DC561" w14:textId="77777777" w:rsidR="00FA73F5" w:rsidRPr="000601D3" w:rsidRDefault="00FA73F5" w:rsidP="00197C50">
      <w:pPr>
        <w:spacing w:before="240" w:after="200"/>
        <w:ind w:left="720"/>
        <w:contextualSpacing/>
        <w:jc w:val="both"/>
        <w:rPr>
          <w:rFonts w:ascii="Arial" w:eastAsiaTheme="minorHAnsi" w:hAnsi="Arial" w:cs="Arial"/>
        </w:rPr>
      </w:pPr>
    </w:p>
    <w:p w14:paraId="5659DD00" w14:textId="77777777" w:rsidR="00FA73F5" w:rsidRPr="000601D3" w:rsidRDefault="00FA73F5" w:rsidP="00197C50">
      <w:pPr>
        <w:spacing w:before="240" w:after="200"/>
        <w:ind w:left="1440"/>
        <w:contextualSpacing/>
        <w:jc w:val="both"/>
        <w:rPr>
          <w:rFonts w:ascii="Arial" w:eastAsiaTheme="minorHAnsi" w:hAnsi="Arial" w:cs="Arial"/>
          <w:i/>
        </w:rPr>
      </w:pPr>
      <w:r w:rsidRPr="000601D3">
        <w:rPr>
          <w:rFonts w:ascii="Arial" w:eastAsiaTheme="minorHAnsi" w:hAnsi="Arial" w:cs="Arial"/>
          <w:i/>
        </w:rPr>
        <w:t>1.1.2(a)  Lack of collaboration in relation to complex consumers</w:t>
      </w:r>
    </w:p>
    <w:p w14:paraId="5A5BCE7F" w14:textId="7DB8746B" w:rsidR="00FA73F5" w:rsidRPr="000601D3" w:rsidRDefault="00FA73F5" w:rsidP="00197C50">
      <w:pPr>
        <w:spacing w:before="240" w:after="200"/>
        <w:ind w:left="1440"/>
        <w:contextualSpacing/>
        <w:jc w:val="both"/>
        <w:rPr>
          <w:rFonts w:ascii="Arial" w:eastAsiaTheme="minorHAnsi" w:hAnsi="Arial" w:cs="Arial"/>
          <w:i/>
        </w:rPr>
      </w:pPr>
      <w:r w:rsidRPr="000601D3">
        <w:rPr>
          <w:rFonts w:ascii="Arial" w:eastAsiaTheme="minorHAnsi" w:hAnsi="Arial" w:cs="Arial"/>
          <w:i/>
        </w:rPr>
        <w:t>1.1.2(b)  ‘Isolation’ of forensic mental health services</w:t>
      </w:r>
    </w:p>
    <w:p w14:paraId="62B42531" w14:textId="5A12C1E0" w:rsidR="00FA73F5" w:rsidRDefault="00FA73F5" w:rsidP="00197C50">
      <w:pPr>
        <w:keepNext/>
        <w:keepLines/>
        <w:spacing w:before="280" w:after="120"/>
        <w:ind w:left="720"/>
        <w:contextualSpacing/>
        <w:jc w:val="both"/>
        <w:outlineLvl w:val="2"/>
        <w:rPr>
          <w:rFonts w:ascii="Arial" w:eastAsia="MS Gothic" w:hAnsi="Arial" w:cs="Arial"/>
          <w:bCs/>
        </w:rPr>
      </w:pPr>
    </w:p>
    <w:p w14:paraId="1CA499F9" w14:textId="77777777" w:rsidR="00197C50" w:rsidRPr="000601D3" w:rsidRDefault="00197C50" w:rsidP="00197C50">
      <w:pPr>
        <w:keepNext/>
        <w:keepLines/>
        <w:spacing w:before="280" w:after="120"/>
        <w:ind w:left="720"/>
        <w:contextualSpacing/>
        <w:jc w:val="both"/>
        <w:outlineLvl w:val="2"/>
        <w:rPr>
          <w:rFonts w:ascii="Arial" w:eastAsia="MS Gothic" w:hAnsi="Arial" w:cs="Arial"/>
          <w:bCs/>
        </w:rPr>
      </w:pPr>
    </w:p>
    <w:p w14:paraId="3403A8EF" w14:textId="7583B9A9" w:rsidR="00FA73F5" w:rsidRPr="00E74801" w:rsidRDefault="00FA73F5" w:rsidP="00197C50">
      <w:pPr>
        <w:keepNext/>
        <w:keepLines/>
        <w:spacing w:before="280" w:after="120"/>
        <w:contextualSpacing/>
        <w:jc w:val="both"/>
        <w:outlineLvl w:val="2"/>
        <w:rPr>
          <w:rFonts w:ascii="Arial" w:eastAsia="MS Gothic" w:hAnsi="Arial" w:cs="Arial"/>
          <w:bCs/>
        </w:rPr>
      </w:pPr>
      <w:r w:rsidRPr="00E74801">
        <w:rPr>
          <w:rFonts w:ascii="Arial" w:eastAsia="MS Gothic" w:hAnsi="Arial" w:cs="Arial"/>
          <w:bCs/>
        </w:rPr>
        <w:t xml:space="preserve">1.2  </w:t>
      </w:r>
      <w:r w:rsidR="007259EB" w:rsidRPr="00E74801">
        <w:rPr>
          <w:rFonts w:ascii="Arial" w:eastAsia="MS Gothic" w:hAnsi="Arial" w:cs="Arial"/>
          <w:bCs/>
        </w:rPr>
        <w:t>The impacts of l</w:t>
      </w:r>
      <w:r w:rsidRPr="00E74801">
        <w:rPr>
          <w:rFonts w:ascii="Arial" w:eastAsia="MS Gothic" w:hAnsi="Arial" w:cs="Arial"/>
          <w:bCs/>
        </w:rPr>
        <w:t>imited resources / capacity</w:t>
      </w:r>
    </w:p>
    <w:p w14:paraId="0B74B464" w14:textId="77777777" w:rsidR="00FA73F5" w:rsidRPr="000601D3" w:rsidRDefault="00FA73F5" w:rsidP="00197C50">
      <w:pPr>
        <w:spacing w:after="120"/>
        <w:ind w:left="720"/>
        <w:contextualSpacing/>
        <w:jc w:val="both"/>
        <w:rPr>
          <w:rFonts w:ascii="Arial" w:eastAsia="Times" w:hAnsi="Arial" w:cs="Arial"/>
        </w:rPr>
      </w:pPr>
    </w:p>
    <w:p w14:paraId="4102BD96" w14:textId="4D996E2E" w:rsidR="00FA73F5" w:rsidRPr="000601D3" w:rsidRDefault="00FA73F5" w:rsidP="00197C50">
      <w:pPr>
        <w:spacing w:after="120"/>
        <w:ind w:left="720"/>
        <w:contextualSpacing/>
        <w:jc w:val="both"/>
        <w:rPr>
          <w:rFonts w:ascii="Arial" w:eastAsia="Times" w:hAnsi="Arial" w:cs="Arial"/>
        </w:rPr>
      </w:pPr>
      <w:r w:rsidRPr="000601D3">
        <w:rPr>
          <w:rFonts w:ascii="Arial" w:eastAsia="Times" w:hAnsi="Arial" w:cs="Arial"/>
        </w:rPr>
        <w:t xml:space="preserve">1.2.1  </w:t>
      </w:r>
      <w:r w:rsidR="007259EB" w:rsidRPr="007259EB">
        <w:rPr>
          <w:rFonts w:ascii="Arial" w:eastAsia="Times" w:hAnsi="Arial" w:cs="Arial"/>
        </w:rPr>
        <w:t>Short-lived therapeutic relationships – an impediment to realising the principles of the Act</w:t>
      </w:r>
    </w:p>
    <w:p w14:paraId="212FEAFA" w14:textId="77777777" w:rsidR="00FA73F5" w:rsidRPr="000601D3" w:rsidRDefault="00FA73F5" w:rsidP="00197C50">
      <w:pPr>
        <w:spacing w:after="120"/>
        <w:ind w:left="720"/>
        <w:contextualSpacing/>
        <w:jc w:val="both"/>
        <w:rPr>
          <w:rFonts w:ascii="Arial" w:eastAsia="Times" w:hAnsi="Arial" w:cs="Arial"/>
        </w:rPr>
      </w:pPr>
    </w:p>
    <w:p w14:paraId="3CF1B474" w14:textId="77777777" w:rsidR="00FA73F5" w:rsidRPr="000601D3" w:rsidRDefault="00FA73F5" w:rsidP="00197C50">
      <w:pPr>
        <w:spacing w:after="120"/>
        <w:ind w:left="720"/>
        <w:contextualSpacing/>
        <w:jc w:val="both"/>
        <w:rPr>
          <w:rFonts w:ascii="Arial" w:eastAsia="Times" w:hAnsi="Arial" w:cs="Arial"/>
        </w:rPr>
      </w:pPr>
      <w:r w:rsidRPr="000601D3">
        <w:rPr>
          <w:rFonts w:ascii="Arial" w:eastAsia="Times" w:hAnsi="Arial" w:cs="Arial"/>
        </w:rPr>
        <w:t>1.2.2  Medicalised model of treatment and service delivery</w:t>
      </w:r>
    </w:p>
    <w:p w14:paraId="1FA49F4F" w14:textId="77777777" w:rsidR="00FA73F5" w:rsidRPr="000601D3" w:rsidRDefault="00FA73F5" w:rsidP="00197C50">
      <w:pPr>
        <w:spacing w:after="120"/>
        <w:ind w:left="720"/>
        <w:contextualSpacing/>
        <w:jc w:val="both"/>
        <w:rPr>
          <w:rFonts w:ascii="Arial" w:eastAsia="Times" w:hAnsi="Arial" w:cs="Arial"/>
        </w:rPr>
      </w:pPr>
    </w:p>
    <w:p w14:paraId="4E5F040C" w14:textId="77777777" w:rsidR="00FA73F5" w:rsidRPr="000601D3" w:rsidRDefault="00FA73F5" w:rsidP="00197C50">
      <w:pPr>
        <w:spacing w:after="120"/>
        <w:ind w:left="720"/>
        <w:contextualSpacing/>
        <w:jc w:val="both"/>
        <w:rPr>
          <w:rFonts w:ascii="Arial" w:eastAsia="Times" w:hAnsi="Arial" w:cs="Arial"/>
        </w:rPr>
      </w:pPr>
      <w:r w:rsidRPr="000601D3">
        <w:rPr>
          <w:rFonts w:ascii="Arial" w:eastAsia="Times" w:hAnsi="Arial" w:cs="Arial"/>
        </w:rPr>
        <w:t>1.2.3  Inequality of access</w:t>
      </w:r>
    </w:p>
    <w:p w14:paraId="2E2B304E" w14:textId="71B3B900" w:rsidR="00FA73F5" w:rsidRDefault="00FA73F5" w:rsidP="000601D3">
      <w:pPr>
        <w:spacing w:after="120"/>
        <w:contextualSpacing/>
        <w:jc w:val="both"/>
        <w:rPr>
          <w:rFonts w:ascii="Arial" w:eastAsia="Times" w:hAnsi="Arial" w:cs="Arial"/>
        </w:rPr>
      </w:pPr>
    </w:p>
    <w:p w14:paraId="16CD2326" w14:textId="77777777" w:rsidR="00197C50" w:rsidRPr="000601D3" w:rsidRDefault="00197C50" w:rsidP="000601D3">
      <w:pPr>
        <w:spacing w:after="120"/>
        <w:contextualSpacing/>
        <w:jc w:val="both"/>
        <w:rPr>
          <w:rFonts w:ascii="Arial" w:eastAsia="Times" w:hAnsi="Arial" w:cs="Arial"/>
        </w:rPr>
      </w:pPr>
    </w:p>
    <w:p w14:paraId="1165FE0A" w14:textId="77777777" w:rsidR="00FA73F5" w:rsidRPr="00E74801" w:rsidRDefault="00FA73F5" w:rsidP="000601D3">
      <w:pPr>
        <w:keepNext/>
        <w:keepLines/>
        <w:spacing w:before="280" w:after="120"/>
        <w:contextualSpacing/>
        <w:jc w:val="both"/>
        <w:outlineLvl w:val="2"/>
        <w:rPr>
          <w:rFonts w:ascii="Arial" w:eastAsia="MS Gothic" w:hAnsi="Arial" w:cs="Arial"/>
          <w:bCs/>
        </w:rPr>
      </w:pPr>
      <w:r w:rsidRPr="00E74801">
        <w:rPr>
          <w:rFonts w:ascii="Arial" w:eastAsia="MS Gothic" w:hAnsi="Arial" w:cs="Arial"/>
          <w:bCs/>
        </w:rPr>
        <w:t>1.3  Lack of integrated supports and/or integration with equally stretched and limited support services.</w:t>
      </w:r>
    </w:p>
    <w:p w14:paraId="10CF7C8F" w14:textId="77777777" w:rsidR="00FA73F5" w:rsidRPr="000601D3" w:rsidRDefault="00FA73F5" w:rsidP="000601D3">
      <w:pPr>
        <w:spacing w:after="120"/>
        <w:contextualSpacing/>
        <w:jc w:val="both"/>
        <w:rPr>
          <w:rFonts w:ascii="Arial" w:eastAsia="Times" w:hAnsi="Arial" w:cs="Arial"/>
        </w:rPr>
      </w:pPr>
    </w:p>
    <w:p w14:paraId="02EA32E6" w14:textId="77777777" w:rsidR="00FA73F5" w:rsidRPr="000601D3" w:rsidRDefault="00FA73F5" w:rsidP="00197C50">
      <w:pPr>
        <w:spacing w:after="120"/>
        <w:ind w:left="720"/>
        <w:contextualSpacing/>
        <w:jc w:val="both"/>
        <w:rPr>
          <w:rFonts w:ascii="Arial" w:eastAsia="Times" w:hAnsi="Arial" w:cs="Arial"/>
        </w:rPr>
      </w:pPr>
      <w:r w:rsidRPr="000601D3">
        <w:rPr>
          <w:rFonts w:ascii="Arial" w:eastAsia="Times" w:hAnsi="Arial" w:cs="Arial"/>
        </w:rPr>
        <w:t>1.3.1  Housing</w:t>
      </w:r>
    </w:p>
    <w:p w14:paraId="6DAF56D4" w14:textId="77777777" w:rsidR="00FA73F5" w:rsidRPr="000601D3" w:rsidRDefault="00FA73F5" w:rsidP="00197C50">
      <w:pPr>
        <w:spacing w:after="120"/>
        <w:ind w:left="720"/>
        <w:contextualSpacing/>
        <w:jc w:val="both"/>
        <w:rPr>
          <w:rFonts w:ascii="Arial" w:eastAsia="Times" w:hAnsi="Arial" w:cs="Arial"/>
        </w:rPr>
      </w:pPr>
    </w:p>
    <w:p w14:paraId="331E7169" w14:textId="281448DE" w:rsidR="00FA73F5" w:rsidRPr="000601D3" w:rsidRDefault="00FA73F5" w:rsidP="00197C50">
      <w:pPr>
        <w:spacing w:after="120"/>
        <w:ind w:left="720"/>
        <w:contextualSpacing/>
        <w:jc w:val="both"/>
        <w:rPr>
          <w:rFonts w:ascii="Arial" w:eastAsia="Times" w:hAnsi="Arial" w:cs="Arial"/>
        </w:rPr>
      </w:pPr>
      <w:r w:rsidRPr="000601D3">
        <w:rPr>
          <w:rFonts w:ascii="Arial" w:eastAsia="Times" w:hAnsi="Arial" w:cs="Arial"/>
        </w:rPr>
        <w:t>1.3.2  A</w:t>
      </w:r>
      <w:r w:rsidR="000A5B9A">
        <w:rPr>
          <w:rFonts w:ascii="Arial" w:eastAsia="Times" w:hAnsi="Arial" w:cs="Arial"/>
        </w:rPr>
        <w:t xml:space="preserve">lcohol and </w:t>
      </w:r>
      <w:r w:rsidRPr="000601D3">
        <w:rPr>
          <w:rFonts w:ascii="Arial" w:eastAsia="Times" w:hAnsi="Arial" w:cs="Arial"/>
        </w:rPr>
        <w:t>O</w:t>
      </w:r>
      <w:r w:rsidR="000A5B9A">
        <w:rPr>
          <w:rFonts w:ascii="Arial" w:eastAsia="Times" w:hAnsi="Arial" w:cs="Arial"/>
        </w:rPr>
        <w:t xml:space="preserve">ther </w:t>
      </w:r>
      <w:r w:rsidRPr="000601D3">
        <w:rPr>
          <w:rFonts w:ascii="Arial" w:eastAsia="Times" w:hAnsi="Arial" w:cs="Arial"/>
        </w:rPr>
        <w:t>D</w:t>
      </w:r>
      <w:r w:rsidR="000A5B9A">
        <w:rPr>
          <w:rFonts w:ascii="Arial" w:eastAsia="Times" w:hAnsi="Arial" w:cs="Arial"/>
        </w:rPr>
        <w:t>rug Treatment S</w:t>
      </w:r>
      <w:r w:rsidRPr="000601D3">
        <w:rPr>
          <w:rFonts w:ascii="Arial" w:eastAsia="Times" w:hAnsi="Arial" w:cs="Arial"/>
        </w:rPr>
        <w:t>ervices</w:t>
      </w:r>
    </w:p>
    <w:p w14:paraId="31F18BAF" w14:textId="77777777" w:rsidR="00FA73F5" w:rsidRPr="000601D3" w:rsidRDefault="00FA73F5" w:rsidP="00197C50">
      <w:pPr>
        <w:spacing w:after="120"/>
        <w:ind w:left="720"/>
        <w:contextualSpacing/>
        <w:jc w:val="both"/>
        <w:rPr>
          <w:rFonts w:ascii="Arial" w:eastAsia="Times" w:hAnsi="Arial" w:cs="Arial"/>
        </w:rPr>
      </w:pPr>
    </w:p>
    <w:p w14:paraId="62D2A800" w14:textId="7DB74F4B" w:rsidR="00FA73F5" w:rsidRPr="000601D3" w:rsidRDefault="00FA73F5" w:rsidP="00197C50">
      <w:pPr>
        <w:spacing w:after="120"/>
        <w:ind w:left="720"/>
        <w:contextualSpacing/>
        <w:jc w:val="both"/>
        <w:rPr>
          <w:rFonts w:ascii="Arial" w:eastAsia="Times" w:hAnsi="Arial" w:cs="Arial"/>
        </w:rPr>
      </w:pPr>
      <w:r w:rsidRPr="000601D3">
        <w:rPr>
          <w:rFonts w:ascii="Arial" w:eastAsia="Times" w:hAnsi="Arial" w:cs="Arial"/>
        </w:rPr>
        <w:t>1.3.3  N</w:t>
      </w:r>
      <w:r w:rsidR="000A5B9A">
        <w:rPr>
          <w:rFonts w:ascii="Arial" w:eastAsia="Times" w:hAnsi="Arial" w:cs="Arial"/>
        </w:rPr>
        <w:t xml:space="preserve">ational </w:t>
      </w:r>
      <w:r w:rsidRPr="000601D3">
        <w:rPr>
          <w:rFonts w:ascii="Arial" w:eastAsia="Times" w:hAnsi="Arial" w:cs="Arial"/>
        </w:rPr>
        <w:t>D</w:t>
      </w:r>
      <w:r w:rsidR="000A5B9A">
        <w:rPr>
          <w:rFonts w:ascii="Arial" w:eastAsia="Times" w:hAnsi="Arial" w:cs="Arial"/>
        </w:rPr>
        <w:t xml:space="preserve">isability </w:t>
      </w:r>
      <w:r w:rsidRPr="000601D3">
        <w:rPr>
          <w:rFonts w:ascii="Arial" w:eastAsia="Times" w:hAnsi="Arial" w:cs="Arial"/>
        </w:rPr>
        <w:t>I</w:t>
      </w:r>
      <w:r w:rsidR="000A5B9A">
        <w:rPr>
          <w:rFonts w:ascii="Arial" w:eastAsia="Times" w:hAnsi="Arial" w:cs="Arial"/>
        </w:rPr>
        <w:t xml:space="preserve">nsurance </w:t>
      </w:r>
      <w:r w:rsidRPr="000601D3">
        <w:rPr>
          <w:rFonts w:ascii="Arial" w:eastAsia="Times" w:hAnsi="Arial" w:cs="Arial"/>
        </w:rPr>
        <w:t>S</w:t>
      </w:r>
      <w:r w:rsidR="000A5B9A">
        <w:rPr>
          <w:rFonts w:ascii="Arial" w:eastAsia="Times" w:hAnsi="Arial" w:cs="Arial"/>
        </w:rPr>
        <w:t>cheme</w:t>
      </w:r>
    </w:p>
    <w:p w14:paraId="4683E0B7" w14:textId="56CA1CE1" w:rsidR="00FA73F5" w:rsidRDefault="00FA73F5" w:rsidP="000601D3">
      <w:pPr>
        <w:spacing w:after="120"/>
        <w:contextualSpacing/>
        <w:jc w:val="both"/>
        <w:rPr>
          <w:rFonts w:ascii="Arial" w:eastAsia="Times" w:hAnsi="Arial" w:cs="Arial"/>
        </w:rPr>
      </w:pPr>
    </w:p>
    <w:p w14:paraId="22C2C6CC" w14:textId="77777777" w:rsidR="00197C50" w:rsidRPr="000601D3" w:rsidRDefault="00197C50" w:rsidP="000601D3">
      <w:pPr>
        <w:spacing w:after="120"/>
        <w:contextualSpacing/>
        <w:jc w:val="both"/>
        <w:rPr>
          <w:rFonts w:ascii="Arial" w:eastAsia="Times" w:hAnsi="Arial" w:cs="Arial"/>
        </w:rPr>
      </w:pPr>
    </w:p>
    <w:p w14:paraId="45374786" w14:textId="77777777" w:rsidR="00FA73F5" w:rsidRPr="00E74801" w:rsidRDefault="00FA73F5" w:rsidP="000601D3">
      <w:pPr>
        <w:keepNext/>
        <w:keepLines/>
        <w:spacing w:before="280" w:after="120"/>
        <w:contextualSpacing/>
        <w:jc w:val="both"/>
        <w:outlineLvl w:val="2"/>
        <w:rPr>
          <w:rFonts w:ascii="Arial" w:eastAsia="MS Gothic" w:hAnsi="Arial" w:cs="Arial"/>
          <w:bCs/>
        </w:rPr>
      </w:pPr>
      <w:r w:rsidRPr="00E74801">
        <w:rPr>
          <w:rFonts w:ascii="Arial" w:eastAsia="MS Gothic" w:hAnsi="Arial" w:cs="Arial"/>
          <w:bCs/>
        </w:rPr>
        <w:t>1.4  Inadequate responses to individuals with multiple and complex needs</w:t>
      </w:r>
    </w:p>
    <w:p w14:paraId="0C0EBFA3" w14:textId="77777777" w:rsidR="00FA73F5" w:rsidRPr="000601D3" w:rsidRDefault="00FA73F5" w:rsidP="000601D3">
      <w:pPr>
        <w:spacing w:after="120"/>
        <w:contextualSpacing/>
        <w:jc w:val="both"/>
        <w:rPr>
          <w:rFonts w:ascii="Arial" w:eastAsia="Times" w:hAnsi="Arial" w:cs="Arial"/>
        </w:rPr>
      </w:pPr>
    </w:p>
    <w:p w14:paraId="2CDA78E7" w14:textId="77777777" w:rsidR="00FA73F5" w:rsidRPr="000601D3" w:rsidRDefault="00FA73F5" w:rsidP="00197C50">
      <w:pPr>
        <w:spacing w:after="120"/>
        <w:ind w:left="720"/>
        <w:contextualSpacing/>
        <w:jc w:val="both"/>
        <w:rPr>
          <w:rFonts w:ascii="Arial" w:eastAsia="Times" w:hAnsi="Arial" w:cs="Arial"/>
        </w:rPr>
      </w:pPr>
      <w:r w:rsidRPr="000601D3">
        <w:rPr>
          <w:rFonts w:ascii="Arial" w:eastAsia="Times" w:hAnsi="Arial" w:cs="Arial"/>
        </w:rPr>
        <w:t>1.4.1  Complex case management by the Tribunal</w:t>
      </w:r>
    </w:p>
    <w:p w14:paraId="545D0198" w14:textId="57565CE0" w:rsidR="00FA73F5" w:rsidRDefault="00FA73F5" w:rsidP="000601D3">
      <w:pPr>
        <w:spacing w:after="120"/>
        <w:contextualSpacing/>
        <w:jc w:val="both"/>
        <w:rPr>
          <w:rFonts w:ascii="Arial" w:eastAsia="Times" w:hAnsi="Arial" w:cs="Arial"/>
        </w:rPr>
      </w:pPr>
    </w:p>
    <w:p w14:paraId="2735E680" w14:textId="77777777" w:rsidR="00AE30CB" w:rsidRPr="000601D3" w:rsidRDefault="00AE30CB" w:rsidP="000601D3">
      <w:pPr>
        <w:spacing w:after="120"/>
        <w:contextualSpacing/>
        <w:jc w:val="both"/>
        <w:rPr>
          <w:rFonts w:ascii="Arial" w:eastAsia="Times" w:hAnsi="Arial" w:cs="Arial"/>
        </w:rPr>
      </w:pPr>
    </w:p>
    <w:p w14:paraId="587D206B" w14:textId="759DFDC6" w:rsidR="00FA73F5" w:rsidRPr="00E74801" w:rsidRDefault="00FA73F5" w:rsidP="000601D3">
      <w:pPr>
        <w:spacing w:after="120"/>
        <w:contextualSpacing/>
        <w:jc w:val="both"/>
        <w:rPr>
          <w:rFonts w:ascii="Arial" w:eastAsia="Times" w:hAnsi="Arial" w:cs="Arial"/>
        </w:rPr>
      </w:pPr>
      <w:r w:rsidRPr="00E74801">
        <w:rPr>
          <w:rFonts w:ascii="Arial" w:eastAsia="Times" w:hAnsi="Arial" w:cs="Arial"/>
        </w:rPr>
        <w:t>1.5  Limited services for people with severe and enduring mental illness</w:t>
      </w:r>
    </w:p>
    <w:p w14:paraId="53519B49" w14:textId="25513888" w:rsidR="00FA73F5" w:rsidRDefault="00FA73F5" w:rsidP="000601D3">
      <w:pPr>
        <w:spacing w:after="120"/>
        <w:contextualSpacing/>
        <w:jc w:val="both"/>
        <w:rPr>
          <w:rFonts w:ascii="Arial" w:eastAsia="Times" w:hAnsi="Arial" w:cs="Arial"/>
        </w:rPr>
      </w:pPr>
    </w:p>
    <w:p w14:paraId="37F28AA1" w14:textId="6EBD186E" w:rsidR="00197C50" w:rsidRDefault="00197C50" w:rsidP="000601D3">
      <w:pPr>
        <w:spacing w:after="120"/>
        <w:contextualSpacing/>
        <w:jc w:val="both"/>
        <w:rPr>
          <w:rFonts w:ascii="Arial" w:eastAsia="Times" w:hAnsi="Arial" w:cs="Arial"/>
        </w:rPr>
      </w:pPr>
    </w:p>
    <w:p w14:paraId="2CE63449" w14:textId="77777777" w:rsidR="00797D37" w:rsidRDefault="00FA73F5" w:rsidP="000601D3">
      <w:pPr>
        <w:keepNext/>
        <w:keepLines/>
        <w:spacing w:before="240" w:after="90"/>
        <w:contextualSpacing/>
        <w:jc w:val="both"/>
        <w:outlineLvl w:val="1"/>
        <w:rPr>
          <w:rFonts w:ascii="Arial" w:hAnsi="Arial" w:cs="Arial"/>
          <w:b/>
        </w:rPr>
      </w:pPr>
      <w:r w:rsidRPr="00197C50">
        <w:rPr>
          <w:rFonts w:ascii="Arial" w:hAnsi="Arial" w:cs="Arial"/>
          <w:b/>
        </w:rPr>
        <w:t xml:space="preserve">2.  What are the needs of family members and carers and what can be </w:t>
      </w:r>
    </w:p>
    <w:p w14:paraId="6E7D9268" w14:textId="404527FA" w:rsidR="00FA73F5" w:rsidRPr="00197C50" w:rsidRDefault="00FA73F5" w:rsidP="000601D3">
      <w:pPr>
        <w:keepNext/>
        <w:keepLines/>
        <w:spacing w:before="240" w:after="90"/>
        <w:contextualSpacing/>
        <w:jc w:val="both"/>
        <w:outlineLvl w:val="1"/>
        <w:rPr>
          <w:rFonts w:ascii="Arial" w:hAnsi="Arial" w:cs="Arial"/>
          <w:b/>
        </w:rPr>
      </w:pPr>
      <w:r w:rsidRPr="00197C50">
        <w:rPr>
          <w:rFonts w:ascii="Arial" w:hAnsi="Arial" w:cs="Arial"/>
          <w:b/>
        </w:rPr>
        <w:t>done better to support them (question 6)?</w:t>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t xml:space="preserve">      25</w:t>
      </w:r>
    </w:p>
    <w:p w14:paraId="626695F1" w14:textId="77777777" w:rsidR="00FA73F5" w:rsidRPr="000601D3" w:rsidRDefault="00FA73F5" w:rsidP="000601D3">
      <w:pPr>
        <w:spacing w:after="120"/>
        <w:contextualSpacing/>
        <w:jc w:val="both"/>
        <w:rPr>
          <w:rFonts w:ascii="Arial" w:eastAsia="Times" w:hAnsi="Arial" w:cs="Arial"/>
        </w:rPr>
      </w:pPr>
    </w:p>
    <w:p w14:paraId="149329A0" w14:textId="77777777" w:rsidR="00FA73F5" w:rsidRPr="00E74801" w:rsidRDefault="00FA73F5" w:rsidP="000601D3">
      <w:pPr>
        <w:spacing w:after="120"/>
        <w:contextualSpacing/>
        <w:jc w:val="both"/>
        <w:rPr>
          <w:rFonts w:ascii="Arial" w:eastAsia="Times" w:hAnsi="Arial" w:cs="Arial"/>
        </w:rPr>
      </w:pPr>
      <w:r w:rsidRPr="00E74801">
        <w:rPr>
          <w:rFonts w:ascii="Arial" w:eastAsia="Times" w:hAnsi="Arial" w:cs="Arial"/>
        </w:rPr>
        <w:t>2.1  Involvement in decision making</w:t>
      </w:r>
    </w:p>
    <w:p w14:paraId="6CB0A841" w14:textId="77777777" w:rsidR="00FA73F5" w:rsidRPr="00197C50" w:rsidRDefault="00FA73F5" w:rsidP="000601D3">
      <w:pPr>
        <w:spacing w:after="120"/>
        <w:contextualSpacing/>
        <w:jc w:val="both"/>
        <w:rPr>
          <w:rFonts w:ascii="Arial" w:eastAsia="Times" w:hAnsi="Arial" w:cs="Arial"/>
        </w:rPr>
      </w:pPr>
    </w:p>
    <w:p w14:paraId="171C17D9" w14:textId="77777777" w:rsidR="00FA73F5" w:rsidRPr="00197C50" w:rsidRDefault="00FA73F5" w:rsidP="00197C50">
      <w:pPr>
        <w:spacing w:after="120"/>
        <w:ind w:left="720"/>
        <w:contextualSpacing/>
        <w:jc w:val="both"/>
        <w:rPr>
          <w:rFonts w:ascii="Arial" w:eastAsia="Times" w:hAnsi="Arial" w:cs="Arial"/>
        </w:rPr>
      </w:pPr>
      <w:r w:rsidRPr="00197C50">
        <w:rPr>
          <w:rFonts w:ascii="Arial" w:eastAsia="Times" w:hAnsi="Arial" w:cs="Arial"/>
        </w:rPr>
        <w:t>2.1.1  Practical barriers</w:t>
      </w:r>
    </w:p>
    <w:p w14:paraId="2BCBAF2F" w14:textId="77777777" w:rsidR="00FA73F5" w:rsidRPr="00197C50" w:rsidRDefault="00FA73F5" w:rsidP="00197C50">
      <w:pPr>
        <w:spacing w:after="120"/>
        <w:ind w:left="720"/>
        <w:contextualSpacing/>
        <w:jc w:val="both"/>
        <w:rPr>
          <w:rFonts w:ascii="Arial" w:eastAsia="Times" w:hAnsi="Arial" w:cs="Arial"/>
        </w:rPr>
      </w:pPr>
    </w:p>
    <w:p w14:paraId="4C4C9256" w14:textId="06344211" w:rsidR="00FA73F5" w:rsidRDefault="00FA73F5" w:rsidP="00197C50">
      <w:pPr>
        <w:spacing w:after="120"/>
        <w:ind w:left="720"/>
        <w:contextualSpacing/>
        <w:jc w:val="both"/>
        <w:rPr>
          <w:rFonts w:ascii="Arial" w:eastAsia="Times" w:hAnsi="Arial" w:cs="Arial"/>
        </w:rPr>
      </w:pPr>
      <w:r w:rsidRPr="00197C50">
        <w:rPr>
          <w:rFonts w:ascii="Arial" w:eastAsia="Times" w:hAnsi="Arial" w:cs="Arial"/>
        </w:rPr>
        <w:t>2.1.2  Substantive involvement</w:t>
      </w:r>
    </w:p>
    <w:p w14:paraId="0CB80E30" w14:textId="77777777" w:rsidR="00C4175C" w:rsidRPr="00C4175C" w:rsidRDefault="00C4175C" w:rsidP="00C4175C">
      <w:pPr>
        <w:spacing w:after="120"/>
        <w:ind w:left="720"/>
        <w:contextualSpacing/>
        <w:jc w:val="both"/>
        <w:rPr>
          <w:rFonts w:ascii="Arial" w:eastAsia="Times" w:hAnsi="Arial" w:cs="Arial"/>
          <w:i/>
        </w:rPr>
      </w:pPr>
    </w:p>
    <w:p w14:paraId="0C0502B6" w14:textId="4D25389A" w:rsidR="00C4175C" w:rsidRPr="00C4175C" w:rsidRDefault="00C4175C" w:rsidP="00C4175C">
      <w:pPr>
        <w:spacing w:after="120"/>
        <w:ind w:left="1440"/>
        <w:contextualSpacing/>
        <w:jc w:val="both"/>
        <w:rPr>
          <w:rFonts w:ascii="Arial" w:eastAsia="Times" w:hAnsi="Arial" w:cs="Arial"/>
          <w:i/>
        </w:rPr>
      </w:pPr>
      <w:r w:rsidRPr="00C4175C">
        <w:rPr>
          <w:rFonts w:ascii="Arial" w:eastAsia="Times" w:hAnsi="Arial" w:cs="Arial"/>
          <w:i/>
        </w:rPr>
        <w:t>2.</w:t>
      </w:r>
      <w:r>
        <w:rPr>
          <w:rFonts w:ascii="Arial" w:eastAsia="Times" w:hAnsi="Arial" w:cs="Arial"/>
          <w:i/>
        </w:rPr>
        <w:t>1.2(a)</w:t>
      </w:r>
      <w:r w:rsidRPr="00C4175C">
        <w:rPr>
          <w:rFonts w:ascii="Arial" w:eastAsia="Times" w:hAnsi="Arial" w:cs="Arial"/>
          <w:i/>
        </w:rPr>
        <w:t xml:space="preserve">  Confidentiality v. sharing of information</w:t>
      </w:r>
    </w:p>
    <w:p w14:paraId="3096D46B" w14:textId="77777777" w:rsidR="00FA73F5" w:rsidRPr="00197C50" w:rsidRDefault="00FA73F5" w:rsidP="00F66E38">
      <w:pPr>
        <w:spacing w:after="120"/>
        <w:contextualSpacing/>
        <w:jc w:val="both"/>
        <w:rPr>
          <w:rFonts w:ascii="Arial" w:eastAsia="Times" w:hAnsi="Arial" w:cs="Arial"/>
        </w:rPr>
      </w:pPr>
    </w:p>
    <w:p w14:paraId="0F8BF49D" w14:textId="77777777" w:rsidR="00FA73F5" w:rsidRPr="00E74801" w:rsidRDefault="00FA73F5" w:rsidP="00F66E38">
      <w:pPr>
        <w:spacing w:after="120"/>
        <w:contextualSpacing/>
        <w:jc w:val="both"/>
        <w:rPr>
          <w:rFonts w:ascii="Arial" w:eastAsia="Times" w:hAnsi="Arial" w:cs="Arial"/>
        </w:rPr>
      </w:pPr>
      <w:r w:rsidRPr="00E74801">
        <w:rPr>
          <w:rFonts w:ascii="Arial" w:eastAsia="Times" w:hAnsi="Arial" w:cs="Arial"/>
        </w:rPr>
        <w:t>2.2  Distinct needs but compatible interests</w:t>
      </w:r>
    </w:p>
    <w:p w14:paraId="7B0E1558" w14:textId="46984CAA" w:rsidR="00FA73F5" w:rsidRDefault="00FA73F5" w:rsidP="000601D3">
      <w:pPr>
        <w:spacing w:after="120"/>
        <w:contextualSpacing/>
        <w:jc w:val="both"/>
        <w:rPr>
          <w:rFonts w:ascii="Arial" w:eastAsia="Times" w:hAnsi="Arial" w:cs="Arial"/>
        </w:rPr>
      </w:pPr>
    </w:p>
    <w:p w14:paraId="5BC1DE70" w14:textId="77777777" w:rsidR="00197C50" w:rsidRPr="000601D3" w:rsidRDefault="00197C50" w:rsidP="000601D3">
      <w:pPr>
        <w:spacing w:after="120"/>
        <w:contextualSpacing/>
        <w:jc w:val="both"/>
        <w:rPr>
          <w:rFonts w:ascii="Arial" w:eastAsia="Times" w:hAnsi="Arial" w:cs="Arial"/>
        </w:rPr>
      </w:pPr>
    </w:p>
    <w:p w14:paraId="7796A25D" w14:textId="77777777" w:rsidR="00797D37" w:rsidRDefault="00FA73F5" w:rsidP="000601D3">
      <w:pPr>
        <w:keepNext/>
        <w:keepLines/>
        <w:spacing w:before="240" w:after="90"/>
        <w:contextualSpacing/>
        <w:jc w:val="both"/>
        <w:outlineLvl w:val="1"/>
        <w:rPr>
          <w:rFonts w:ascii="Arial" w:hAnsi="Arial" w:cs="Arial"/>
          <w:b/>
        </w:rPr>
      </w:pPr>
      <w:r w:rsidRPr="00197C50">
        <w:rPr>
          <w:rFonts w:ascii="Arial" w:hAnsi="Arial" w:cs="Arial"/>
          <w:b/>
        </w:rPr>
        <w:t xml:space="preserve">3.  Is there anything else you would like to share with the Royal </w:t>
      </w:r>
    </w:p>
    <w:p w14:paraId="6655CA0D" w14:textId="6558AE87" w:rsidR="00FA73F5" w:rsidRPr="00197C50" w:rsidRDefault="00FA73F5" w:rsidP="000601D3">
      <w:pPr>
        <w:keepNext/>
        <w:keepLines/>
        <w:spacing w:before="240" w:after="90"/>
        <w:contextualSpacing/>
        <w:jc w:val="both"/>
        <w:outlineLvl w:val="1"/>
        <w:rPr>
          <w:rFonts w:ascii="Arial" w:hAnsi="Arial" w:cs="Arial"/>
          <w:b/>
        </w:rPr>
      </w:pPr>
      <w:r w:rsidRPr="00197C50">
        <w:rPr>
          <w:rFonts w:ascii="Arial" w:hAnsi="Arial" w:cs="Arial"/>
          <w:b/>
        </w:rPr>
        <w:t>Commission (question 11)?</w:t>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t xml:space="preserve">      28</w:t>
      </w:r>
    </w:p>
    <w:p w14:paraId="043542F2" w14:textId="77777777" w:rsidR="00FA73F5" w:rsidRPr="000601D3" w:rsidRDefault="00FA73F5" w:rsidP="000601D3">
      <w:pPr>
        <w:spacing w:after="120"/>
        <w:contextualSpacing/>
        <w:jc w:val="both"/>
        <w:rPr>
          <w:rFonts w:ascii="Arial" w:eastAsia="Times" w:hAnsi="Arial" w:cs="Arial"/>
        </w:rPr>
      </w:pPr>
    </w:p>
    <w:p w14:paraId="0A55F8D0" w14:textId="77777777" w:rsidR="00FA73F5" w:rsidRPr="00E74801" w:rsidRDefault="00FA73F5" w:rsidP="000601D3">
      <w:pPr>
        <w:spacing w:after="120"/>
        <w:contextualSpacing/>
        <w:jc w:val="both"/>
        <w:rPr>
          <w:rFonts w:ascii="Arial" w:eastAsia="Times" w:hAnsi="Arial" w:cs="Arial"/>
        </w:rPr>
      </w:pPr>
      <w:r w:rsidRPr="00E74801">
        <w:rPr>
          <w:rFonts w:ascii="Arial" w:eastAsia="Times" w:hAnsi="Arial" w:cs="Arial"/>
        </w:rPr>
        <w:t>3.1  Victoria’s exceptionally high rates of compulsory treatment</w:t>
      </w:r>
    </w:p>
    <w:p w14:paraId="1F36EE33" w14:textId="77777777" w:rsidR="00FA73F5" w:rsidRPr="000601D3" w:rsidRDefault="00FA73F5" w:rsidP="000601D3">
      <w:pPr>
        <w:spacing w:after="120"/>
        <w:contextualSpacing/>
        <w:jc w:val="both"/>
        <w:rPr>
          <w:rFonts w:ascii="Arial" w:eastAsia="Times" w:hAnsi="Arial" w:cs="Arial"/>
        </w:rPr>
      </w:pPr>
    </w:p>
    <w:p w14:paraId="53BB5331" w14:textId="77777777" w:rsidR="00FA73F5" w:rsidRPr="000601D3" w:rsidRDefault="00FA73F5" w:rsidP="00F66E38">
      <w:pPr>
        <w:spacing w:after="120"/>
        <w:ind w:left="720"/>
        <w:contextualSpacing/>
        <w:jc w:val="both"/>
        <w:rPr>
          <w:rFonts w:ascii="Arial" w:eastAsia="Times" w:hAnsi="Arial" w:cs="Arial"/>
        </w:rPr>
      </w:pPr>
      <w:r w:rsidRPr="000601D3">
        <w:rPr>
          <w:rFonts w:ascii="Arial" w:eastAsia="Times" w:hAnsi="Arial" w:cs="Arial"/>
        </w:rPr>
        <w:t>3.1.1  Reduction in the duration of Treatment Orders and, potentially, the duration of episodes of compulsory treatment</w:t>
      </w:r>
    </w:p>
    <w:p w14:paraId="54736E38" w14:textId="77777777" w:rsidR="00FA73F5" w:rsidRPr="000601D3" w:rsidRDefault="00FA73F5" w:rsidP="00F66E38">
      <w:pPr>
        <w:spacing w:after="120"/>
        <w:ind w:left="720"/>
        <w:contextualSpacing/>
        <w:jc w:val="both"/>
        <w:rPr>
          <w:rFonts w:ascii="Arial" w:eastAsia="Times" w:hAnsi="Arial" w:cs="Arial"/>
        </w:rPr>
      </w:pPr>
    </w:p>
    <w:p w14:paraId="2FD72F0E" w14:textId="77777777" w:rsidR="00FA73F5" w:rsidRPr="000601D3" w:rsidRDefault="00FA73F5" w:rsidP="00F66E38">
      <w:pPr>
        <w:spacing w:after="120"/>
        <w:ind w:left="720"/>
        <w:contextualSpacing/>
        <w:jc w:val="both"/>
        <w:rPr>
          <w:rFonts w:ascii="Arial" w:eastAsia="Times" w:hAnsi="Arial" w:cs="Arial"/>
        </w:rPr>
      </w:pPr>
      <w:r w:rsidRPr="000601D3">
        <w:rPr>
          <w:rFonts w:ascii="Arial" w:eastAsia="Times" w:hAnsi="Arial" w:cs="Arial"/>
        </w:rPr>
        <w:t>3.1.2  Distorted operation of the Mental Health Act</w:t>
      </w:r>
    </w:p>
    <w:p w14:paraId="6D34F5E3" w14:textId="77777777" w:rsidR="00FA73F5" w:rsidRPr="000601D3" w:rsidRDefault="00FA73F5" w:rsidP="00F66E38">
      <w:pPr>
        <w:spacing w:after="120"/>
        <w:ind w:left="720"/>
        <w:contextualSpacing/>
        <w:jc w:val="both"/>
        <w:rPr>
          <w:rFonts w:ascii="Arial" w:eastAsia="Times" w:hAnsi="Arial" w:cs="Arial"/>
        </w:rPr>
      </w:pPr>
    </w:p>
    <w:p w14:paraId="3318DD92" w14:textId="1D489D9A" w:rsidR="00FA73F5" w:rsidRDefault="00FA73F5" w:rsidP="00F66E38">
      <w:pPr>
        <w:spacing w:after="120"/>
        <w:ind w:left="720"/>
        <w:contextualSpacing/>
        <w:jc w:val="both"/>
        <w:rPr>
          <w:rFonts w:ascii="Arial" w:eastAsia="Times" w:hAnsi="Arial" w:cs="Arial"/>
        </w:rPr>
      </w:pPr>
      <w:r w:rsidRPr="000601D3">
        <w:rPr>
          <w:rFonts w:ascii="Arial" w:eastAsia="Times" w:hAnsi="Arial" w:cs="Arial"/>
        </w:rPr>
        <w:t>3.1.3  Limited discourse regarding risk</w:t>
      </w:r>
    </w:p>
    <w:p w14:paraId="5BF9054D" w14:textId="377F4FDF" w:rsidR="00FA73F5" w:rsidRDefault="00FA73F5" w:rsidP="000601D3">
      <w:pPr>
        <w:spacing w:after="120"/>
        <w:contextualSpacing/>
        <w:jc w:val="both"/>
        <w:rPr>
          <w:rFonts w:ascii="Arial" w:eastAsia="Times" w:hAnsi="Arial" w:cs="Arial"/>
        </w:rPr>
      </w:pPr>
    </w:p>
    <w:p w14:paraId="2A27E80B" w14:textId="77777777" w:rsidR="00197C50" w:rsidRPr="000601D3" w:rsidRDefault="00197C50" w:rsidP="000601D3">
      <w:pPr>
        <w:spacing w:after="120"/>
        <w:contextualSpacing/>
        <w:jc w:val="both"/>
        <w:rPr>
          <w:rFonts w:ascii="Arial" w:eastAsia="Times" w:hAnsi="Arial" w:cs="Arial"/>
        </w:rPr>
      </w:pPr>
    </w:p>
    <w:p w14:paraId="6BD92624" w14:textId="77777777" w:rsidR="00797D37" w:rsidRDefault="00FA73F5" w:rsidP="000601D3">
      <w:pPr>
        <w:keepNext/>
        <w:keepLines/>
        <w:spacing w:before="240" w:after="90"/>
        <w:contextualSpacing/>
        <w:jc w:val="both"/>
        <w:outlineLvl w:val="1"/>
        <w:rPr>
          <w:rFonts w:ascii="Arial" w:hAnsi="Arial" w:cs="Arial"/>
          <w:b/>
        </w:rPr>
      </w:pPr>
      <w:r w:rsidRPr="00197C50">
        <w:rPr>
          <w:rFonts w:ascii="Arial" w:hAnsi="Arial" w:cs="Arial"/>
          <w:b/>
        </w:rPr>
        <w:t xml:space="preserve">4.  What can be done now to prepare for changes to Victoria’s mental </w:t>
      </w:r>
    </w:p>
    <w:p w14:paraId="190DB827" w14:textId="34DED975" w:rsidR="00FA73F5" w:rsidRPr="00197C50" w:rsidRDefault="00FA73F5" w:rsidP="000601D3">
      <w:pPr>
        <w:keepNext/>
        <w:keepLines/>
        <w:spacing w:before="240" w:after="90"/>
        <w:contextualSpacing/>
        <w:jc w:val="both"/>
        <w:outlineLvl w:val="1"/>
        <w:rPr>
          <w:rFonts w:ascii="Arial" w:hAnsi="Arial" w:cs="Arial"/>
          <w:b/>
        </w:rPr>
      </w:pPr>
      <w:r w:rsidRPr="00197C50">
        <w:rPr>
          <w:rFonts w:ascii="Arial" w:hAnsi="Arial" w:cs="Arial"/>
          <w:b/>
        </w:rPr>
        <w:t>health systems and support improvements to last (question 10)?</w:t>
      </w:r>
      <w:r w:rsidR="00797D37">
        <w:rPr>
          <w:rFonts w:ascii="Arial" w:hAnsi="Arial" w:cs="Arial"/>
          <w:b/>
        </w:rPr>
        <w:tab/>
      </w:r>
      <w:r w:rsidR="00797D37">
        <w:rPr>
          <w:rFonts w:ascii="Arial" w:hAnsi="Arial" w:cs="Arial"/>
          <w:b/>
        </w:rPr>
        <w:tab/>
      </w:r>
      <w:r w:rsidR="00797D37">
        <w:rPr>
          <w:rFonts w:ascii="Arial" w:hAnsi="Arial" w:cs="Arial"/>
          <w:b/>
        </w:rPr>
        <w:tab/>
        <w:t xml:space="preserve">      33</w:t>
      </w:r>
    </w:p>
    <w:p w14:paraId="3E5E7D6B" w14:textId="77777777" w:rsidR="00FA73F5" w:rsidRPr="000601D3" w:rsidRDefault="00FA73F5" w:rsidP="000601D3">
      <w:pPr>
        <w:spacing w:after="120"/>
        <w:contextualSpacing/>
        <w:jc w:val="both"/>
        <w:rPr>
          <w:rFonts w:ascii="Arial" w:eastAsia="Times" w:hAnsi="Arial" w:cs="Arial"/>
        </w:rPr>
      </w:pPr>
    </w:p>
    <w:p w14:paraId="49FE5620" w14:textId="77777777" w:rsidR="00FA73F5" w:rsidRPr="00E74801" w:rsidRDefault="00FA73F5" w:rsidP="000601D3">
      <w:pPr>
        <w:spacing w:after="120"/>
        <w:contextualSpacing/>
        <w:jc w:val="both"/>
        <w:rPr>
          <w:rFonts w:ascii="Arial" w:eastAsia="Times" w:hAnsi="Arial" w:cs="Arial"/>
        </w:rPr>
      </w:pPr>
      <w:r w:rsidRPr="00E74801">
        <w:rPr>
          <w:rFonts w:ascii="Arial" w:eastAsia="Times" w:hAnsi="Arial" w:cs="Arial"/>
        </w:rPr>
        <w:t>4.1  Developing a consistent and robust culture of service delivery</w:t>
      </w:r>
    </w:p>
    <w:p w14:paraId="27AC71A6" w14:textId="77777777" w:rsidR="00FA73F5" w:rsidRPr="000601D3" w:rsidRDefault="00FA73F5" w:rsidP="000601D3">
      <w:pPr>
        <w:spacing w:after="120"/>
        <w:contextualSpacing/>
        <w:jc w:val="both"/>
        <w:rPr>
          <w:rFonts w:ascii="Arial" w:eastAsia="Times" w:hAnsi="Arial" w:cs="Arial"/>
        </w:rPr>
      </w:pPr>
    </w:p>
    <w:p w14:paraId="1D90B7C9" w14:textId="77777777" w:rsidR="00FA73F5" w:rsidRPr="000601D3" w:rsidRDefault="00FA73F5" w:rsidP="00F66E38">
      <w:pPr>
        <w:spacing w:after="120"/>
        <w:ind w:left="720"/>
        <w:contextualSpacing/>
        <w:jc w:val="both"/>
        <w:rPr>
          <w:rFonts w:ascii="Arial" w:eastAsia="Times" w:hAnsi="Arial" w:cs="Arial"/>
        </w:rPr>
      </w:pPr>
      <w:r w:rsidRPr="000601D3">
        <w:rPr>
          <w:rFonts w:ascii="Arial" w:eastAsia="Times" w:hAnsi="Arial" w:cs="Arial"/>
        </w:rPr>
        <w:t>4.1.1  Different rates of patient and carer attendance at Mental Health Tribunal hearings</w:t>
      </w:r>
    </w:p>
    <w:p w14:paraId="53E762A0" w14:textId="77777777" w:rsidR="00FA73F5" w:rsidRPr="000601D3" w:rsidRDefault="00FA73F5" w:rsidP="00F66E38">
      <w:pPr>
        <w:spacing w:after="120"/>
        <w:ind w:left="720"/>
        <w:contextualSpacing/>
        <w:jc w:val="both"/>
        <w:rPr>
          <w:rFonts w:ascii="Arial" w:eastAsia="Times" w:hAnsi="Arial" w:cs="Arial"/>
        </w:rPr>
      </w:pPr>
    </w:p>
    <w:p w14:paraId="2F2A6C00" w14:textId="4D2FC0EC" w:rsidR="00FA73F5" w:rsidRPr="000A6F50" w:rsidRDefault="000A6F50" w:rsidP="000A6F50">
      <w:pPr>
        <w:spacing w:after="120"/>
        <w:ind w:firstLine="720"/>
        <w:contextualSpacing/>
        <w:jc w:val="both"/>
        <w:rPr>
          <w:rFonts w:ascii="Arial" w:eastAsia="Times" w:hAnsi="Arial" w:cs="Arial"/>
        </w:rPr>
      </w:pPr>
      <w:r w:rsidRPr="000A6F50">
        <w:rPr>
          <w:rFonts w:ascii="Arial" w:eastAsia="Times" w:hAnsi="Arial"/>
        </w:rPr>
        <w:t xml:space="preserve">4.1.2  Engagement </w:t>
      </w:r>
      <w:r w:rsidR="003C141B">
        <w:rPr>
          <w:rFonts w:ascii="Arial" w:eastAsia="Times" w:hAnsi="Arial"/>
        </w:rPr>
        <w:t xml:space="preserve">of services </w:t>
      </w:r>
      <w:r w:rsidRPr="000A6F50">
        <w:rPr>
          <w:rFonts w:ascii="Arial" w:eastAsia="Times" w:hAnsi="Arial"/>
        </w:rPr>
        <w:t>with Mental Health Tribunal hearings</w:t>
      </w:r>
    </w:p>
    <w:p w14:paraId="097DF793" w14:textId="7460BFEE" w:rsidR="00FA73F5" w:rsidRDefault="00FA73F5" w:rsidP="00F66E38">
      <w:pPr>
        <w:spacing w:after="120"/>
        <w:ind w:left="720"/>
        <w:contextualSpacing/>
        <w:jc w:val="both"/>
        <w:rPr>
          <w:rFonts w:ascii="Arial" w:eastAsia="Times" w:hAnsi="Arial" w:cs="Arial"/>
        </w:rPr>
      </w:pPr>
    </w:p>
    <w:p w14:paraId="3EB00E1D" w14:textId="2A16220B" w:rsidR="00E74801" w:rsidRDefault="00E74801" w:rsidP="00E74801">
      <w:pPr>
        <w:spacing w:after="120"/>
        <w:ind w:left="1440"/>
        <w:contextualSpacing/>
        <w:jc w:val="both"/>
        <w:rPr>
          <w:rFonts w:ascii="Arial" w:eastAsia="Times" w:hAnsi="Arial" w:cs="Arial"/>
          <w:i/>
        </w:rPr>
      </w:pPr>
      <w:r>
        <w:rPr>
          <w:rFonts w:ascii="Arial" w:eastAsia="Times" w:hAnsi="Arial" w:cs="Arial"/>
          <w:i/>
        </w:rPr>
        <w:t>4.1.2(a)  Quality of Reports for Tribunal Hearings</w:t>
      </w:r>
    </w:p>
    <w:p w14:paraId="2E24C59B" w14:textId="49666AE2" w:rsidR="00E74801" w:rsidRDefault="003C141B" w:rsidP="00E74801">
      <w:pPr>
        <w:spacing w:after="120"/>
        <w:ind w:left="1440"/>
        <w:contextualSpacing/>
        <w:jc w:val="both"/>
        <w:rPr>
          <w:rFonts w:ascii="Arial" w:eastAsia="Times" w:hAnsi="Arial" w:cs="Arial"/>
          <w:i/>
        </w:rPr>
      </w:pPr>
      <w:r>
        <w:rPr>
          <w:rFonts w:ascii="Arial" w:eastAsia="Times" w:hAnsi="Arial" w:cs="Arial"/>
          <w:i/>
        </w:rPr>
        <w:t>4.1.2(b)  Access to Information</w:t>
      </w:r>
    </w:p>
    <w:p w14:paraId="791F3B5C" w14:textId="1AE1B929" w:rsidR="003C141B" w:rsidRPr="00E74801" w:rsidRDefault="003C141B" w:rsidP="00E74801">
      <w:pPr>
        <w:spacing w:after="120"/>
        <w:ind w:left="1440"/>
        <w:contextualSpacing/>
        <w:jc w:val="both"/>
        <w:rPr>
          <w:rFonts w:ascii="Arial" w:eastAsia="Times" w:hAnsi="Arial" w:cs="Arial"/>
          <w:i/>
        </w:rPr>
      </w:pPr>
      <w:r>
        <w:rPr>
          <w:rFonts w:ascii="Arial" w:eastAsia="Times" w:hAnsi="Arial" w:cs="Arial"/>
          <w:i/>
        </w:rPr>
        <w:t>4.1.2(c)  Hearing Attendance</w:t>
      </w:r>
    </w:p>
    <w:p w14:paraId="21A52491" w14:textId="77777777" w:rsidR="00E74801" w:rsidRPr="000601D3" w:rsidRDefault="00E74801" w:rsidP="00F66E38">
      <w:pPr>
        <w:spacing w:after="120"/>
        <w:ind w:left="720"/>
        <w:contextualSpacing/>
        <w:jc w:val="both"/>
        <w:rPr>
          <w:rFonts w:ascii="Arial" w:eastAsia="Times" w:hAnsi="Arial" w:cs="Arial"/>
        </w:rPr>
      </w:pPr>
    </w:p>
    <w:p w14:paraId="5614CD51" w14:textId="44FBDC7C" w:rsidR="00FA73F5" w:rsidRPr="000601D3" w:rsidRDefault="00FA73F5" w:rsidP="00F66E38">
      <w:pPr>
        <w:spacing w:after="120"/>
        <w:ind w:left="720"/>
        <w:contextualSpacing/>
        <w:jc w:val="both"/>
        <w:rPr>
          <w:rFonts w:ascii="Arial" w:eastAsia="Times" w:hAnsi="Arial" w:cs="Arial"/>
        </w:rPr>
      </w:pPr>
      <w:r w:rsidRPr="000601D3">
        <w:rPr>
          <w:rFonts w:ascii="Arial" w:eastAsia="Times" w:hAnsi="Arial" w:cs="Arial"/>
        </w:rPr>
        <w:lastRenderedPageBreak/>
        <w:t>4.1.</w:t>
      </w:r>
      <w:r w:rsidR="000A6F50">
        <w:rPr>
          <w:rFonts w:ascii="Arial" w:eastAsia="Times" w:hAnsi="Arial" w:cs="Arial"/>
        </w:rPr>
        <w:t>3</w:t>
      </w:r>
      <w:r w:rsidRPr="000601D3">
        <w:rPr>
          <w:rFonts w:ascii="Arial" w:eastAsia="Times" w:hAnsi="Arial" w:cs="Arial"/>
        </w:rPr>
        <w:t xml:space="preserve">  Electroconvulsive treatment</w:t>
      </w:r>
    </w:p>
    <w:p w14:paraId="56F6A91D" w14:textId="57FDB327" w:rsidR="00FA73F5" w:rsidRDefault="00FA73F5" w:rsidP="000601D3">
      <w:pPr>
        <w:spacing w:after="120"/>
        <w:contextualSpacing/>
        <w:jc w:val="both"/>
        <w:rPr>
          <w:rFonts w:ascii="Arial" w:eastAsia="Times" w:hAnsi="Arial" w:cs="Arial"/>
        </w:rPr>
      </w:pPr>
    </w:p>
    <w:p w14:paraId="3ACED21C" w14:textId="77777777" w:rsidR="00197C50" w:rsidRPr="000601D3" w:rsidRDefault="00197C50" w:rsidP="000601D3">
      <w:pPr>
        <w:spacing w:after="120"/>
        <w:contextualSpacing/>
        <w:jc w:val="both"/>
        <w:rPr>
          <w:rFonts w:ascii="Arial" w:eastAsia="Times" w:hAnsi="Arial" w:cs="Arial"/>
        </w:rPr>
      </w:pPr>
    </w:p>
    <w:p w14:paraId="020F5CFA" w14:textId="77777777" w:rsidR="00797D37" w:rsidRDefault="00FA73F5" w:rsidP="000601D3">
      <w:pPr>
        <w:keepNext/>
        <w:keepLines/>
        <w:spacing w:before="240" w:after="90"/>
        <w:contextualSpacing/>
        <w:jc w:val="both"/>
        <w:outlineLvl w:val="1"/>
        <w:rPr>
          <w:rFonts w:ascii="Arial" w:hAnsi="Arial" w:cs="Arial"/>
          <w:b/>
        </w:rPr>
      </w:pPr>
      <w:r w:rsidRPr="00197C50">
        <w:rPr>
          <w:rFonts w:ascii="Arial" w:hAnsi="Arial" w:cs="Arial"/>
          <w:b/>
        </w:rPr>
        <w:t xml:space="preserve">5.  What can be done to attract, retain and better support the mental </w:t>
      </w:r>
    </w:p>
    <w:p w14:paraId="4FC29AD2" w14:textId="2F5BAA54" w:rsidR="00FA73F5" w:rsidRPr="00197C50" w:rsidRDefault="00FA73F5" w:rsidP="000601D3">
      <w:pPr>
        <w:keepNext/>
        <w:keepLines/>
        <w:spacing w:before="240" w:after="90"/>
        <w:contextualSpacing/>
        <w:jc w:val="both"/>
        <w:outlineLvl w:val="1"/>
        <w:rPr>
          <w:rFonts w:ascii="Arial" w:hAnsi="Arial" w:cs="Arial"/>
          <w:b/>
        </w:rPr>
      </w:pPr>
      <w:r w:rsidRPr="00197C50">
        <w:rPr>
          <w:rFonts w:ascii="Arial" w:hAnsi="Arial" w:cs="Arial"/>
          <w:b/>
        </w:rPr>
        <w:t>health workforce, including peer support workers (question 7)?</w:t>
      </w:r>
      <w:r w:rsidR="00797D37">
        <w:rPr>
          <w:rFonts w:ascii="Arial" w:hAnsi="Arial" w:cs="Arial"/>
          <w:b/>
        </w:rPr>
        <w:tab/>
      </w:r>
      <w:r w:rsidR="00797D37">
        <w:rPr>
          <w:rFonts w:ascii="Arial" w:hAnsi="Arial" w:cs="Arial"/>
          <w:b/>
        </w:rPr>
        <w:tab/>
      </w:r>
      <w:r w:rsidR="00797D37">
        <w:rPr>
          <w:rFonts w:ascii="Arial" w:hAnsi="Arial" w:cs="Arial"/>
          <w:b/>
        </w:rPr>
        <w:tab/>
        <w:t xml:space="preserve">      36</w:t>
      </w:r>
    </w:p>
    <w:p w14:paraId="77BA4998" w14:textId="6E4C6BFC" w:rsidR="00FA73F5" w:rsidRDefault="00FA73F5" w:rsidP="000601D3">
      <w:pPr>
        <w:spacing w:after="120"/>
        <w:contextualSpacing/>
        <w:jc w:val="both"/>
        <w:rPr>
          <w:rFonts w:ascii="Arial" w:eastAsia="Times" w:hAnsi="Arial" w:cs="Arial"/>
        </w:rPr>
      </w:pPr>
    </w:p>
    <w:p w14:paraId="04D788E7" w14:textId="51CADA58" w:rsidR="00EF1674" w:rsidRDefault="00EF1674" w:rsidP="000601D3">
      <w:pPr>
        <w:spacing w:after="120"/>
        <w:contextualSpacing/>
        <w:jc w:val="both"/>
        <w:rPr>
          <w:rFonts w:ascii="Arial" w:eastAsia="Times" w:hAnsi="Arial" w:cs="Arial"/>
        </w:rPr>
      </w:pPr>
      <w:r>
        <w:rPr>
          <w:rFonts w:ascii="Arial" w:eastAsia="Times" w:hAnsi="Arial" w:cs="Arial"/>
        </w:rPr>
        <w:t>5.1  Occupational Health and Safety</w:t>
      </w:r>
    </w:p>
    <w:p w14:paraId="66AC2116" w14:textId="77777777" w:rsidR="00EF1674" w:rsidRDefault="00EF1674" w:rsidP="000601D3">
      <w:pPr>
        <w:spacing w:after="120"/>
        <w:contextualSpacing/>
        <w:jc w:val="both"/>
        <w:rPr>
          <w:rFonts w:ascii="Arial" w:eastAsia="Times" w:hAnsi="Arial" w:cs="Arial"/>
        </w:rPr>
      </w:pPr>
    </w:p>
    <w:p w14:paraId="015CDAD2" w14:textId="77777777" w:rsidR="00197C50" w:rsidRPr="000601D3" w:rsidRDefault="00197C50" w:rsidP="000601D3">
      <w:pPr>
        <w:spacing w:after="120"/>
        <w:contextualSpacing/>
        <w:jc w:val="both"/>
        <w:rPr>
          <w:rFonts w:ascii="Arial" w:eastAsia="Times" w:hAnsi="Arial" w:cs="Arial"/>
        </w:rPr>
      </w:pPr>
    </w:p>
    <w:p w14:paraId="51D6AC11" w14:textId="77777777" w:rsidR="00797D37" w:rsidRDefault="00FA73F5" w:rsidP="000601D3">
      <w:pPr>
        <w:keepNext/>
        <w:keepLines/>
        <w:spacing w:before="240" w:after="90"/>
        <w:contextualSpacing/>
        <w:jc w:val="both"/>
        <w:outlineLvl w:val="1"/>
        <w:rPr>
          <w:rFonts w:ascii="Arial" w:hAnsi="Arial" w:cs="Arial"/>
          <w:b/>
        </w:rPr>
      </w:pPr>
      <w:r w:rsidRPr="00197C50">
        <w:rPr>
          <w:rFonts w:ascii="Arial" w:hAnsi="Arial" w:cs="Arial"/>
          <w:b/>
        </w:rPr>
        <w:t>6.  What are your suggestions to improve the Victorian community’s</w:t>
      </w:r>
    </w:p>
    <w:p w14:paraId="06958FB4" w14:textId="77777777" w:rsidR="00797D37" w:rsidRDefault="00FA73F5" w:rsidP="000601D3">
      <w:pPr>
        <w:keepNext/>
        <w:keepLines/>
        <w:spacing w:before="240" w:after="90"/>
        <w:contextualSpacing/>
        <w:jc w:val="both"/>
        <w:outlineLvl w:val="1"/>
        <w:rPr>
          <w:rFonts w:ascii="Arial" w:hAnsi="Arial" w:cs="Arial"/>
          <w:b/>
        </w:rPr>
      </w:pPr>
      <w:r w:rsidRPr="00197C50">
        <w:rPr>
          <w:rFonts w:ascii="Arial" w:hAnsi="Arial" w:cs="Arial"/>
          <w:b/>
        </w:rPr>
        <w:t xml:space="preserve"> understanding of mental illness and reduce stigma and discrimination </w:t>
      </w:r>
    </w:p>
    <w:p w14:paraId="56B8A7ED" w14:textId="66276A0C" w:rsidR="00FA73F5" w:rsidRDefault="00FA73F5" w:rsidP="000601D3">
      <w:pPr>
        <w:keepNext/>
        <w:keepLines/>
        <w:spacing w:before="240" w:after="90"/>
        <w:contextualSpacing/>
        <w:jc w:val="both"/>
        <w:outlineLvl w:val="1"/>
        <w:rPr>
          <w:rFonts w:ascii="Arial" w:hAnsi="Arial" w:cs="Arial"/>
          <w:b/>
        </w:rPr>
      </w:pPr>
      <w:r w:rsidRPr="00197C50">
        <w:rPr>
          <w:rFonts w:ascii="Arial" w:hAnsi="Arial" w:cs="Arial"/>
          <w:b/>
        </w:rPr>
        <w:t>(question 1)</w:t>
      </w:r>
      <w:r w:rsidR="00AE30CB">
        <w:rPr>
          <w:rFonts w:ascii="Arial" w:hAnsi="Arial" w:cs="Arial"/>
          <w:b/>
        </w:rPr>
        <w:t>?</w:t>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r>
      <w:r w:rsidR="00797D37">
        <w:rPr>
          <w:rFonts w:ascii="Arial" w:hAnsi="Arial" w:cs="Arial"/>
          <w:b/>
        </w:rPr>
        <w:tab/>
        <w:t xml:space="preserve">      37</w:t>
      </w:r>
    </w:p>
    <w:p w14:paraId="3F6BC2E0" w14:textId="77777777" w:rsidR="00AE30CB" w:rsidRPr="00197C50" w:rsidRDefault="00AE30CB" w:rsidP="000601D3">
      <w:pPr>
        <w:keepNext/>
        <w:keepLines/>
        <w:spacing w:before="240" w:after="90"/>
        <w:contextualSpacing/>
        <w:jc w:val="both"/>
        <w:outlineLvl w:val="1"/>
        <w:rPr>
          <w:rFonts w:ascii="Arial" w:hAnsi="Arial" w:cs="Arial"/>
          <w:b/>
        </w:rPr>
      </w:pPr>
    </w:p>
    <w:p w14:paraId="25BE1E4E" w14:textId="0A9E03CD" w:rsidR="00543059" w:rsidRDefault="00543059" w:rsidP="00370586">
      <w:pPr>
        <w:keepNext/>
        <w:keepLines/>
        <w:spacing w:before="240" w:after="90"/>
        <w:contextualSpacing/>
        <w:outlineLvl w:val="1"/>
        <w:rPr>
          <w:rFonts w:ascii="Arial" w:hAnsi="Arial" w:cs="Arial"/>
          <w:caps/>
        </w:rPr>
      </w:pPr>
    </w:p>
    <w:p w14:paraId="6B048F4F" w14:textId="50F7E075" w:rsidR="0093540F" w:rsidRPr="0093540F" w:rsidRDefault="0093540F" w:rsidP="00432C83">
      <w:pPr>
        <w:keepNext/>
        <w:keepLines/>
        <w:spacing w:before="240" w:after="90"/>
        <w:contextualSpacing/>
        <w:outlineLvl w:val="1"/>
        <w:rPr>
          <w:rFonts w:ascii="Arial" w:hAnsi="Arial" w:cs="Arial"/>
          <w:b/>
          <w:caps/>
        </w:rPr>
      </w:pPr>
      <w:r>
        <w:rPr>
          <w:rFonts w:ascii="Arial" w:hAnsi="Arial" w:cs="Arial"/>
          <w:b/>
          <w:caps/>
        </w:rPr>
        <w:t>appendices</w:t>
      </w:r>
    </w:p>
    <w:p w14:paraId="50E8F2D4" w14:textId="506AB6F4" w:rsidR="0093540F" w:rsidRPr="0093540F" w:rsidRDefault="0093540F" w:rsidP="00370586">
      <w:pPr>
        <w:keepNext/>
        <w:keepLines/>
        <w:spacing w:before="240" w:after="90"/>
        <w:contextualSpacing/>
        <w:outlineLvl w:val="1"/>
        <w:rPr>
          <w:rFonts w:ascii="Arial" w:hAnsi="Arial" w:cs="Arial"/>
        </w:rPr>
      </w:pPr>
    </w:p>
    <w:p w14:paraId="28F98F4D" w14:textId="23F5560D" w:rsidR="0093540F" w:rsidRPr="00432C83" w:rsidRDefault="0093540F" w:rsidP="00370586">
      <w:pPr>
        <w:keepNext/>
        <w:keepLines/>
        <w:spacing w:before="240" w:after="90"/>
        <w:contextualSpacing/>
        <w:outlineLvl w:val="1"/>
        <w:rPr>
          <w:rFonts w:ascii="Arial" w:hAnsi="Arial" w:cs="Arial"/>
        </w:rPr>
      </w:pPr>
      <w:bookmarkStart w:id="2" w:name="_Hlk11945508"/>
      <w:r w:rsidRPr="00432C83">
        <w:rPr>
          <w:rFonts w:ascii="Arial" w:hAnsi="Arial" w:cs="Arial"/>
        </w:rPr>
        <w:t>Appendix A:</w:t>
      </w:r>
      <w:r w:rsidRPr="00432C83">
        <w:rPr>
          <w:rFonts w:ascii="Arial" w:hAnsi="Arial" w:cs="Arial"/>
        </w:rPr>
        <w:tab/>
        <w:t>Treatment Order statistics and demographic data</w:t>
      </w:r>
      <w:r w:rsidR="00797D37">
        <w:rPr>
          <w:rFonts w:ascii="Arial" w:hAnsi="Arial" w:cs="Arial"/>
        </w:rPr>
        <w:tab/>
      </w:r>
      <w:r w:rsidR="00797D37">
        <w:rPr>
          <w:rFonts w:ascii="Arial" w:hAnsi="Arial" w:cs="Arial"/>
        </w:rPr>
        <w:tab/>
      </w:r>
      <w:r w:rsidR="00797D37">
        <w:rPr>
          <w:rFonts w:ascii="Arial" w:hAnsi="Arial" w:cs="Arial"/>
        </w:rPr>
        <w:tab/>
        <w:t xml:space="preserve">         </w:t>
      </w:r>
      <w:proofErr w:type="spellStart"/>
      <w:r w:rsidR="00797D37">
        <w:rPr>
          <w:rFonts w:ascii="Arial" w:hAnsi="Arial" w:cs="Arial"/>
        </w:rPr>
        <w:t>i</w:t>
      </w:r>
      <w:proofErr w:type="spellEnd"/>
    </w:p>
    <w:p w14:paraId="327B248A" w14:textId="1F01F06E" w:rsidR="0093540F" w:rsidRDefault="0093540F" w:rsidP="00370586">
      <w:pPr>
        <w:keepNext/>
        <w:keepLines/>
        <w:spacing w:before="240" w:after="90"/>
        <w:contextualSpacing/>
        <w:outlineLvl w:val="1"/>
        <w:rPr>
          <w:rFonts w:ascii="Arial" w:hAnsi="Arial" w:cs="Arial"/>
        </w:rPr>
      </w:pPr>
    </w:p>
    <w:p w14:paraId="28716715" w14:textId="1D7232F0" w:rsidR="00F80430" w:rsidRDefault="00F80430" w:rsidP="00370586">
      <w:pPr>
        <w:keepNext/>
        <w:keepLines/>
        <w:spacing w:before="240" w:after="90"/>
        <w:contextualSpacing/>
        <w:outlineLvl w:val="1"/>
        <w:rPr>
          <w:rFonts w:ascii="Arial" w:hAnsi="Arial" w:cs="Arial"/>
        </w:rPr>
      </w:pPr>
      <w:r>
        <w:rPr>
          <w:rFonts w:ascii="Arial" w:hAnsi="Arial" w:cs="Arial"/>
        </w:rPr>
        <w:t>Appendix B:</w:t>
      </w:r>
      <w:r>
        <w:rPr>
          <w:rFonts w:ascii="Arial" w:hAnsi="Arial" w:cs="Arial"/>
        </w:rPr>
        <w:tab/>
        <w:t>Secure Treatment Order statistics and demographic data</w:t>
      </w:r>
      <w:r w:rsidR="00797D37">
        <w:rPr>
          <w:rFonts w:ascii="Arial" w:hAnsi="Arial" w:cs="Arial"/>
        </w:rPr>
        <w:tab/>
      </w:r>
      <w:r w:rsidR="00797D37">
        <w:rPr>
          <w:rFonts w:ascii="Arial" w:hAnsi="Arial" w:cs="Arial"/>
        </w:rPr>
        <w:tab/>
      </w:r>
      <w:r w:rsidR="00797D37">
        <w:rPr>
          <w:rFonts w:ascii="Arial" w:hAnsi="Arial" w:cs="Arial"/>
        </w:rPr>
        <w:tab/>
        <w:t xml:space="preserve">        iii</w:t>
      </w:r>
    </w:p>
    <w:p w14:paraId="1EEC5CA9" w14:textId="77777777" w:rsidR="00F80430" w:rsidRPr="00432C83" w:rsidRDefault="00F80430" w:rsidP="00370586">
      <w:pPr>
        <w:keepNext/>
        <w:keepLines/>
        <w:spacing w:before="240" w:after="90"/>
        <w:contextualSpacing/>
        <w:outlineLvl w:val="1"/>
        <w:rPr>
          <w:rFonts w:ascii="Arial" w:hAnsi="Arial" w:cs="Arial"/>
        </w:rPr>
      </w:pPr>
    </w:p>
    <w:p w14:paraId="597987F2" w14:textId="3E398A24" w:rsidR="0093540F" w:rsidRPr="00432C83" w:rsidRDefault="0093540F" w:rsidP="00370586">
      <w:pPr>
        <w:keepNext/>
        <w:keepLines/>
        <w:spacing w:before="240" w:after="90"/>
        <w:contextualSpacing/>
        <w:outlineLvl w:val="1"/>
        <w:rPr>
          <w:rFonts w:ascii="Arial" w:hAnsi="Arial" w:cs="Arial"/>
        </w:rPr>
      </w:pPr>
      <w:r w:rsidRPr="00432C83">
        <w:rPr>
          <w:rFonts w:ascii="Arial" w:hAnsi="Arial" w:cs="Arial"/>
        </w:rPr>
        <w:t xml:space="preserve">Appendix </w:t>
      </w:r>
      <w:r w:rsidR="00F80430">
        <w:rPr>
          <w:rFonts w:ascii="Arial" w:hAnsi="Arial" w:cs="Arial"/>
        </w:rPr>
        <w:t>C</w:t>
      </w:r>
      <w:r w:rsidRPr="00432C83">
        <w:rPr>
          <w:rFonts w:ascii="Arial" w:hAnsi="Arial" w:cs="Arial"/>
        </w:rPr>
        <w:t>:</w:t>
      </w:r>
      <w:r w:rsidRPr="00432C83">
        <w:rPr>
          <w:rFonts w:ascii="Arial" w:hAnsi="Arial" w:cs="Arial"/>
        </w:rPr>
        <w:tab/>
        <w:t>ECT</w:t>
      </w:r>
      <w:r w:rsidR="000C7332">
        <w:rPr>
          <w:rFonts w:ascii="Arial" w:hAnsi="Arial" w:cs="Arial"/>
        </w:rPr>
        <w:t xml:space="preserve"> Order</w:t>
      </w:r>
      <w:r w:rsidRPr="00432C83">
        <w:rPr>
          <w:rFonts w:ascii="Arial" w:hAnsi="Arial" w:cs="Arial"/>
        </w:rPr>
        <w:t xml:space="preserve"> statistics and demographic data</w:t>
      </w:r>
      <w:r w:rsidR="00797D37">
        <w:rPr>
          <w:rFonts w:ascii="Arial" w:hAnsi="Arial" w:cs="Arial"/>
        </w:rPr>
        <w:tab/>
      </w:r>
      <w:r w:rsidR="00797D37">
        <w:rPr>
          <w:rFonts w:ascii="Arial" w:hAnsi="Arial" w:cs="Arial"/>
        </w:rPr>
        <w:tab/>
      </w:r>
      <w:r w:rsidR="00797D37">
        <w:rPr>
          <w:rFonts w:ascii="Arial" w:hAnsi="Arial" w:cs="Arial"/>
        </w:rPr>
        <w:tab/>
      </w:r>
      <w:r w:rsidR="00797D37">
        <w:rPr>
          <w:rFonts w:ascii="Arial" w:hAnsi="Arial" w:cs="Arial"/>
        </w:rPr>
        <w:tab/>
        <w:t xml:space="preserve">        v</w:t>
      </w:r>
    </w:p>
    <w:p w14:paraId="2BDA7A38" w14:textId="778F938D" w:rsidR="00086960" w:rsidRDefault="00086960" w:rsidP="00370586">
      <w:pPr>
        <w:keepNext/>
        <w:keepLines/>
        <w:spacing w:before="240" w:after="90"/>
        <w:contextualSpacing/>
        <w:outlineLvl w:val="1"/>
        <w:rPr>
          <w:rFonts w:ascii="Arial" w:hAnsi="Arial" w:cs="Arial"/>
          <w:caps/>
        </w:rPr>
      </w:pPr>
    </w:p>
    <w:bookmarkEnd w:id="2"/>
    <w:p w14:paraId="73C9BD83" w14:textId="32E813BA" w:rsidR="00086960" w:rsidRDefault="00086960" w:rsidP="00370586">
      <w:pPr>
        <w:keepNext/>
        <w:keepLines/>
        <w:spacing w:before="240" w:after="90"/>
        <w:contextualSpacing/>
        <w:outlineLvl w:val="1"/>
        <w:rPr>
          <w:rFonts w:ascii="Arial" w:hAnsi="Arial" w:cs="Arial"/>
          <w:caps/>
        </w:rPr>
      </w:pPr>
    </w:p>
    <w:tbl>
      <w:tblPr>
        <w:tblStyle w:val="TableGrid"/>
        <w:tblW w:w="0" w:type="auto"/>
        <w:tblLook w:val="04A0" w:firstRow="1" w:lastRow="0" w:firstColumn="1" w:lastColumn="0" w:noHBand="0" w:noVBand="1"/>
      </w:tblPr>
      <w:tblGrid>
        <w:gridCol w:w="2491"/>
        <w:gridCol w:w="5895"/>
      </w:tblGrid>
      <w:tr w:rsidR="0093540F" w14:paraId="21110EA5" w14:textId="77777777" w:rsidTr="003A4F63">
        <w:tc>
          <w:tcPr>
            <w:tcW w:w="8612" w:type="dxa"/>
            <w:gridSpan w:val="2"/>
          </w:tcPr>
          <w:p w14:paraId="574C316D" w14:textId="095E8842" w:rsidR="0093540F" w:rsidRDefault="0093540F" w:rsidP="0093540F">
            <w:pPr>
              <w:keepNext/>
              <w:keepLines/>
              <w:spacing w:before="240" w:after="90"/>
              <w:contextualSpacing/>
              <w:jc w:val="center"/>
              <w:outlineLvl w:val="1"/>
              <w:rPr>
                <w:rFonts w:ascii="Arial" w:hAnsi="Arial" w:cs="Arial"/>
                <w:caps/>
              </w:rPr>
            </w:pPr>
            <w:r w:rsidRPr="0093540F">
              <w:rPr>
                <w:rFonts w:ascii="Arial" w:hAnsi="Arial"/>
                <w:b/>
                <w:caps/>
              </w:rPr>
              <w:t>list of abbreviations used in this submission</w:t>
            </w:r>
          </w:p>
        </w:tc>
      </w:tr>
      <w:tr w:rsidR="0093540F" w14:paraId="6E7914B7" w14:textId="77777777" w:rsidTr="0093540F">
        <w:tc>
          <w:tcPr>
            <w:tcW w:w="2552" w:type="dxa"/>
          </w:tcPr>
          <w:p w14:paraId="056FE4CE" w14:textId="76C39089" w:rsidR="0093540F" w:rsidRPr="00E421AF" w:rsidRDefault="00E421AF" w:rsidP="00F52593">
            <w:pPr>
              <w:keepNext/>
              <w:keepLines/>
              <w:spacing w:before="240" w:after="90"/>
              <w:contextualSpacing/>
              <w:outlineLvl w:val="1"/>
              <w:rPr>
                <w:rFonts w:ascii="Arial" w:hAnsi="Arial" w:cs="Arial"/>
              </w:rPr>
            </w:pPr>
            <w:r>
              <w:rPr>
                <w:rFonts w:ascii="Arial" w:hAnsi="Arial" w:cs="Arial"/>
              </w:rPr>
              <w:t>Act</w:t>
            </w:r>
          </w:p>
        </w:tc>
        <w:tc>
          <w:tcPr>
            <w:tcW w:w="6060" w:type="dxa"/>
          </w:tcPr>
          <w:p w14:paraId="30A96AF5" w14:textId="065D3B90" w:rsidR="0093540F" w:rsidRPr="005E02C8" w:rsidRDefault="00E421AF" w:rsidP="00F52593">
            <w:pPr>
              <w:keepNext/>
              <w:keepLines/>
              <w:spacing w:before="240" w:after="90"/>
              <w:contextualSpacing/>
              <w:outlineLvl w:val="1"/>
              <w:rPr>
                <w:rFonts w:ascii="Arial" w:hAnsi="Arial" w:cs="Arial"/>
                <w:i/>
              </w:rPr>
            </w:pPr>
            <w:r w:rsidRPr="005E02C8">
              <w:rPr>
                <w:rFonts w:ascii="Arial" w:hAnsi="Arial" w:cs="Arial"/>
                <w:i/>
              </w:rPr>
              <w:t>Mental Health Act 2014 (Vic)</w:t>
            </w:r>
          </w:p>
        </w:tc>
      </w:tr>
      <w:tr w:rsidR="005E02C8" w14:paraId="218043C2" w14:textId="77777777" w:rsidTr="00CB2BAF">
        <w:tc>
          <w:tcPr>
            <w:tcW w:w="2552" w:type="dxa"/>
          </w:tcPr>
          <w:p w14:paraId="39523B5C" w14:textId="77777777" w:rsidR="005E02C8" w:rsidRPr="00E421AF" w:rsidRDefault="005E02C8" w:rsidP="00F52593">
            <w:pPr>
              <w:keepNext/>
              <w:keepLines/>
              <w:spacing w:before="240" w:after="90"/>
              <w:contextualSpacing/>
              <w:outlineLvl w:val="1"/>
              <w:rPr>
                <w:rFonts w:ascii="Arial" w:hAnsi="Arial" w:cs="Arial"/>
              </w:rPr>
            </w:pPr>
            <w:r>
              <w:rPr>
                <w:rFonts w:ascii="Arial" w:hAnsi="Arial" w:cs="Arial"/>
              </w:rPr>
              <w:t>AMHS</w:t>
            </w:r>
          </w:p>
        </w:tc>
        <w:tc>
          <w:tcPr>
            <w:tcW w:w="6060" w:type="dxa"/>
          </w:tcPr>
          <w:p w14:paraId="22BC0108" w14:textId="77777777" w:rsidR="005E02C8" w:rsidRPr="00E421AF" w:rsidRDefault="005E02C8" w:rsidP="00F52593">
            <w:pPr>
              <w:keepNext/>
              <w:keepLines/>
              <w:spacing w:before="240" w:after="90"/>
              <w:contextualSpacing/>
              <w:outlineLvl w:val="1"/>
              <w:rPr>
                <w:rFonts w:ascii="Arial" w:hAnsi="Arial" w:cs="Arial"/>
              </w:rPr>
            </w:pPr>
            <w:r>
              <w:rPr>
                <w:rFonts w:ascii="Arial" w:hAnsi="Arial" w:cs="Arial"/>
              </w:rPr>
              <w:t>Area Mental Health Service</w:t>
            </w:r>
          </w:p>
        </w:tc>
      </w:tr>
      <w:tr w:rsidR="005E02C8" w14:paraId="141BFA56" w14:textId="77777777" w:rsidTr="0093540F">
        <w:tc>
          <w:tcPr>
            <w:tcW w:w="2552" w:type="dxa"/>
          </w:tcPr>
          <w:p w14:paraId="6299B592" w14:textId="4ACF2815" w:rsidR="005E02C8" w:rsidRDefault="00F52593" w:rsidP="00F52593">
            <w:pPr>
              <w:keepNext/>
              <w:keepLines/>
              <w:spacing w:before="240" w:after="90"/>
              <w:contextualSpacing/>
              <w:outlineLvl w:val="1"/>
              <w:rPr>
                <w:rFonts w:ascii="Arial" w:hAnsi="Arial" w:cs="Arial"/>
              </w:rPr>
            </w:pPr>
            <w:r>
              <w:rPr>
                <w:rFonts w:ascii="Arial" w:hAnsi="Arial" w:cs="Arial"/>
              </w:rPr>
              <w:t>AO</w:t>
            </w:r>
          </w:p>
        </w:tc>
        <w:tc>
          <w:tcPr>
            <w:tcW w:w="6060" w:type="dxa"/>
          </w:tcPr>
          <w:p w14:paraId="3DD79FD8" w14:textId="4B97BC80" w:rsidR="005E02C8" w:rsidRPr="00F52593" w:rsidRDefault="00F52593" w:rsidP="00F52593">
            <w:pPr>
              <w:keepNext/>
              <w:keepLines/>
              <w:spacing w:before="240" w:after="90"/>
              <w:contextualSpacing/>
              <w:outlineLvl w:val="1"/>
              <w:rPr>
                <w:rFonts w:ascii="Arial" w:hAnsi="Arial" w:cs="Arial"/>
              </w:rPr>
            </w:pPr>
            <w:r>
              <w:rPr>
                <w:rFonts w:ascii="Arial" w:hAnsi="Arial" w:cs="Arial"/>
              </w:rPr>
              <w:t>Assessment Order</w:t>
            </w:r>
          </w:p>
        </w:tc>
      </w:tr>
      <w:tr w:rsidR="00D13FB8" w14:paraId="74CC972C" w14:textId="77777777" w:rsidTr="0093540F">
        <w:tc>
          <w:tcPr>
            <w:tcW w:w="2552" w:type="dxa"/>
          </w:tcPr>
          <w:p w14:paraId="20B8B987" w14:textId="570F7E22" w:rsidR="00D13FB8" w:rsidRDefault="00D13FB8" w:rsidP="00F52593">
            <w:pPr>
              <w:keepNext/>
              <w:keepLines/>
              <w:spacing w:before="240" w:after="90"/>
              <w:contextualSpacing/>
              <w:outlineLvl w:val="1"/>
              <w:rPr>
                <w:rFonts w:ascii="Arial" w:hAnsi="Arial" w:cs="Arial"/>
              </w:rPr>
            </w:pPr>
            <w:r>
              <w:rPr>
                <w:rFonts w:ascii="Arial" w:hAnsi="Arial" w:cs="Arial"/>
              </w:rPr>
              <w:t>AOD services</w:t>
            </w:r>
          </w:p>
        </w:tc>
        <w:tc>
          <w:tcPr>
            <w:tcW w:w="6060" w:type="dxa"/>
          </w:tcPr>
          <w:p w14:paraId="69B235F3" w14:textId="0151BA30" w:rsidR="00D13FB8" w:rsidRDefault="00D13FB8" w:rsidP="00F52593">
            <w:pPr>
              <w:keepNext/>
              <w:keepLines/>
              <w:spacing w:before="240" w:after="90"/>
              <w:contextualSpacing/>
              <w:outlineLvl w:val="1"/>
              <w:rPr>
                <w:rFonts w:ascii="Arial" w:hAnsi="Arial" w:cs="Arial"/>
              </w:rPr>
            </w:pPr>
            <w:r>
              <w:rPr>
                <w:rFonts w:ascii="Arial" w:hAnsi="Arial" w:cs="Arial"/>
              </w:rPr>
              <w:t>Alcohol and Other Drug treatment services</w:t>
            </w:r>
          </w:p>
        </w:tc>
      </w:tr>
      <w:tr w:rsidR="0093540F" w14:paraId="0FC20EC3" w14:textId="77777777" w:rsidTr="0093540F">
        <w:tc>
          <w:tcPr>
            <w:tcW w:w="2552" w:type="dxa"/>
          </w:tcPr>
          <w:p w14:paraId="361C96E9" w14:textId="3AB89988" w:rsidR="0093540F" w:rsidRPr="00E421AF" w:rsidRDefault="00E421AF" w:rsidP="00F52593">
            <w:pPr>
              <w:keepNext/>
              <w:keepLines/>
              <w:spacing w:before="240" w:after="90"/>
              <w:contextualSpacing/>
              <w:outlineLvl w:val="1"/>
              <w:rPr>
                <w:rFonts w:ascii="Arial" w:hAnsi="Arial" w:cs="Arial"/>
              </w:rPr>
            </w:pPr>
            <w:r>
              <w:rPr>
                <w:rFonts w:ascii="Arial" w:hAnsi="Arial" w:cs="Arial"/>
              </w:rPr>
              <w:t>Board</w:t>
            </w:r>
          </w:p>
        </w:tc>
        <w:tc>
          <w:tcPr>
            <w:tcW w:w="6060" w:type="dxa"/>
          </w:tcPr>
          <w:p w14:paraId="01D627D0" w14:textId="2DC7E254" w:rsidR="0093540F" w:rsidRPr="00E421AF" w:rsidRDefault="00E421AF" w:rsidP="00F52593">
            <w:pPr>
              <w:keepNext/>
              <w:keepLines/>
              <w:spacing w:before="240" w:after="90"/>
              <w:contextualSpacing/>
              <w:outlineLvl w:val="1"/>
              <w:rPr>
                <w:rFonts w:ascii="Arial" w:hAnsi="Arial" w:cs="Arial"/>
              </w:rPr>
            </w:pPr>
            <w:r>
              <w:rPr>
                <w:rFonts w:ascii="Arial" w:hAnsi="Arial" w:cs="Arial"/>
              </w:rPr>
              <w:t>Mental Health Review Board</w:t>
            </w:r>
          </w:p>
        </w:tc>
      </w:tr>
      <w:tr w:rsidR="005E02C8" w14:paraId="206B8E7D" w14:textId="77777777" w:rsidTr="0093540F">
        <w:tc>
          <w:tcPr>
            <w:tcW w:w="2552" w:type="dxa"/>
          </w:tcPr>
          <w:p w14:paraId="1A4E33EF" w14:textId="75D3890C" w:rsidR="005E02C8" w:rsidRDefault="005E02C8" w:rsidP="00F52593">
            <w:pPr>
              <w:keepNext/>
              <w:keepLines/>
              <w:spacing w:before="240" w:after="90"/>
              <w:contextualSpacing/>
              <w:outlineLvl w:val="1"/>
              <w:rPr>
                <w:rFonts w:ascii="Arial" w:hAnsi="Arial" w:cs="Arial"/>
              </w:rPr>
            </w:pPr>
            <w:r>
              <w:rPr>
                <w:rFonts w:ascii="Arial" w:hAnsi="Arial" w:cs="Arial"/>
              </w:rPr>
              <w:t>Charter</w:t>
            </w:r>
          </w:p>
        </w:tc>
        <w:tc>
          <w:tcPr>
            <w:tcW w:w="6060" w:type="dxa"/>
          </w:tcPr>
          <w:p w14:paraId="452B1258" w14:textId="191EAB9C" w:rsidR="005E02C8" w:rsidRPr="005E02C8" w:rsidRDefault="005E02C8" w:rsidP="00F52593">
            <w:pPr>
              <w:keepNext/>
              <w:keepLines/>
              <w:spacing w:before="240" w:after="90"/>
              <w:contextualSpacing/>
              <w:outlineLvl w:val="1"/>
              <w:rPr>
                <w:rFonts w:ascii="Arial" w:hAnsi="Arial" w:cs="Arial"/>
                <w:i/>
              </w:rPr>
            </w:pPr>
            <w:r w:rsidRPr="005E02C8">
              <w:rPr>
                <w:rFonts w:ascii="Arial" w:hAnsi="Arial" w:cs="Arial"/>
                <w:i/>
              </w:rPr>
              <w:t>Charter of Human Rights and Responsibilities Act 2006 (Vic)</w:t>
            </w:r>
          </w:p>
        </w:tc>
      </w:tr>
      <w:tr w:rsidR="005E02C8" w14:paraId="2E373022" w14:textId="77777777" w:rsidTr="0093540F">
        <w:tc>
          <w:tcPr>
            <w:tcW w:w="2552" w:type="dxa"/>
          </w:tcPr>
          <w:p w14:paraId="4870826B" w14:textId="1F00D960" w:rsidR="005E02C8" w:rsidRDefault="005E02C8" w:rsidP="00F52593">
            <w:pPr>
              <w:keepNext/>
              <w:keepLines/>
              <w:spacing w:before="240" w:after="90"/>
              <w:contextualSpacing/>
              <w:outlineLvl w:val="1"/>
              <w:rPr>
                <w:rFonts w:ascii="Arial" w:hAnsi="Arial" w:cs="Arial"/>
              </w:rPr>
            </w:pPr>
            <w:r>
              <w:rPr>
                <w:rFonts w:ascii="Arial" w:hAnsi="Arial" w:cs="Arial"/>
              </w:rPr>
              <w:t>CTO</w:t>
            </w:r>
          </w:p>
        </w:tc>
        <w:tc>
          <w:tcPr>
            <w:tcW w:w="6060" w:type="dxa"/>
          </w:tcPr>
          <w:p w14:paraId="1F48281A" w14:textId="2F612473" w:rsidR="005E02C8" w:rsidRPr="005E02C8" w:rsidRDefault="005E02C8" w:rsidP="00F52593">
            <w:pPr>
              <w:keepNext/>
              <w:keepLines/>
              <w:spacing w:before="240" w:after="90"/>
              <w:contextualSpacing/>
              <w:outlineLvl w:val="1"/>
              <w:rPr>
                <w:rFonts w:ascii="Arial" w:hAnsi="Arial" w:cs="Arial"/>
              </w:rPr>
            </w:pPr>
            <w:r>
              <w:rPr>
                <w:rFonts w:ascii="Arial" w:hAnsi="Arial" w:cs="Arial"/>
              </w:rPr>
              <w:t>Community Treatment Order</w:t>
            </w:r>
          </w:p>
        </w:tc>
      </w:tr>
      <w:tr w:rsidR="005E02C8" w14:paraId="150C8BEF" w14:textId="77777777" w:rsidTr="0093540F">
        <w:tc>
          <w:tcPr>
            <w:tcW w:w="2552" w:type="dxa"/>
          </w:tcPr>
          <w:p w14:paraId="19929018" w14:textId="0CD56CCA" w:rsidR="005E02C8" w:rsidRDefault="005E02C8" w:rsidP="00F52593">
            <w:pPr>
              <w:keepNext/>
              <w:keepLines/>
              <w:spacing w:before="240" w:after="90"/>
              <w:contextualSpacing/>
              <w:outlineLvl w:val="1"/>
              <w:rPr>
                <w:rFonts w:ascii="Arial" w:hAnsi="Arial" w:cs="Arial"/>
              </w:rPr>
            </w:pPr>
            <w:r>
              <w:rPr>
                <w:rFonts w:ascii="Arial" w:hAnsi="Arial" w:cs="Arial"/>
              </w:rPr>
              <w:t>DMHS</w:t>
            </w:r>
          </w:p>
        </w:tc>
        <w:tc>
          <w:tcPr>
            <w:tcW w:w="6060" w:type="dxa"/>
          </w:tcPr>
          <w:p w14:paraId="26AEA56A" w14:textId="00E3DFB0" w:rsidR="005E02C8" w:rsidRDefault="005E02C8" w:rsidP="00F52593">
            <w:pPr>
              <w:keepNext/>
              <w:keepLines/>
              <w:spacing w:before="240" w:after="90"/>
              <w:contextualSpacing/>
              <w:outlineLvl w:val="1"/>
              <w:rPr>
                <w:rFonts w:ascii="Arial" w:hAnsi="Arial" w:cs="Arial"/>
              </w:rPr>
            </w:pPr>
            <w:r>
              <w:rPr>
                <w:rFonts w:ascii="Arial" w:hAnsi="Arial" w:cs="Arial"/>
              </w:rPr>
              <w:t>Designated Mental Health Service</w:t>
            </w:r>
          </w:p>
        </w:tc>
      </w:tr>
      <w:tr w:rsidR="00E421AF" w14:paraId="2E722FC6" w14:textId="77777777" w:rsidTr="0093540F">
        <w:tc>
          <w:tcPr>
            <w:tcW w:w="2552" w:type="dxa"/>
          </w:tcPr>
          <w:p w14:paraId="22982EE0" w14:textId="4552ED2B" w:rsidR="00E421AF" w:rsidRDefault="00E421AF" w:rsidP="00F52593">
            <w:pPr>
              <w:keepNext/>
              <w:keepLines/>
              <w:spacing w:before="240" w:after="90"/>
              <w:contextualSpacing/>
              <w:outlineLvl w:val="1"/>
              <w:rPr>
                <w:rFonts w:ascii="Arial" w:hAnsi="Arial" w:cs="Arial"/>
              </w:rPr>
            </w:pPr>
            <w:r>
              <w:rPr>
                <w:rFonts w:ascii="Arial" w:hAnsi="Arial" w:cs="Arial"/>
              </w:rPr>
              <w:t>ECT</w:t>
            </w:r>
          </w:p>
        </w:tc>
        <w:tc>
          <w:tcPr>
            <w:tcW w:w="6060" w:type="dxa"/>
          </w:tcPr>
          <w:p w14:paraId="434AFA54" w14:textId="31F4CFD9" w:rsidR="00E421AF" w:rsidRDefault="00E421AF" w:rsidP="00F52593">
            <w:pPr>
              <w:keepNext/>
              <w:keepLines/>
              <w:spacing w:before="240" w:after="90"/>
              <w:contextualSpacing/>
              <w:outlineLvl w:val="1"/>
              <w:rPr>
                <w:rFonts w:ascii="Arial" w:hAnsi="Arial" w:cs="Arial"/>
              </w:rPr>
            </w:pPr>
            <w:r>
              <w:rPr>
                <w:rFonts w:ascii="Arial" w:hAnsi="Arial" w:cs="Arial"/>
              </w:rPr>
              <w:t>Electroconvulsive Treatment</w:t>
            </w:r>
          </w:p>
        </w:tc>
      </w:tr>
      <w:tr w:rsidR="005E02C8" w14:paraId="215A1EC1" w14:textId="77777777" w:rsidTr="0093540F">
        <w:tc>
          <w:tcPr>
            <w:tcW w:w="2552" w:type="dxa"/>
          </w:tcPr>
          <w:p w14:paraId="0ACD545C" w14:textId="071231A9" w:rsidR="005E02C8" w:rsidRDefault="005E02C8" w:rsidP="00F52593">
            <w:pPr>
              <w:keepNext/>
              <w:keepLines/>
              <w:spacing w:before="240" w:after="90"/>
              <w:contextualSpacing/>
              <w:outlineLvl w:val="1"/>
              <w:rPr>
                <w:rFonts w:ascii="Arial" w:hAnsi="Arial" w:cs="Arial"/>
              </w:rPr>
            </w:pPr>
            <w:r>
              <w:rPr>
                <w:rFonts w:ascii="Arial" w:hAnsi="Arial" w:cs="Arial"/>
              </w:rPr>
              <w:t>ITO</w:t>
            </w:r>
          </w:p>
        </w:tc>
        <w:tc>
          <w:tcPr>
            <w:tcW w:w="6060" w:type="dxa"/>
          </w:tcPr>
          <w:p w14:paraId="022A06F9" w14:textId="26E9008A" w:rsidR="005E02C8" w:rsidRDefault="005E02C8" w:rsidP="00F52593">
            <w:pPr>
              <w:keepNext/>
              <w:keepLines/>
              <w:spacing w:before="240" w:after="90"/>
              <w:contextualSpacing/>
              <w:outlineLvl w:val="1"/>
              <w:rPr>
                <w:rFonts w:ascii="Arial" w:hAnsi="Arial" w:cs="Arial"/>
              </w:rPr>
            </w:pPr>
            <w:r>
              <w:rPr>
                <w:rFonts w:ascii="Arial" w:hAnsi="Arial" w:cs="Arial"/>
              </w:rPr>
              <w:t>Inpatient Treatment Order</w:t>
            </w:r>
          </w:p>
        </w:tc>
      </w:tr>
      <w:tr w:rsidR="00D13FB8" w14:paraId="62B93308" w14:textId="77777777" w:rsidTr="0093540F">
        <w:tc>
          <w:tcPr>
            <w:tcW w:w="2552" w:type="dxa"/>
          </w:tcPr>
          <w:p w14:paraId="4A78C8D1" w14:textId="650ACED8" w:rsidR="00D13FB8" w:rsidRDefault="00D13FB8" w:rsidP="00F52593">
            <w:pPr>
              <w:keepNext/>
              <w:keepLines/>
              <w:spacing w:before="240" w:after="90"/>
              <w:contextualSpacing/>
              <w:outlineLvl w:val="1"/>
              <w:rPr>
                <w:rFonts w:ascii="Arial" w:hAnsi="Arial" w:cs="Arial"/>
              </w:rPr>
            </w:pPr>
            <w:r>
              <w:rPr>
                <w:rFonts w:ascii="Arial" w:hAnsi="Arial" w:cs="Arial"/>
              </w:rPr>
              <w:t>NDIS</w:t>
            </w:r>
          </w:p>
        </w:tc>
        <w:tc>
          <w:tcPr>
            <w:tcW w:w="6060" w:type="dxa"/>
          </w:tcPr>
          <w:p w14:paraId="16BCC408" w14:textId="7E6863EF" w:rsidR="00D13FB8" w:rsidRDefault="00D13FB8" w:rsidP="00F52593">
            <w:pPr>
              <w:keepNext/>
              <w:keepLines/>
              <w:spacing w:before="240" w:after="90"/>
              <w:contextualSpacing/>
              <w:outlineLvl w:val="1"/>
              <w:rPr>
                <w:rFonts w:ascii="Arial" w:hAnsi="Arial" w:cs="Arial"/>
              </w:rPr>
            </w:pPr>
            <w:r>
              <w:rPr>
                <w:rFonts w:ascii="Arial" w:hAnsi="Arial" w:cs="Arial"/>
              </w:rPr>
              <w:t>National Disability Insurance Scheme</w:t>
            </w:r>
          </w:p>
        </w:tc>
      </w:tr>
      <w:tr w:rsidR="005E02C8" w14:paraId="7E03ECC1" w14:textId="77777777" w:rsidTr="0093540F">
        <w:tc>
          <w:tcPr>
            <w:tcW w:w="2552" w:type="dxa"/>
          </w:tcPr>
          <w:p w14:paraId="5B02F09A" w14:textId="53C47FA4" w:rsidR="005E02C8" w:rsidRDefault="005E02C8" w:rsidP="00F52593">
            <w:pPr>
              <w:keepNext/>
              <w:keepLines/>
              <w:spacing w:before="240" w:after="90"/>
              <w:contextualSpacing/>
              <w:outlineLvl w:val="1"/>
              <w:rPr>
                <w:rFonts w:ascii="Arial" w:hAnsi="Arial" w:cs="Arial"/>
              </w:rPr>
            </w:pPr>
            <w:r>
              <w:rPr>
                <w:rFonts w:ascii="Arial" w:hAnsi="Arial" w:cs="Arial"/>
              </w:rPr>
              <w:t>OCP</w:t>
            </w:r>
          </w:p>
        </w:tc>
        <w:tc>
          <w:tcPr>
            <w:tcW w:w="6060" w:type="dxa"/>
          </w:tcPr>
          <w:p w14:paraId="1AD52548" w14:textId="3410714A" w:rsidR="005E02C8" w:rsidRDefault="005E02C8" w:rsidP="00F52593">
            <w:pPr>
              <w:keepNext/>
              <w:keepLines/>
              <w:spacing w:before="240" w:after="90"/>
              <w:contextualSpacing/>
              <w:outlineLvl w:val="1"/>
              <w:rPr>
                <w:rFonts w:ascii="Arial" w:hAnsi="Arial" w:cs="Arial"/>
              </w:rPr>
            </w:pPr>
            <w:r>
              <w:rPr>
                <w:rFonts w:ascii="Arial" w:hAnsi="Arial" w:cs="Arial"/>
              </w:rPr>
              <w:t>Office of the Chief Psychiatrist</w:t>
            </w:r>
          </w:p>
        </w:tc>
      </w:tr>
      <w:tr w:rsidR="005E02C8" w14:paraId="09C8FFF9" w14:textId="77777777" w:rsidTr="0093540F">
        <w:tc>
          <w:tcPr>
            <w:tcW w:w="2552" w:type="dxa"/>
          </w:tcPr>
          <w:p w14:paraId="781478A7" w14:textId="18C86695" w:rsidR="005E02C8" w:rsidRDefault="005E02C8" w:rsidP="00F52593">
            <w:pPr>
              <w:keepNext/>
              <w:keepLines/>
              <w:spacing w:before="240" w:after="90"/>
              <w:contextualSpacing/>
              <w:outlineLvl w:val="1"/>
              <w:rPr>
                <w:rFonts w:ascii="Arial" w:hAnsi="Arial" w:cs="Arial"/>
              </w:rPr>
            </w:pPr>
            <w:r>
              <w:rPr>
                <w:rFonts w:ascii="Arial" w:hAnsi="Arial" w:cs="Arial"/>
              </w:rPr>
              <w:t>ODS</w:t>
            </w:r>
          </w:p>
        </w:tc>
        <w:tc>
          <w:tcPr>
            <w:tcW w:w="6060" w:type="dxa"/>
          </w:tcPr>
          <w:p w14:paraId="4465A072" w14:textId="20ACCED1" w:rsidR="005E02C8" w:rsidRDefault="005E02C8" w:rsidP="00F52593">
            <w:pPr>
              <w:keepNext/>
              <w:keepLines/>
              <w:spacing w:before="240" w:after="90"/>
              <w:contextualSpacing/>
              <w:outlineLvl w:val="1"/>
              <w:rPr>
                <w:rFonts w:ascii="Arial" w:hAnsi="Arial" w:cs="Arial"/>
              </w:rPr>
            </w:pPr>
            <w:r>
              <w:rPr>
                <w:rFonts w:ascii="Arial" w:hAnsi="Arial" w:cs="Arial"/>
              </w:rPr>
              <w:t>Operational Data Store</w:t>
            </w:r>
          </w:p>
        </w:tc>
      </w:tr>
      <w:tr w:rsidR="005E02C8" w14:paraId="565A89C4" w14:textId="77777777" w:rsidTr="0093540F">
        <w:tc>
          <w:tcPr>
            <w:tcW w:w="2552" w:type="dxa"/>
          </w:tcPr>
          <w:p w14:paraId="7C9D463A" w14:textId="33567CEF" w:rsidR="005E02C8" w:rsidRDefault="005E02C8" w:rsidP="00F52593">
            <w:pPr>
              <w:keepNext/>
              <w:keepLines/>
              <w:spacing w:before="240" w:after="90"/>
              <w:contextualSpacing/>
              <w:outlineLvl w:val="1"/>
              <w:rPr>
                <w:rFonts w:ascii="Arial" w:hAnsi="Arial" w:cs="Arial"/>
              </w:rPr>
            </w:pPr>
            <w:r>
              <w:rPr>
                <w:rFonts w:ascii="Arial" w:hAnsi="Arial" w:cs="Arial"/>
              </w:rPr>
              <w:t>SECU</w:t>
            </w:r>
          </w:p>
        </w:tc>
        <w:tc>
          <w:tcPr>
            <w:tcW w:w="6060" w:type="dxa"/>
          </w:tcPr>
          <w:p w14:paraId="389C1190" w14:textId="08E1750C" w:rsidR="005E02C8" w:rsidRDefault="005E02C8" w:rsidP="00F52593">
            <w:pPr>
              <w:keepNext/>
              <w:keepLines/>
              <w:spacing w:before="240" w:after="90"/>
              <w:contextualSpacing/>
              <w:outlineLvl w:val="1"/>
              <w:rPr>
                <w:rFonts w:ascii="Arial" w:hAnsi="Arial" w:cs="Arial"/>
              </w:rPr>
            </w:pPr>
            <w:r>
              <w:rPr>
                <w:rFonts w:ascii="Arial" w:hAnsi="Arial" w:cs="Arial"/>
              </w:rPr>
              <w:t>Secure Extended Care Unit</w:t>
            </w:r>
          </w:p>
        </w:tc>
      </w:tr>
      <w:tr w:rsidR="005E02C8" w14:paraId="5B326B14" w14:textId="77777777" w:rsidTr="0093540F">
        <w:tc>
          <w:tcPr>
            <w:tcW w:w="2552" w:type="dxa"/>
          </w:tcPr>
          <w:p w14:paraId="07356347" w14:textId="403FD81E" w:rsidR="005E02C8" w:rsidRDefault="005E02C8" w:rsidP="00F52593">
            <w:pPr>
              <w:keepNext/>
              <w:keepLines/>
              <w:spacing w:before="240" w:after="90"/>
              <w:contextualSpacing/>
              <w:outlineLvl w:val="1"/>
              <w:rPr>
                <w:rFonts w:ascii="Arial" w:hAnsi="Arial" w:cs="Arial"/>
              </w:rPr>
            </w:pPr>
            <w:r>
              <w:rPr>
                <w:rFonts w:ascii="Arial" w:hAnsi="Arial" w:cs="Arial"/>
              </w:rPr>
              <w:t>STO</w:t>
            </w:r>
          </w:p>
        </w:tc>
        <w:tc>
          <w:tcPr>
            <w:tcW w:w="6060" w:type="dxa"/>
          </w:tcPr>
          <w:p w14:paraId="262E59A9" w14:textId="33F6EA32" w:rsidR="005E02C8" w:rsidRDefault="005E02C8" w:rsidP="00F52593">
            <w:pPr>
              <w:keepNext/>
              <w:keepLines/>
              <w:spacing w:before="240" w:after="90"/>
              <w:contextualSpacing/>
              <w:outlineLvl w:val="1"/>
              <w:rPr>
                <w:rFonts w:ascii="Arial" w:hAnsi="Arial" w:cs="Arial"/>
              </w:rPr>
            </w:pPr>
            <w:r>
              <w:rPr>
                <w:rFonts w:ascii="Arial" w:hAnsi="Arial" w:cs="Arial"/>
              </w:rPr>
              <w:t>Secure Treatment Order</w:t>
            </w:r>
          </w:p>
        </w:tc>
      </w:tr>
      <w:tr w:rsidR="005E02C8" w14:paraId="3F673296" w14:textId="77777777" w:rsidTr="0093540F">
        <w:tc>
          <w:tcPr>
            <w:tcW w:w="2552" w:type="dxa"/>
          </w:tcPr>
          <w:p w14:paraId="27824BD3" w14:textId="3B75E2C2" w:rsidR="005E02C8" w:rsidRDefault="005E02C8" w:rsidP="00F52593">
            <w:pPr>
              <w:keepNext/>
              <w:keepLines/>
              <w:spacing w:before="240" w:after="90"/>
              <w:contextualSpacing/>
              <w:outlineLvl w:val="1"/>
              <w:rPr>
                <w:rFonts w:ascii="Arial" w:hAnsi="Arial" w:cs="Arial"/>
              </w:rPr>
            </w:pPr>
            <w:r>
              <w:rPr>
                <w:rFonts w:ascii="Arial" w:hAnsi="Arial" w:cs="Arial"/>
              </w:rPr>
              <w:t>TAG</w:t>
            </w:r>
          </w:p>
        </w:tc>
        <w:tc>
          <w:tcPr>
            <w:tcW w:w="6060" w:type="dxa"/>
          </w:tcPr>
          <w:p w14:paraId="4CA3B518" w14:textId="2F1FEBFF" w:rsidR="005E02C8" w:rsidRDefault="005E02C8" w:rsidP="00F52593">
            <w:pPr>
              <w:keepNext/>
              <w:keepLines/>
              <w:spacing w:before="240" w:after="90"/>
              <w:contextualSpacing/>
              <w:outlineLvl w:val="1"/>
              <w:rPr>
                <w:rFonts w:ascii="Arial" w:hAnsi="Arial" w:cs="Arial"/>
              </w:rPr>
            </w:pPr>
            <w:r>
              <w:rPr>
                <w:rFonts w:ascii="Arial" w:hAnsi="Arial" w:cs="Arial"/>
              </w:rPr>
              <w:t>Tribunal Advisory Group</w:t>
            </w:r>
          </w:p>
        </w:tc>
      </w:tr>
      <w:tr w:rsidR="005E02C8" w14:paraId="1E4C524F" w14:textId="77777777" w:rsidTr="0093540F">
        <w:tc>
          <w:tcPr>
            <w:tcW w:w="2552" w:type="dxa"/>
          </w:tcPr>
          <w:p w14:paraId="418200AC" w14:textId="7792F677" w:rsidR="005E02C8" w:rsidRDefault="005E02C8" w:rsidP="00F52593">
            <w:pPr>
              <w:keepNext/>
              <w:keepLines/>
              <w:spacing w:before="240" w:after="90"/>
              <w:contextualSpacing/>
              <w:outlineLvl w:val="1"/>
              <w:rPr>
                <w:rFonts w:ascii="Arial" w:hAnsi="Arial" w:cs="Arial"/>
              </w:rPr>
            </w:pPr>
            <w:r>
              <w:rPr>
                <w:rFonts w:ascii="Arial" w:hAnsi="Arial" w:cs="Arial"/>
              </w:rPr>
              <w:t>TO</w:t>
            </w:r>
          </w:p>
        </w:tc>
        <w:tc>
          <w:tcPr>
            <w:tcW w:w="6060" w:type="dxa"/>
          </w:tcPr>
          <w:p w14:paraId="3360A951" w14:textId="596C660D" w:rsidR="005E02C8" w:rsidRDefault="005E02C8" w:rsidP="00F52593">
            <w:pPr>
              <w:keepNext/>
              <w:keepLines/>
              <w:spacing w:before="240" w:after="90"/>
              <w:contextualSpacing/>
              <w:outlineLvl w:val="1"/>
              <w:rPr>
                <w:rFonts w:ascii="Arial" w:hAnsi="Arial" w:cs="Arial"/>
              </w:rPr>
            </w:pPr>
            <w:r>
              <w:rPr>
                <w:rFonts w:ascii="Arial" w:hAnsi="Arial" w:cs="Arial"/>
              </w:rPr>
              <w:t>Treatment Order</w:t>
            </w:r>
          </w:p>
        </w:tc>
      </w:tr>
      <w:tr w:rsidR="0093540F" w14:paraId="4E4772DE" w14:textId="77777777" w:rsidTr="0093540F">
        <w:tc>
          <w:tcPr>
            <w:tcW w:w="2552" w:type="dxa"/>
          </w:tcPr>
          <w:p w14:paraId="22BD0B29" w14:textId="02E4FFDF" w:rsidR="0093540F" w:rsidRPr="00E421AF" w:rsidRDefault="00E421AF" w:rsidP="00F52593">
            <w:pPr>
              <w:keepNext/>
              <w:keepLines/>
              <w:spacing w:before="240" w:after="90"/>
              <w:contextualSpacing/>
              <w:outlineLvl w:val="1"/>
              <w:rPr>
                <w:rFonts w:ascii="Arial" w:hAnsi="Arial" w:cs="Arial"/>
              </w:rPr>
            </w:pPr>
            <w:r>
              <w:rPr>
                <w:rFonts w:ascii="Arial" w:hAnsi="Arial" w:cs="Arial"/>
              </w:rPr>
              <w:t>Tribunal</w:t>
            </w:r>
          </w:p>
        </w:tc>
        <w:tc>
          <w:tcPr>
            <w:tcW w:w="6060" w:type="dxa"/>
          </w:tcPr>
          <w:p w14:paraId="4961F6D7" w14:textId="7C13717B" w:rsidR="0093540F" w:rsidRPr="00E421AF" w:rsidRDefault="00E421AF" w:rsidP="00F52593">
            <w:pPr>
              <w:keepNext/>
              <w:keepLines/>
              <w:spacing w:before="240" w:after="90"/>
              <w:contextualSpacing/>
              <w:outlineLvl w:val="1"/>
              <w:rPr>
                <w:rFonts w:ascii="Arial" w:hAnsi="Arial" w:cs="Arial"/>
              </w:rPr>
            </w:pPr>
            <w:r>
              <w:rPr>
                <w:rFonts w:ascii="Arial" w:hAnsi="Arial" w:cs="Arial"/>
              </w:rPr>
              <w:t>Mental Health Tribunal</w:t>
            </w:r>
          </w:p>
        </w:tc>
      </w:tr>
      <w:tr w:rsidR="0093540F" w14:paraId="4A1DB33C" w14:textId="77777777" w:rsidTr="0093540F">
        <w:tc>
          <w:tcPr>
            <w:tcW w:w="2552" w:type="dxa"/>
          </w:tcPr>
          <w:p w14:paraId="260E838B" w14:textId="09FD8BBE" w:rsidR="0093540F" w:rsidRPr="00E421AF" w:rsidRDefault="005E02C8" w:rsidP="00F52593">
            <w:pPr>
              <w:keepNext/>
              <w:keepLines/>
              <w:spacing w:before="240" w:after="90"/>
              <w:contextualSpacing/>
              <w:outlineLvl w:val="1"/>
              <w:rPr>
                <w:rFonts w:ascii="Arial" w:hAnsi="Arial" w:cs="Arial"/>
              </w:rPr>
            </w:pPr>
            <w:r>
              <w:rPr>
                <w:rFonts w:ascii="Arial" w:hAnsi="Arial" w:cs="Arial"/>
              </w:rPr>
              <w:t>TTO</w:t>
            </w:r>
          </w:p>
        </w:tc>
        <w:tc>
          <w:tcPr>
            <w:tcW w:w="6060" w:type="dxa"/>
          </w:tcPr>
          <w:p w14:paraId="15D93D9F" w14:textId="5CC868A6" w:rsidR="0093540F" w:rsidRPr="00E421AF" w:rsidRDefault="005E02C8" w:rsidP="00F52593">
            <w:pPr>
              <w:keepNext/>
              <w:keepLines/>
              <w:spacing w:before="240" w:after="90"/>
              <w:contextualSpacing/>
              <w:outlineLvl w:val="1"/>
              <w:rPr>
                <w:rFonts w:ascii="Arial" w:hAnsi="Arial" w:cs="Arial"/>
              </w:rPr>
            </w:pPr>
            <w:r>
              <w:rPr>
                <w:rFonts w:ascii="Arial" w:hAnsi="Arial" w:cs="Arial"/>
              </w:rPr>
              <w:t>Temporary Treatment Order</w:t>
            </w:r>
          </w:p>
        </w:tc>
      </w:tr>
    </w:tbl>
    <w:p w14:paraId="0C49965F" w14:textId="7E1A7F24" w:rsidR="00086960" w:rsidRDefault="00086960" w:rsidP="00370586">
      <w:pPr>
        <w:keepNext/>
        <w:keepLines/>
        <w:spacing w:before="240" w:after="90"/>
        <w:contextualSpacing/>
        <w:outlineLvl w:val="1"/>
        <w:rPr>
          <w:rFonts w:ascii="Arial" w:hAnsi="Arial" w:cs="Arial"/>
          <w:caps/>
        </w:rPr>
      </w:pPr>
    </w:p>
    <w:p w14:paraId="36BC04B4" w14:textId="61CC4D63" w:rsidR="0093540F" w:rsidRPr="0010197E" w:rsidRDefault="0010197E" w:rsidP="00370586">
      <w:pPr>
        <w:keepNext/>
        <w:keepLines/>
        <w:spacing w:before="240" w:after="90"/>
        <w:contextualSpacing/>
        <w:outlineLvl w:val="1"/>
        <w:rPr>
          <w:rFonts w:ascii="Arial" w:hAnsi="Arial" w:cs="Arial"/>
          <w:b/>
          <w:caps/>
        </w:rPr>
      </w:pPr>
      <w:r>
        <w:rPr>
          <w:rFonts w:ascii="Arial" w:hAnsi="Arial" w:cs="Arial"/>
          <w:b/>
          <w:caps/>
        </w:rPr>
        <w:t>A note regarding language</w:t>
      </w:r>
    </w:p>
    <w:p w14:paraId="238435DD" w14:textId="75C1C726" w:rsidR="0093540F" w:rsidRDefault="0093540F" w:rsidP="00370586">
      <w:pPr>
        <w:keepNext/>
        <w:keepLines/>
        <w:spacing w:before="240" w:after="90"/>
        <w:contextualSpacing/>
        <w:outlineLvl w:val="1"/>
        <w:rPr>
          <w:rFonts w:ascii="Arial" w:hAnsi="Arial" w:cs="Arial"/>
          <w:caps/>
        </w:rPr>
      </w:pPr>
    </w:p>
    <w:p w14:paraId="2601E422" w14:textId="38E06FB5" w:rsidR="0010197E" w:rsidRDefault="0010197E" w:rsidP="0010197E">
      <w:pPr>
        <w:keepNext/>
        <w:keepLines/>
        <w:spacing w:before="240" w:after="90"/>
        <w:contextualSpacing/>
        <w:jc w:val="both"/>
        <w:outlineLvl w:val="1"/>
        <w:rPr>
          <w:rFonts w:ascii="Arial" w:hAnsi="Arial" w:cs="Arial"/>
          <w:caps/>
        </w:rPr>
      </w:pPr>
      <w:r>
        <w:rPr>
          <w:rFonts w:ascii="Arial" w:eastAsiaTheme="minorHAnsi" w:hAnsi="Arial" w:cs="Arial"/>
        </w:rPr>
        <w:t>In this submission r</w:t>
      </w:r>
      <w:r w:rsidRPr="00370586">
        <w:rPr>
          <w:rFonts w:ascii="Arial" w:eastAsiaTheme="minorHAnsi" w:hAnsi="Arial" w:cs="Arial"/>
        </w:rPr>
        <w:t>eferences to the provisions of the Act or the Tribunal’s statutory functions will use the terms patient/s and carer/s as these are the terms used in the Act.  Elsewhere, for instance when referring to broader activities or initiatives undertaken by the Tribunal, the terms consumer/s, family and support person/s may be used</w:t>
      </w:r>
    </w:p>
    <w:p w14:paraId="705E399D" w14:textId="2B48DAA6" w:rsidR="0010197E" w:rsidRDefault="0010197E" w:rsidP="00370586">
      <w:pPr>
        <w:keepNext/>
        <w:keepLines/>
        <w:spacing w:before="240" w:after="90"/>
        <w:contextualSpacing/>
        <w:outlineLvl w:val="1"/>
        <w:rPr>
          <w:rFonts w:ascii="Arial" w:hAnsi="Arial" w:cs="Arial"/>
          <w:caps/>
        </w:rPr>
      </w:pPr>
    </w:p>
    <w:p w14:paraId="276185E2" w14:textId="77777777" w:rsidR="00C83E71" w:rsidRDefault="00C83E71" w:rsidP="00C83E71">
      <w:pPr>
        <w:keepNext/>
        <w:keepLines/>
        <w:spacing w:before="240" w:after="90"/>
        <w:contextualSpacing/>
        <w:outlineLvl w:val="1"/>
        <w:rPr>
          <w:rFonts w:ascii="Arial" w:hAnsi="Arial" w:cs="Arial"/>
          <w:b/>
          <w:caps/>
        </w:rPr>
      </w:pPr>
      <w:r>
        <w:rPr>
          <w:rFonts w:ascii="Arial" w:hAnsi="Arial" w:cs="Arial"/>
          <w:b/>
          <w:caps/>
        </w:rPr>
        <w:t>CASE STUDIES</w:t>
      </w:r>
    </w:p>
    <w:p w14:paraId="6359FB3B" w14:textId="77777777" w:rsidR="00C83E71" w:rsidRDefault="00C83E71" w:rsidP="00C83E71">
      <w:pPr>
        <w:keepNext/>
        <w:keepLines/>
        <w:spacing w:before="240" w:after="90"/>
        <w:contextualSpacing/>
        <w:outlineLvl w:val="1"/>
        <w:rPr>
          <w:rFonts w:ascii="Arial" w:hAnsi="Arial" w:cs="Arial"/>
          <w:caps/>
        </w:rPr>
      </w:pPr>
    </w:p>
    <w:p w14:paraId="0E07E5E5" w14:textId="74A68BC3" w:rsidR="00C83E71" w:rsidRDefault="009B6ACD" w:rsidP="00761BB3">
      <w:pPr>
        <w:keepNext/>
        <w:keepLines/>
        <w:spacing w:before="240" w:after="90"/>
        <w:contextualSpacing/>
        <w:jc w:val="both"/>
        <w:outlineLvl w:val="1"/>
        <w:rPr>
          <w:rFonts w:ascii="Arial" w:hAnsi="Arial" w:cs="Arial"/>
        </w:rPr>
      </w:pPr>
      <w:r w:rsidRPr="009B6ACD">
        <w:rPr>
          <w:rFonts w:ascii="Arial" w:hAnsi="Arial" w:cs="Arial"/>
        </w:rPr>
        <w:t xml:space="preserve">The case studies used in this submission are based on hearings conducted by the Mental Health Tribunal. </w:t>
      </w:r>
      <w:r>
        <w:rPr>
          <w:rFonts w:ascii="Arial" w:hAnsi="Arial" w:cs="Arial"/>
        </w:rPr>
        <w:t xml:space="preserve"> </w:t>
      </w:r>
      <w:r w:rsidRPr="009B6ACD">
        <w:rPr>
          <w:rFonts w:ascii="Arial" w:hAnsi="Arial" w:cs="Arial"/>
        </w:rPr>
        <w:t>They have been chosen to demonstrate systemic issues.</w:t>
      </w:r>
      <w:r>
        <w:rPr>
          <w:rFonts w:ascii="Arial" w:hAnsi="Arial" w:cs="Arial"/>
        </w:rPr>
        <w:t xml:space="preserve">  </w:t>
      </w:r>
      <w:r w:rsidRPr="009B6ACD">
        <w:rPr>
          <w:rFonts w:ascii="Arial" w:hAnsi="Arial" w:cs="Arial"/>
        </w:rPr>
        <w:t xml:space="preserve">All </w:t>
      </w:r>
      <w:r w:rsidR="00761BB3">
        <w:rPr>
          <w:rFonts w:ascii="Arial" w:hAnsi="Arial" w:cs="Arial"/>
        </w:rPr>
        <w:t xml:space="preserve">case studies </w:t>
      </w:r>
      <w:r w:rsidRPr="009B6ACD">
        <w:rPr>
          <w:rFonts w:ascii="Arial" w:hAnsi="Arial" w:cs="Arial"/>
        </w:rPr>
        <w:t>have been de-identified</w:t>
      </w:r>
      <w:r w:rsidR="00761BB3">
        <w:rPr>
          <w:rFonts w:ascii="Arial" w:hAnsi="Arial" w:cs="Arial"/>
        </w:rPr>
        <w:t>, including the use of</w:t>
      </w:r>
      <w:r w:rsidR="00C83E71">
        <w:rPr>
          <w:rFonts w:ascii="Arial" w:hAnsi="Arial" w:cs="Arial"/>
        </w:rPr>
        <w:t xml:space="preserve"> randomly allocated aliases</w:t>
      </w:r>
      <w:r w:rsidR="00A17E38">
        <w:rPr>
          <w:rFonts w:ascii="Arial" w:hAnsi="Arial" w:cs="Arial"/>
        </w:rPr>
        <w:t xml:space="preserve"> and in some instances the</w:t>
      </w:r>
      <w:r w:rsidR="00761BB3">
        <w:rPr>
          <w:rFonts w:ascii="Arial" w:hAnsi="Arial" w:cs="Arial"/>
        </w:rPr>
        <w:t xml:space="preserve"> person’s</w:t>
      </w:r>
      <w:r w:rsidR="00A17E38">
        <w:rPr>
          <w:rFonts w:ascii="Arial" w:hAnsi="Arial" w:cs="Arial"/>
        </w:rPr>
        <w:t xml:space="preserve"> gender has been changed.</w:t>
      </w:r>
    </w:p>
    <w:p w14:paraId="344CA41D" w14:textId="7B40B224" w:rsidR="00920FFD" w:rsidRDefault="00920FFD" w:rsidP="00761BB3">
      <w:pPr>
        <w:keepNext/>
        <w:keepLines/>
        <w:spacing w:before="240" w:after="90"/>
        <w:contextualSpacing/>
        <w:jc w:val="both"/>
        <w:outlineLvl w:val="1"/>
        <w:rPr>
          <w:rFonts w:ascii="Arial" w:hAnsi="Arial" w:cs="Arial"/>
        </w:rPr>
      </w:pPr>
    </w:p>
    <w:p w14:paraId="7BFF0576" w14:textId="4309BC2D" w:rsidR="00920FFD" w:rsidRPr="000A5B9A" w:rsidRDefault="00920FFD" w:rsidP="00761BB3">
      <w:pPr>
        <w:keepNext/>
        <w:keepLines/>
        <w:spacing w:before="240" w:after="90"/>
        <w:contextualSpacing/>
        <w:jc w:val="both"/>
        <w:outlineLvl w:val="1"/>
        <w:rPr>
          <w:rFonts w:ascii="Arial" w:hAnsi="Arial" w:cs="Arial"/>
          <w:b/>
        </w:rPr>
      </w:pPr>
      <w:r w:rsidRPr="000A5B9A">
        <w:rPr>
          <w:rFonts w:ascii="Arial" w:hAnsi="Arial" w:cs="Arial"/>
          <w:b/>
        </w:rPr>
        <w:t>FOOTNOTES</w:t>
      </w:r>
    </w:p>
    <w:p w14:paraId="6784D041" w14:textId="6D363982" w:rsidR="00920FFD" w:rsidRDefault="00920FFD" w:rsidP="00761BB3">
      <w:pPr>
        <w:keepNext/>
        <w:keepLines/>
        <w:spacing w:before="240" w:after="90"/>
        <w:contextualSpacing/>
        <w:jc w:val="both"/>
        <w:outlineLvl w:val="1"/>
        <w:rPr>
          <w:rFonts w:ascii="Arial" w:hAnsi="Arial" w:cs="Arial"/>
        </w:rPr>
      </w:pPr>
    </w:p>
    <w:p w14:paraId="54491FA5" w14:textId="134B832C" w:rsidR="00920FFD" w:rsidRDefault="00920FFD" w:rsidP="00761BB3">
      <w:pPr>
        <w:keepNext/>
        <w:keepLines/>
        <w:spacing w:before="240" w:after="90"/>
        <w:contextualSpacing/>
        <w:jc w:val="both"/>
        <w:outlineLvl w:val="1"/>
        <w:rPr>
          <w:rFonts w:ascii="Arial" w:hAnsi="Arial" w:cs="Arial"/>
        </w:rPr>
      </w:pPr>
      <w:r>
        <w:rPr>
          <w:rFonts w:ascii="Arial" w:hAnsi="Arial" w:cs="Arial"/>
        </w:rPr>
        <w:t xml:space="preserve">Unless otherwise specified all references to statutory provisions are to provisions of the </w:t>
      </w:r>
      <w:r w:rsidRPr="00920FFD">
        <w:rPr>
          <w:rFonts w:ascii="Arial" w:hAnsi="Arial" w:cs="Arial"/>
          <w:i/>
        </w:rPr>
        <w:t>Mental Health Act 2014 (Vic)</w:t>
      </w:r>
      <w:r>
        <w:rPr>
          <w:rFonts w:ascii="Arial" w:hAnsi="Arial" w:cs="Arial"/>
        </w:rPr>
        <w:t>.</w:t>
      </w:r>
    </w:p>
    <w:p w14:paraId="3E61AF18" w14:textId="77777777" w:rsidR="00543059" w:rsidRDefault="00543059">
      <w:pPr>
        <w:rPr>
          <w:rFonts w:ascii="Arial" w:hAnsi="Arial"/>
          <w:b/>
          <w:caps/>
          <w:sz w:val="32"/>
          <w:szCs w:val="32"/>
        </w:rPr>
      </w:pPr>
      <w:r>
        <w:rPr>
          <w:rFonts w:ascii="Arial" w:hAnsi="Arial"/>
          <w:b/>
          <w:caps/>
          <w:sz w:val="32"/>
          <w:szCs w:val="32"/>
        </w:rPr>
        <w:br w:type="page"/>
      </w:r>
    </w:p>
    <w:p w14:paraId="229891CC" w14:textId="189F9D49" w:rsidR="00370586" w:rsidRPr="00370586" w:rsidRDefault="00370586" w:rsidP="00370586">
      <w:pPr>
        <w:keepNext/>
        <w:keepLines/>
        <w:spacing w:before="240" w:after="90"/>
        <w:contextualSpacing/>
        <w:outlineLvl w:val="1"/>
        <w:rPr>
          <w:rFonts w:ascii="Arial" w:hAnsi="Arial"/>
          <w:b/>
          <w:caps/>
          <w:sz w:val="32"/>
          <w:szCs w:val="32"/>
        </w:rPr>
      </w:pPr>
      <w:r w:rsidRPr="00370586">
        <w:rPr>
          <w:rFonts w:ascii="Arial" w:hAnsi="Arial"/>
          <w:b/>
          <w:caps/>
          <w:sz w:val="32"/>
          <w:szCs w:val="32"/>
        </w:rPr>
        <w:lastRenderedPageBreak/>
        <w:t>Executive Summary</w:t>
      </w:r>
    </w:p>
    <w:p w14:paraId="2AAC2179" w14:textId="77777777" w:rsidR="00543059" w:rsidRDefault="00543059" w:rsidP="00370586">
      <w:pPr>
        <w:spacing w:after="120"/>
        <w:contextualSpacing/>
        <w:jc w:val="both"/>
        <w:rPr>
          <w:rFonts w:ascii="Arial" w:eastAsia="Times" w:hAnsi="Arial"/>
          <w:highlight w:val="yellow"/>
        </w:rPr>
      </w:pPr>
    </w:p>
    <w:p w14:paraId="058294A3" w14:textId="01E4DC6C" w:rsidR="00E90B2E" w:rsidRPr="00E90B2E" w:rsidRDefault="00E90B2E" w:rsidP="00E90B2E">
      <w:pPr>
        <w:spacing w:after="120"/>
        <w:contextualSpacing/>
        <w:jc w:val="both"/>
        <w:rPr>
          <w:rFonts w:ascii="Arial" w:eastAsia="Times" w:hAnsi="Arial"/>
        </w:rPr>
      </w:pPr>
      <w:r w:rsidRPr="00E90B2E">
        <w:rPr>
          <w:rFonts w:ascii="Arial" w:eastAsia="Times" w:hAnsi="Arial"/>
        </w:rPr>
        <w:t xml:space="preserve">Since commencing operation on 1 July 2014, the Mental Health Tribunal has conducted more than </w:t>
      </w:r>
      <w:r w:rsidR="00BC3323">
        <w:rPr>
          <w:rFonts w:ascii="Arial" w:eastAsia="Times" w:hAnsi="Arial"/>
        </w:rPr>
        <w:t>34,000</w:t>
      </w:r>
      <w:r w:rsidRPr="00E90B2E">
        <w:rPr>
          <w:rFonts w:ascii="Arial" w:eastAsia="Times" w:hAnsi="Arial"/>
        </w:rPr>
        <w:t xml:space="preserve"> hearings.  These hearings have provided us with a unique and privileged insight into the experiences of mental health consumers who receive compulsory treatment through Victoria’s clinical mental health services, as well as that of the family and friends who support them.  We</w:t>
      </w:r>
      <w:r w:rsidR="00063E77">
        <w:rPr>
          <w:rFonts w:ascii="Arial" w:eastAsia="Times" w:hAnsi="Arial"/>
        </w:rPr>
        <w:t xml:space="preserve"> </w:t>
      </w:r>
      <w:r w:rsidRPr="00E90B2E">
        <w:rPr>
          <w:rFonts w:ascii="Arial" w:eastAsia="Times" w:hAnsi="Arial"/>
        </w:rPr>
        <w:t>see</w:t>
      </w:r>
      <w:r w:rsidR="00542C86">
        <w:rPr>
          <w:rFonts w:ascii="Arial" w:eastAsia="Times" w:hAnsi="Arial"/>
        </w:rPr>
        <w:t xml:space="preserve"> many</w:t>
      </w:r>
      <w:r w:rsidRPr="00E90B2E">
        <w:rPr>
          <w:rFonts w:ascii="Arial" w:eastAsia="Times" w:hAnsi="Arial"/>
        </w:rPr>
        <w:t xml:space="preserve"> positive stories of recovery</w:t>
      </w:r>
      <w:r w:rsidR="00542C86">
        <w:rPr>
          <w:rFonts w:ascii="Arial" w:eastAsia="Times" w:hAnsi="Arial"/>
        </w:rPr>
        <w:t>, and examples of effective, collaborative treatment.  However</w:t>
      </w:r>
      <w:r w:rsidRPr="00E90B2E">
        <w:rPr>
          <w:rFonts w:ascii="Arial" w:eastAsia="Times" w:hAnsi="Arial"/>
        </w:rPr>
        <w:t xml:space="preserve">, </w:t>
      </w:r>
      <w:r w:rsidR="00542C86">
        <w:rPr>
          <w:rFonts w:ascii="Arial" w:eastAsia="Times" w:hAnsi="Arial"/>
        </w:rPr>
        <w:t>far</w:t>
      </w:r>
      <w:r w:rsidRPr="00E90B2E">
        <w:rPr>
          <w:rFonts w:ascii="Arial" w:eastAsia="Times" w:hAnsi="Arial"/>
        </w:rPr>
        <w:t xml:space="preserve"> too often we observe how the mental health system fails to provide the treatment and support that people both need and want.</w:t>
      </w:r>
    </w:p>
    <w:p w14:paraId="7D8CF000" w14:textId="77777777" w:rsidR="00E90B2E" w:rsidRPr="00E90B2E" w:rsidRDefault="00E90B2E" w:rsidP="00E90B2E">
      <w:pPr>
        <w:spacing w:after="120"/>
        <w:contextualSpacing/>
        <w:jc w:val="both"/>
        <w:rPr>
          <w:rFonts w:ascii="Arial" w:eastAsia="Times" w:hAnsi="Arial"/>
        </w:rPr>
      </w:pPr>
    </w:p>
    <w:p w14:paraId="22E03872" w14:textId="4E1782CB" w:rsidR="00E90B2E" w:rsidRPr="00E90B2E" w:rsidRDefault="00E90B2E" w:rsidP="00E90B2E">
      <w:pPr>
        <w:spacing w:after="120"/>
        <w:contextualSpacing/>
        <w:jc w:val="both"/>
        <w:rPr>
          <w:rFonts w:ascii="Arial" w:eastAsia="Times" w:hAnsi="Arial"/>
        </w:rPr>
      </w:pPr>
      <w:r w:rsidRPr="00E90B2E">
        <w:rPr>
          <w:rFonts w:ascii="Arial" w:eastAsia="Times" w:hAnsi="Arial"/>
        </w:rPr>
        <w:t xml:space="preserve">Our work also brings us into daily contact with the highly committed clinical and administrative staff that work within the mental health system.  </w:t>
      </w:r>
      <w:r w:rsidR="00F81B37">
        <w:rPr>
          <w:rFonts w:ascii="Arial" w:eastAsia="Times" w:hAnsi="Arial"/>
        </w:rPr>
        <w:t>Despite</w:t>
      </w:r>
      <w:r w:rsidRPr="00E90B2E">
        <w:rPr>
          <w:rFonts w:ascii="Arial" w:eastAsia="Times" w:hAnsi="Arial"/>
        </w:rPr>
        <w:t xml:space="preserve"> enormous pressures</w:t>
      </w:r>
      <w:r w:rsidR="00542C86">
        <w:rPr>
          <w:rFonts w:ascii="Arial" w:eastAsia="Times" w:hAnsi="Arial"/>
        </w:rPr>
        <w:t xml:space="preserve"> associated with crushing case</w:t>
      </w:r>
      <w:r w:rsidR="00065410">
        <w:rPr>
          <w:rFonts w:ascii="Arial" w:eastAsia="Times" w:hAnsi="Arial"/>
        </w:rPr>
        <w:t>-</w:t>
      </w:r>
      <w:r w:rsidR="00542C86">
        <w:rPr>
          <w:rFonts w:ascii="Arial" w:eastAsia="Times" w:hAnsi="Arial"/>
        </w:rPr>
        <w:t xml:space="preserve">loads and </w:t>
      </w:r>
      <w:r w:rsidR="00065410">
        <w:rPr>
          <w:rFonts w:ascii="Arial" w:eastAsia="Times" w:hAnsi="Arial"/>
        </w:rPr>
        <w:t>increasing demand,</w:t>
      </w:r>
      <w:r w:rsidRPr="00E90B2E">
        <w:rPr>
          <w:rFonts w:ascii="Arial" w:eastAsia="Times" w:hAnsi="Arial"/>
        </w:rPr>
        <w:t xml:space="preserve"> they strive to support consumers and carers</w:t>
      </w:r>
      <w:r w:rsidR="00542C86">
        <w:rPr>
          <w:rFonts w:ascii="Arial" w:eastAsia="Times" w:hAnsi="Arial"/>
        </w:rPr>
        <w:t>.  B</w:t>
      </w:r>
      <w:r w:rsidRPr="00E90B2E">
        <w:rPr>
          <w:rFonts w:ascii="Arial" w:eastAsia="Times" w:hAnsi="Arial"/>
        </w:rPr>
        <w:t>ut the reality is</w:t>
      </w:r>
      <w:r w:rsidR="003771DA">
        <w:rPr>
          <w:rFonts w:ascii="Arial" w:eastAsia="Times" w:hAnsi="Arial"/>
        </w:rPr>
        <w:t>,</w:t>
      </w:r>
      <w:r w:rsidRPr="00E90B2E">
        <w:rPr>
          <w:rFonts w:ascii="Arial" w:eastAsia="Times" w:hAnsi="Arial"/>
        </w:rPr>
        <w:t xml:space="preserve"> the system </w:t>
      </w:r>
      <w:r w:rsidR="00542C86">
        <w:rPr>
          <w:rFonts w:ascii="Arial" w:eastAsia="Times" w:hAnsi="Arial"/>
        </w:rPr>
        <w:t>that they work in</w:t>
      </w:r>
      <w:r w:rsidRPr="00E90B2E">
        <w:rPr>
          <w:rFonts w:ascii="Arial" w:eastAsia="Times" w:hAnsi="Arial"/>
        </w:rPr>
        <w:t xml:space="preserve"> is neither equipped nor structured to enable staff to </w:t>
      </w:r>
      <w:r w:rsidR="00065410">
        <w:rPr>
          <w:rFonts w:ascii="Arial" w:eastAsia="Times" w:hAnsi="Arial"/>
        </w:rPr>
        <w:t xml:space="preserve">always </w:t>
      </w:r>
      <w:r w:rsidRPr="00E90B2E">
        <w:rPr>
          <w:rFonts w:ascii="Arial" w:eastAsia="Times" w:hAnsi="Arial"/>
        </w:rPr>
        <w:t>provide the best possible care.</w:t>
      </w:r>
    </w:p>
    <w:p w14:paraId="0EE23E6A" w14:textId="77777777" w:rsidR="00E90B2E" w:rsidRPr="00E90B2E" w:rsidRDefault="00E90B2E" w:rsidP="00E90B2E">
      <w:pPr>
        <w:spacing w:after="120"/>
        <w:contextualSpacing/>
        <w:jc w:val="both"/>
        <w:rPr>
          <w:rFonts w:ascii="Arial" w:eastAsia="Times" w:hAnsi="Arial"/>
        </w:rPr>
      </w:pPr>
    </w:p>
    <w:p w14:paraId="1881298C" w14:textId="18166600" w:rsidR="00E90B2E" w:rsidRPr="00E90B2E" w:rsidRDefault="00E90B2E" w:rsidP="00E90B2E">
      <w:pPr>
        <w:spacing w:after="120"/>
        <w:contextualSpacing/>
        <w:jc w:val="both"/>
        <w:rPr>
          <w:rFonts w:ascii="Arial" w:eastAsia="Times" w:hAnsi="Arial"/>
        </w:rPr>
      </w:pPr>
      <w:r w:rsidRPr="00E90B2E">
        <w:rPr>
          <w:rFonts w:ascii="Arial" w:eastAsia="Times" w:hAnsi="Arial"/>
        </w:rPr>
        <w:t xml:space="preserve">Whether we do in fact have a mental health system – as the term ‘system’ would generally be understood </w:t>
      </w:r>
      <w:r w:rsidR="00065410">
        <w:rPr>
          <w:rFonts w:ascii="Arial" w:eastAsia="Times" w:hAnsi="Arial"/>
        </w:rPr>
        <w:t xml:space="preserve">– needs </w:t>
      </w:r>
      <w:r w:rsidRPr="00E90B2E">
        <w:rPr>
          <w:rFonts w:ascii="Arial" w:eastAsia="Times" w:hAnsi="Arial"/>
        </w:rPr>
        <w:t>to be tested.  An essential feature of a system is that its component parts work in unison and complement each other.  At both a micro and macro level this is not the case.  Different arms within what is meant to be one service work in silos, and this is replicated at a broader level, in that different services do not communicate or collaborate effectively.  This directly impacts on the quality of treatment and support provided to individuals.  It can also have profound impacts on the levels of restriction individuals are subject to, and the adequacy of service responses to individuals with complex needs.  Indeed, the situation of individuals with complex needs not only demonstrates how difficult it is to achieve collaboration across different services, it suggests that services will at times actively avoid collaboration.  The response to individuals whose complex needs arise from the severe and enduring nature of their mental illness also highlights</w:t>
      </w:r>
      <w:r w:rsidR="00F80430">
        <w:rPr>
          <w:rFonts w:ascii="Arial" w:eastAsia="Times" w:hAnsi="Arial"/>
        </w:rPr>
        <w:t>,</w:t>
      </w:r>
      <w:r w:rsidR="00C4175C">
        <w:rPr>
          <w:rFonts w:ascii="Arial" w:eastAsia="Times" w:hAnsi="Arial"/>
        </w:rPr>
        <w:t xml:space="preserve"> and is arguably partly driven by</w:t>
      </w:r>
      <w:r w:rsidR="00B50F7B">
        <w:rPr>
          <w:rFonts w:ascii="Arial" w:eastAsia="Times" w:hAnsi="Arial"/>
        </w:rPr>
        <w:t>,</w:t>
      </w:r>
      <w:r w:rsidRPr="00E90B2E">
        <w:rPr>
          <w:rFonts w:ascii="Arial" w:eastAsia="Times" w:hAnsi="Arial"/>
        </w:rPr>
        <w:t xml:space="preserve"> the tragic reality that in some cases, there are no truly satisfactory</w:t>
      </w:r>
      <w:r w:rsidR="000A5B9A">
        <w:rPr>
          <w:rFonts w:ascii="Arial" w:eastAsia="Times" w:hAnsi="Arial"/>
        </w:rPr>
        <w:t xml:space="preserve"> options</w:t>
      </w:r>
      <w:r w:rsidRPr="00E90B2E">
        <w:rPr>
          <w:rFonts w:ascii="Arial" w:eastAsia="Times" w:hAnsi="Arial"/>
        </w:rPr>
        <w:t xml:space="preserve"> available within the current system.</w:t>
      </w:r>
    </w:p>
    <w:p w14:paraId="2E23ACD0" w14:textId="77777777" w:rsidR="00E90B2E" w:rsidRPr="00E90B2E" w:rsidRDefault="00E90B2E" w:rsidP="00E90B2E">
      <w:pPr>
        <w:spacing w:after="120"/>
        <w:contextualSpacing/>
        <w:jc w:val="both"/>
        <w:rPr>
          <w:rFonts w:ascii="Arial" w:eastAsia="Times" w:hAnsi="Arial"/>
        </w:rPr>
      </w:pPr>
    </w:p>
    <w:p w14:paraId="29A96FF2" w14:textId="0B05DA68" w:rsidR="00E90B2E" w:rsidRPr="00E90B2E" w:rsidRDefault="00E90B2E" w:rsidP="00E90B2E">
      <w:pPr>
        <w:spacing w:after="120"/>
        <w:contextualSpacing/>
        <w:jc w:val="both"/>
        <w:rPr>
          <w:rFonts w:ascii="Arial" w:eastAsia="Times" w:hAnsi="Arial"/>
        </w:rPr>
      </w:pPr>
      <w:r w:rsidRPr="00E90B2E">
        <w:rPr>
          <w:rFonts w:ascii="Arial" w:eastAsia="Times" w:hAnsi="Arial"/>
        </w:rPr>
        <w:t xml:space="preserve">The Tribunal observes </w:t>
      </w:r>
      <w:r w:rsidR="00065410">
        <w:rPr>
          <w:rFonts w:ascii="Arial" w:eastAsia="Times" w:hAnsi="Arial"/>
        </w:rPr>
        <w:t>numerous</w:t>
      </w:r>
      <w:r w:rsidRPr="00E90B2E">
        <w:rPr>
          <w:rFonts w:ascii="Arial" w:eastAsia="Times" w:hAnsi="Arial"/>
        </w:rPr>
        <w:t xml:space="preserve"> consequences of the profound gulf between the level of demand for treatment and support, and the level of resources provided to services to meet that demand.  Of particular concern is how this has impacted the implementation and intended operation of the </w:t>
      </w:r>
      <w:r w:rsidRPr="00E90B2E">
        <w:rPr>
          <w:rFonts w:ascii="Arial" w:eastAsia="Times" w:hAnsi="Arial"/>
          <w:i/>
        </w:rPr>
        <w:t>Mental Health Act 2014</w:t>
      </w:r>
      <w:r w:rsidRPr="00E90B2E">
        <w:rPr>
          <w:rFonts w:ascii="Arial" w:eastAsia="Times" w:hAnsi="Arial"/>
        </w:rPr>
        <w:t xml:space="preserve"> (the Act).  The Act was intended to be a catalyst for reform.  It clearly encompasses a bio-psychosocial conceptualisation of mental health and responses to mental illness</w:t>
      </w:r>
      <w:r w:rsidR="00065410">
        <w:rPr>
          <w:rFonts w:ascii="Arial" w:eastAsia="Times" w:hAnsi="Arial"/>
        </w:rPr>
        <w:t>.  It</w:t>
      </w:r>
      <w:r w:rsidRPr="00E90B2E">
        <w:rPr>
          <w:rFonts w:ascii="Arial" w:eastAsia="Times" w:hAnsi="Arial"/>
        </w:rPr>
        <w:t xml:space="preserve"> sought to promote supported-decision making, less restrictive treatment, autonomy, dignity, holistic care and </w:t>
      </w:r>
      <w:r w:rsidR="00065410">
        <w:rPr>
          <w:rFonts w:ascii="Arial" w:eastAsia="Times" w:hAnsi="Arial"/>
        </w:rPr>
        <w:t xml:space="preserve">the </w:t>
      </w:r>
      <w:r w:rsidRPr="00E90B2E">
        <w:rPr>
          <w:rFonts w:ascii="Arial" w:eastAsia="Times" w:hAnsi="Arial"/>
        </w:rPr>
        <w:t>meaningful involvement of carers.  In some cases these principles and objectives are realised</w:t>
      </w:r>
      <w:r w:rsidR="00065410">
        <w:rPr>
          <w:rFonts w:ascii="Arial" w:eastAsia="Times" w:hAnsi="Arial"/>
        </w:rPr>
        <w:t>.  However,</w:t>
      </w:r>
      <w:r w:rsidRPr="00E90B2E">
        <w:rPr>
          <w:rFonts w:ascii="Arial" w:eastAsia="Times" w:hAnsi="Arial"/>
        </w:rPr>
        <w:t xml:space="preserve"> at a system</w:t>
      </w:r>
      <w:r w:rsidR="00065410">
        <w:rPr>
          <w:rFonts w:ascii="Arial" w:eastAsia="Times" w:hAnsi="Arial"/>
        </w:rPr>
        <w:t>ic</w:t>
      </w:r>
      <w:r w:rsidRPr="00E90B2E">
        <w:rPr>
          <w:rFonts w:ascii="Arial" w:eastAsia="Times" w:hAnsi="Arial"/>
        </w:rPr>
        <w:t xml:space="preserve"> level</w:t>
      </w:r>
      <w:r w:rsidR="00CD15C5">
        <w:rPr>
          <w:rFonts w:ascii="Arial" w:eastAsia="Times" w:hAnsi="Arial"/>
        </w:rPr>
        <w:t>,</w:t>
      </w:r>
      <w:r w:rsidRPr="00E90B2E">
        <w:rPr>
          <w:rFonts w:ascii="Arial" w:eastAsia="Times" w:hAnsi="Arial"/>
        </w:rPr>
        <w:t xml:space="preserve"> what the Act’s first five years of operation demonstrates most potently is that changing the law cannot by itself change the system </w:t>
      </w:r>
      <w:r w:rsidR="003771DA">
        <w:rPr>
          <w:rFonts w:ascii="Arial" w:eastAsia="Times" w:hAnsi="Arial"/>
        </w:rPr>
        <w:t xml:space="preserve">to which </w:t>
      </w:r>
      <w:r w:rsidRPr="00E90B2E">
        <w:rPr>
          <w:rFonts w:ascii="Arial" w:eastAsia="Times" w:hAnsi="Arial"/>
        </w:rPr>
        <w:t xml:space="preserve">it applies, when that system is not resourced to meet the </w:t>
      </w:r>
      <w:r w:rsidR="00CD15C5">
        <w:rPr>
          <w:rFonts w:ascii="Arial" w:eastAsia="Times" w:hAnsi="Arial"/>
        </w:rPr>
        <w:t xml:space="preserve">expectations enshrined </w:t>
      </w:r>
      <w:r w:rsidRPr="00E90B2E">
        <w:rPr>
          <w:rFonts w:ascii="Arial" w:eastAsia="Times" w:hAnsi="Arial"/>
        </w:rPr>
        <w:t>by law reform.  The Act’s relative failure</w:t>
      </w:r>
      <w:r w:rsidR="00B50F7B">
        <w:rPr>
          <w:rFonts w:ascii="Arial" w:eastAsia="Times" w:hAnsi="Arial"/>
        </w:rPr>
        <w:t>,</w:t>
      </w:r>
      <w:r w:rsidR="008266DE">
        <w:rPr>
          <w:rFonts w:ascii="Arial" w:eastAsia="Times" w:hAnsi="Arial"/>
        </w:rPr>
        <w:t xml:space="preserve"> or at best marginal success</w:t>
      </w:r>
      <w:r w:rsidR="00B50F7B">
        <w:rPr>
          <w:rFonts w:ascii="Arial" w:eastAsia="Times" w:hAnsi="Arial"/>
        </w:rPr>
        <w:t>,</w:t>
      </w:r>
      <w:r w:rsidRPr="00E90B2E">
        <w:rPr>
          <w:rFonts w:ascii="Arial" w:eastAsia="Times" w:hAnsi="Arial"/>
        </w:rPr>
        <w:t xml:space="preserve"> in reducing levels of compulsory treatment also demonstrates that for real change to be achieved, the broader community (i.e. not just the constituent parts of the mental health system) needs to be part of a sophisticated conversation about how we respond to risk.</w:t>
      </w:r>
    </w:p>
    <w:p w14:paraId="64385C39" w14:textId="77777777" w:rsidR="00E90B2E" w:rsidRPr="00E90B2E" w:rsidRDefault="00E90B2E" w:rsidP="00E90B2E">
      <w:pPr>
        <w:spacing w:after="120"/>
        <w:contextualSpacing/>
        <w:jc w:val="both"/>
        <w:rPr>
          <w:rFonts w:ascii="Arial" w:eastAsia="Times" w:hAnsi="Arial"/>
        </w:rPr>
      </w:pPr>
    </w:p>
    <w:p w14:paraId="6136D138" w14:textId="5C6279DC" w:rsidR="00E90B2E" w:rsidRPr="00E90B2E" w:rsidRDefault="00E90B2E" w:rsidP="00E90B2E">
      <w:pPr>
        <w:spacing w:after="120"/>
        <w:contextualSpacing/>
        <w:jc w:val="both"/>
        <w:rPr>
          <w:rFonts w:ascii="Arial" w:eastAsia="Times" w:hAnsi="Arial"/>
        </w:rPr>
      </w:pPr>
      <w:r w:rsidRPr="00E90B2E">
        <w:rPr>
          <w:rFonts w:ascii="Arial" w:eastAsia="Times" w:hAnsi="Arial"/>
        </w:rPr>
        <w:t xml:space="preserve">Not only have the reforms envisaged by the Act stalled, arguably one of the tasks for which </w:t>
      </w:r>
      <w:r w:rsidR="00CD15C5">
        <w:rPr>
          <w:rFonts w:ascii="Arial" w:eastAsia="Times" w:hAnsi="Arial"/>
        </w:rPr>
        <w:t>the Act</w:t>
      </w:r>
      <w:r w:rsidRPr="00E90B2E">
        <w:rPr>
          <w:rFonts w:ascii="Arial" w:eastAsia="Times" w:hAnsi="Arial"/>
        </w:rPr>
        <w:t xml:space="preserve"> is primarily used is a purpose for which it was not designed – namely deciding how to allocate scarce resources.  The implications of this are significant.  </w:t>
      </w:r>
      <w:r w:rsidR="00065410">
        <w:rPr>
          <w:rFonts w:ascii="Arial" w:eastAsia="Times" w:hAnsi="Arial"/>
        </w:rPr>
        <w:t xml:space="preserve">Most concerningly </w:t>
      </w:r>
      <w:r w:rsidRPr="00E90B2E">
        <w:rPr>
          <w:rFonts w:ascii="Arial" w:eastAsia="Times" w:hAnsi="Arial"/>
        </w:rPr>
        <w:t>it results in inequality of access across voluntary and compulsory patients, as well as the illogical allocation of resources.</w:t>
      </w:r>
    </w:p>
    <w:p w14:paraId="0F053B5F" w14:textId="77777777" w:rsidR="00E90B2E" w:rsidRPr="00E90B2E" w:rsidRDefault="00E90B2E" w:rsidP="00E90B2E">
      <w:pPr>
        <w:spacing w:after="120"/>
        <w:contextualSpacing/>
        <w:jc w:val="both"/>
        <w:rPr>
          <w:rFonts w:ascii="Arial" w:eastAsia="Times" w:hAnsi="Arial"/>
        </w:rPr>
      </w:pPr>
    </w:p>
    <w:p w14:paraId="56C35FD0" w14:textId="1384C60A" w:rsidR="00E90B2E" w:rsidRPr="00E90B2E" w:rsidRDefault="00E90B2E" w:rsidP="00E90B2E">
      <w:pPr>
        <w:spacing w:after="120"/>
        <w:contextualSpacing/>
        <w:jc w:val="both"/>
        <w:rPr>
          <w:rFonts w:ascii="Arial" w:eastAsia="Times" w:hAnsi="Arial"/>
        </w:rPr>
      </w:pPr>
      <w:r w:rsidRPr="00E90B2E">
        <w:rPr>
          <w:rFonts w:ascii="Arial" w:eastAsia="Times" w:hAnsi="Arial"/>
        </w:rPr>
        <w:t xml:space="preserve">A person’s status under the Act should only be about defining the legal relationship </w:t>
      </w:r>
      <w:r w:rsidR="00CD15C5">
        <w:rPr>
          <w:rFonts w:ascii="Arial" w:eastAsia="Times" w:hAnsi="Arial"/>
        </w:rPr>
        <w:t xml:space="preserve">that exists </w:t>
      </w:r>
      <w:r w:rsidRPr="00E90B2E">
        <w:rPr>
          <w:rFonts w:ascii="Arial" w:eastAsia="Times" w:hAnsi="Arial"/>
        </w:rPr>
        <w:t>between th</w:t>
      </w:r>
      <w:r w:rsidR="000A5B9A">
        <w:rPr>
          <w:rFonts w:ascii="Arial" w:eastAsia="Times" w:hAnsi="Arial"/>
        </w:rPr>
        <w:t xml:space="preserve">at person </w:t>
      </w:r>
      <w:r w:rsidRPr="00E90B2E">
        <w:rPr>
          <w:rFonts w:ascii="Arial" w:eastAsia="Times" w:hAnsi="Arial"/>
        </w:rPr>
        <w:t xml:space="preserve">and </w:t>
      </w:r>
      <w:r w:rsidR="000A5B9A">
        <w:rPr>
          <w:rFonts w:ascii="Arial" w:eastAsia="Times" w:hAnsi="Arial"/>
        </w:rPr>
        <w:t>her or his</w:t>
      </w:r>
      <w:r w:rsidRPr="00E90B2E">
        <w:rPr>
          <w:rFonts w:ascii="Arial" w:eastAsia="Times" w:hAnsi="Arial"/>
        </w:rPr>
        <w:t xml:space="preserve"> treating team at a point in time, it should not determine the scope or elements of care and support provided to individual consumers.  Restricted autonomy should not be a hidden cost of attaining access to services, and voluntary engagement should not limit the availability of intensive, even assertive support.  However, in a system that is being constantly challenged to meet increasing demand without adequate resources these hidden costs and perverse incentives are real.</w:t>
      </w:r>
    </w:p>
    <w:p w14:paraId="203F8029" w14:textId="77777777" w:rsidR="00E90B2E" w:rsidRPr="00E90B2E" w:rsidRDefault="00E90B2E" w:rsidP="00E90B2E">
      <w:pPr>
        <w:spacing w:after="120"/>
        <w:contextualSpacing/>
        <w:jc w:val="both"/>
        <w:rPr>
          <w:rFonts w:ascii="Arial" w:eastAsia="Times" w:hAnsi="Arial"/>
        </w:rPr>
      </w:pPr>
    </w:p>
    <w:p w14:paraId="3F247751" w14:textId="74B97D25" w:rsidR="00E90B2E" w:rsidRPr="00E90B2E" w:rsidRDefault="00E90B2E" w:rsidP="00E90B2E">
      <w:pPr>
        <w:spacing w:after="120"/>
        <w:contextualSpacing/>
        <w:jc w:val="both"/>
        <w:rPr>
          <w:rFonts w:ascii="Arial" w:eastAsia="Times" w:hAnsi="Arial"/>
        </w:rPr>
      </w:pPr>
      <w:r w:rsidRPr="00E90B2E">
        <w:rPr>
          <w:rFonts w:ascii="Arial" w:eastAsia="Times" w:hAnsi="Arial"/>
        </w:rPr>
        <w:t xml:space="preserve">Using the Act as a resource allocation tool also appears to have resulted in a profound distortion of how it is intended to respond to mental health crises.  The Tribunal frequently observes an inverted bar governing access to and exit from compulsory treatment.  Put simply, voluntary consumers must become extraordinarily unwell before services will initiate a compulsory intervention.  However, for compulsory patients, services can be reluctant to switch to voluntary </w:t>
      </w:r>
      <w:r w:rsidRPr="00E90B2E">
        <w:rPr>
          <w:rFonts w:ascii="Arial" w:eastAsia="Times" w:hAnsi="Arial"/>
        </w:rPr>
        <w:lastRenderedPageBreak/>
        <w:t>engagement even after significant recovery.  This illogical approach to the allocation of resources ignores the fact that on its own terms the Act has a focus on preventing mental health crises, and instead positions compulsory interventions under the Act as a response that ‘mops up’ after a crisis has occurred.</w:t>
      </w:r>
    </w:p>
    <w:p w14:paraId="750230C5" w14:textId="77777777" w:rsidR="00E90B2E" w:rsidRPr="00E90B2E" w:rsidRDefault="00E90B2E" w:rsidP="00E90B2E">
      <w:pPr>
        <w:spacing w:after="120"/>
        <w:contextualSpacing/>
        <w:jc w:val="both"/>
        <w:rPr>
          <w:rFonts w:ascii="Arial" w:eastAsia="Times" w:hAnsi="Arial"/>
        </w:rPr>
      </w:pPr>
    </w:p>
    <w:p w14:paraId="7015E74E" w14:textId="01A8161C" w:rsidR="00E90B2E" w:rsidRPr="00E90B2E" w:rsidRDefault="00E90B2E" w:rsidP="00E90B2E">
      <w:pPr>
        <w:spacing w:after="120"/>
        <w:contextualSpacing/>
        <w:jc w:val="both"/>
        <w:rPr>
          <w:rFonts w:ascii="Arial" w:eastAsia="Times" w:hAnsi="Arial"/>
        </w:rPr>
      </w:pPr>
      <w:r w:rsidRPr="00E90B2E">
        <w:rPr>
          <w:rFonts w:ascii="Arial" w:eastAsia="Times" w:hAnsi="Arial"/>
        </w:rPr>
        <w:t>While acknowledging that so many of the deficiencies with the current system are a consequence of inadequate resourcing, the Tribunal’s view is that resourcing does not fully explain the current predicament, and as such</w:t>
      </w:r>
      <w:r w:rsidR="00CD15C5">
        <w:rPr>
          <w:rFonts w:ascii="Arial" w:eastAsia="Times" w:hAnsi="Arial"/>
        </w:rPr>
        <w:t>,</w:t>
      </w:r>
      <w:r w:rsidRPr="00E90B2E">
        <w:rPr>
          <w:rFonts w:ascii="Arial" w:eastAsia="Times" w:hAnsi="Arial"/>
        </w:rPr>
        <w:t xml:space="preserve"> </w:t>
      </w:r>
      <w:r w:rsidR="00E044EA">
        <w:rPr>
          <w:rFonts w:ascii="Arial" w:eastAsia="Times" w:hAnsi="Arial"/>
        </w:rPr>
        <w:t xml:space="preserve">increasing resources </w:t>
      </w:r>
      <w:r w:rsidRPr="00E90B2E">
        <w:rPr>
          <w:rFonts w:ascii="Arial" w:eastAsia="Times" w:hAnsi="Arial"/>
        </w:rPr>
        <w:t xml:space="preserve">cannot be the sole solution.  </w:t>
      </w:r>
      <w:r w:rsidR="00537940">
        <w:rPr>
          <w:rFonts w:ascii="Arial" w:eastAsia="Times" w:hAnsi="Arial"/>
        </w:rPr>
        <w:t>Arguably o</w:t>
      </w:r>
      <w:r w:rsidRPr="00E90B2E">
        <w:rPr>
          <w:rFonts w:ascii="Arial" w:eastAsia="Times" w:hAnsi="Arial"/>
        </w:rPr>
        <w:t xml:space="preserve">ne of the less obvious consequences of years of under-resourcing is an erosion of culture.  This is evidenced by </w:t>
      </w:r>
      <w:r w:rsidR="00E044EA">
        <w:rPr>
          <w:rFonts w:ascii="Arial" w:eastAsia="Times" w:hAnsi="Arial"/>
        </w:rPr>
        <w:t>many</w:t>
      </w:r>
      <w:r w:rsidR="00065410">
        <w:rPr>
          <w:rFonts w:ascii="Arial" w:eastAsia="Times" w:hAnsi="Arial"/>
        </w:rPr>
        <w:t xml:space="preserve"> of the significant issues that are the focus of this submission</w:t>
      </w:r>
      <w:r w:rsidR="00CD15C5">
        <w:rPr>
          <w:rFonts w:ascii="Arial" w:eastAsia="Times" w:hAnsi="Arial"/>
        </w:rPr>
        <w:t>.  O</w:t>
      </w:r>
      <w:r w:rsidR="00E044EA">
        <w:rPr>
          <w:rFonts w:ascii="Arial" w:eastAsia="Times" w:hAnsi="Arial"/>
        </w:rPr>
        <w:t xml:space="preserve">ne </w:t>
      </w:r>
      <w:r w:rsidR="00537940">
        <w:rPr>
          <w:rFonts w:ascii="Arial" w:eastAsia="Times" w:hAnsi="Arial"/>
        </w:rPr>
        <w:t xml:space="preserve">such </w:t>
      </w:r>
      <w:r w:rsidR="00E044EA">
        <w:rPr>
          <w:rFonts w:ascii="Arial" w:eastAsia="Times" w:hAnsi="Arial"/>
        </w:rPr>
        <w:t>example</w:t>
      </w:r>
      <w:r w:rsidR="00537940">
        <w:rPr>
          <w:rFonts w:ascii="Arial" w:eastAsia="Times" w:hAnsi="Arial"/>
        </w:rPr>
        <w:t xml:space="preserve"> </w:t>
      </w:r>
      <w:r w:rsidR="00E044EA">
        <w:rPr>
          <w:rFonts w:ascii="Arial" w:eastAsia="Times" w:hAnsi="Arial"/>
        </w:rPr>
        <w:t xml:space="preserve">is </w:t>
      </w:r>
      <w:r w:rsidR="00CD15C5">
        <w:rPr>
          <w:rFonts w:ascii="Arial" w:eastAsia="Times" w:hAnsi="Arial"/>
        </w:rPr>
        <w:t>the lack</w:t>
      </w:r>
      <w:r w:rsidR="00E044EA">
        <w:rPr>
          <w:rFonts w:ascii="Arial" w:eastAsia="Times" w:hAnsi="Arial"/>
        </w:rPr>
        <w:t xml:space="preserve"> of collaboration between separate parts of the current system</w:t>
      </w:r>
      <w:r w:rsidR="00537940">
        <w:rPr>
          <w:rFonts w:ascii="Arial" w:eastAsia="Times" w:hAnsi="Arial"/>
        </w:rPr>
        <w:t xml:space="preserve"> referred to above.</w:t>
      </w:r>
      <w:r w:rsidR="00E044EA">
        <w:rPr>
          <w:rFonts w:ascii="Arial" w:eastAsia="Times" w:hAnsi="Arial"/>
        </w:rPr>
        <w:t xml:space="preserve">  The Tribunal recognises that when </w:t>
      </w:r>
      <w:r w:rsidRPr="00E90B2E">
        <w:rPr>
          <w:rFonts w:ascii="Arial" w:eastAsia="Times" w:hAnsi="Arial"/>
        </w:rPr>
        <w:t xml:space="preserve">resourcing is inadequate cross-service collaboration </w:t>
      </w:r>
      <w:r w:rsidR="00E044EA">
        <w:rPr>
          <w:rFonts w:ascii="Arial" w:eastAsia="Times" w:hAnsi="Arial"/>
        </w:rPr>
        <w:t>may</w:t>
      </w:r>
      <w:r w:rsidRPr="00E90B2E">
        <w:rPr>
          <w:rFonts w:ascii="Arial" w:eastAsia="Times" w:hAnsi="Arial"/>
        </w:rPr>
        <w:t xml:space="preserve"> be difficult and slow, but abandoning efforts to collaborate points to a more fundamental </w:t>
      </w:r>
      <w:r w:rsidR="008F65A7">
        <w:rPr>
          <w:rFonts w:ascii="Arial" w:eastAsia="Times" w:hAnsi="Arial"/>
        </w:rPr>
        <w:t xml:space="preserve">and profound </w:t>
      </w:r>
      <w:r w:rsidRPr="00E90B2E">
        <w:rPr>
          <w:rFonts w:ascii="Arial" w:eastAsia="Times" w:hAnsi="Arial"/>
        </w:rPr>
        <w:t>deficit.  The erosion of culture is also evidenced by a number of ‘smaller things’ frequently observed by the Tribunal</w:t>
      </w:r>
      <w:r w:rsidR="00E044EA">
        <w:rPr>
          <w:rFonts w:ascii="Arial" w:eastAsia="Times" w:hAnsi="Arial"/>
        </w:rPr>
        <w:t xml:space="preserve"> and that are described in this submission</w:t>
      </w:r>
      <w:r w:rsidRPr="00E90B2E">
        <w:rPr>
          <w:rFonts w:ascii="Arial" w:eastAsia="Times" w:hAnsi="Arial"/>
        </w:rPr>
        <w:t>.</w:t>
      </w:r>
    </w:p>
    <w:p w14:paraId="1357915A" w14:textId="77777777" w:rsidR="00E90B2E" w:rsidRPr="00E90B2E" w:rsidRDefault="00E90B2E" w:rsidP="00E90B2E">
      <w:pPr>
        <w:spacing w:after="120"/>
        <w:contextualSpacing/>
        <w:jc w:val="both"/>
        <w:rPr>
          <w:rFonts w:ascii="Arial" w:eastAsia="Times" w:hAnsi="Arial"/>
        </w:rPr>
      </w:pPr>
    </w:p>
    <w:p w14:paraId="216FE078" w14:textId="0AA6EA6C" w:rsidR="00E90B2E" w:rsidRPr="00E90B2E" w:rsidRDefault="00C4175C" w:rsidP="00E90B2E">
      <w:pPr>
        <w:spacing w:after="120"/>
        <w:contextualSpacing/>
        <w:jc w:val="both"/>
        <w:rPr>
          <w:rFonts w:ascii="Arial" w:eastAsia="Times" w:hAnsi="Arial"/>
        </w:rPr>
      </w:pPr>
      <w:r>
        <w:rPr>
          <w:rFonts w:ascii="Arial" w:eastAsia="Times" w:hAnsi="Arial"/>
        </w:rPr>
        <w:t>T</w:t>
      </w:r>
      <w:r w:rsidR="00E044EA">
        <w:rPr>
          <w:rFonts w:ascii="Arial" w:eastAsia="Times" w:hAnsi="Arial"/>
        </w:rPr>
        <w:t>he</w:t>
      </w:r>
      <w:r w:rsidR="00E044EA" w:rsidRPr="00E044EA">
        <w:rPr>
          <w:rFonts w:ascii="Arial" w:eastAsia="Times" w:hAnsi="Arial"/>
        </w:rPr>
        <w:t xml:space="preserve"> mental health system of the future needs to be sustainable and capable of continued evolution so it can respond to the changing needs and expectations of consumers and carers. </w:t>
      </w:r>
      <w:r w:rsidR="00E044EA">
        <w:rPr>
          <w:rFonts w:ascii="Arial" w:eastAsia="Times" w:hAnsi="Arial"/>
        </w:rPr>
        <w:t xml:space="preserve"> </w:t>
      </w:r>
      <w:r w:rsidR="00E044EA" w:rsidRPr="00E044EA">
        <w:rPr>
          <w:rFonts w:ascii="Arial" w:eastAsia="Times" w:hAnsi="Arial"/>
        </w:rPr>
        <w:t>To achieve this aim, it must be underpinned by a culture of patient-focused, empathic service delivery</w:t>
      </w:r>
      <w:r w:rsidR="00B50F7B">
        <w:rPr>
          <w:rFonts w:ascii="Arial" w:eastAsia="Times" w:hAnsi="Arial"/>
        </w:rPr>
        <w:t>.  S</w:t>
      </w:r>
      <w:r>
        <w:rPr>
          <w:rFonts w:ascii="Arial" w:eastAsia="Times" w:hAnsi="Arial"/>
        </w:rPr>
        <w:t>uch a culture must be</w:t>
      </w:r>
      <w:r w:rsidR="00E044EA" w:rsidRPr="00E044EA">
        <w:rPr>
          <w:rFonts w:ascii="Arial" w:eastAsia="Times" w:hAnsi="Arial"/>
        </w:rPr>
        <w:t xml:space="preserve"> consistent across </w:t>
      </w:r>
      <w:r w:rsidR="008F65A7">
        <w:rPr>
          <w:rFonts w:ascii="Arial" w:eastAsia="Times" w:hAnsi="Arial"/>
        </w:rPr>
        <w:t>the systems’</w:t>
      </w:r>
      <w:r w:rsidR="00E044EA" w:rsidRPr="00E044EA">
        <w:rPr>
          <w:rFonts w:ascii="Arial" w:eastAsia="Times" w:hAnsi="Arial"/>
        </w:rPr>
        <w:t xml:space="preserve"> constitu</w:t>
      </w:r>
      <w:r w:rsidR="008F65A7">
        <w:rPr>
          <w:rFonts w:ascii="Arial" w:eastAsia="Times" w:hAnsi="Arial"/>
        </w:rPr>
        <w:t>ent</w:t>
      </w:r>
      <w:r w:rsidR="00E044EA" w:rsidRPr="00E044EA">
        <w:rPr>
          <w:rFonts w:ascii="Arial" w:eastAsia="Times" w:hAnsi="Arial"/>
        </w:rPr>
        <w:t xml:space="preserve"> parts, robust and </w:t>
      </w:r>
      <w:r w:rsidR="00CD15C5">
        <w:rPr>
          <w:rFonts w:ascii="Arial" w:eastAsia="Times" w:hAnsi="Arial"/>
        </w:rPr>
        <w:t xml:space="preserve">monitored </w:t>
      </w:r>
      <w:r w:rsidR="00E044EA" w:rsidRPr="00E044EA">
        <w:rPr>
          <w:rFonts w:ascii="Arial" w:eastAsia="Times" w:hAnsi="Arial"/>
        </w:rPr>
        <w:t>proactively</w:t>
      </w:r>
      <w:r w:rsidR="00CD15C5">
        <w:rPr>
          <w:rFonts w:ascii="Arial" w:eastAsia="Times" w:hAnsi="Arial"/>
        </w:rPr>
        <w:t>.</w:t>
      </w:r>
      <w:r w:rsidR="00E044EA" w:rsidRPr="00E044EA">
        <w:rPr>
          <w:rFonts w:ascii="Arial" w:eastAsia="Times" w:hAnsi="Arial"/>
        </w:rPr>
        <w:t xml:space="preserve"> </w:t>
      </w:r>
      <w:r w:rsidR="00E044EA">
        <w:rPr>
          <w:rFonts w:ascii="Arial" w:eastAsia="Times" w:hAnsi="Arial"/>
        </w:rPr>
        <w:t xml:space="preserve"> T</w:t>
      </w:r>
      <w:r w:rsidR="00E90B2E" w:rsidRPr="00E90B2E">
        <w:rPr>
          <w:rFonts w:ascii="Arial" w:eastAsia="Times" w:hAnsi="Arial"/>
        </w:rPr>
        <w:t xml:space="preserve">hat culture can be articulated now, and steps taken to begin to embed it so that there is a </w:t>
      </w:r>
      <w:r w:rsidR="00F81B37">
        <w:rPr>
          <w:rFonts w:ascii="Arial" w:eastAsia="Times" w:hAnsi="Arial"/>
        </w:rPr>
        <w:t>solid foundation</w:t>
      </w:r>
      <w:r w:rsidR="00E90B2E" w:rsidRPr="00E90B2E">
        <w:rPr>
          <w:rFonts w:ascii="Arial" w:eastAsia="Times" w:hAnsi="Arial"/>
        </w:rPr>
        <w:t xml:space="preserve"> </w:t>
      </w:r>
      <w:r w:rsidR="00CD15C5">
        <w:rPr>
          <w:rFonts w:ascii="Arial" w:eastAsia="Times" w:hAnsi="Arial"/>
        </w:rPr>
        <w:t>in place to</w:t>
      </w:r>
      <w:r w:rsidR="00F81B37">
        <w:rPr>
          <w:rFonts w:ascii="Arial" w:eastAsia="Times" w:hAnsi="Arial"/>
        </w:rPr>
        <w:t xml:space="preserve"> support</w:t>
      </w:r>
      <w:r w:rsidR="00E90B2E" w:rsidRPr="00E90B2E">
        <w:rPr>
          <w:rFonts w:ascii="Arial" w:eastAsia="Times" w:hAnsi="Arial"/>
        </w:rPr>
        <w:t xml:space="preserve"> the service system that emerges from the recommendations of this Royal Commission.</w:t>
      </w:r>
    </w:p>
    <w:p w14:paraId="298E265A" w14:textId="77777777" w:rsidR="009800E2" w:rsidRDefault="009800E2" w:rsidP="00E86F4D">
      <w:pPr>
        <w:spacing w:after="120"/>
        <w:contextualSpacing/>
        <w:jc w:val="both"/>
        <w:rPr>
          <w:rFonts w:ascii="Arial" w:eastAsia="Times" w:hAnsi="Arial"/>
        </w:rPr>
      </w:pPr>
    </w:p>
    <w:p w14:paraId="433FDB22" w14:textId="02349AD2" w:rsidR="00543059" w:rsidRDefault="00543059" w:rsidP="00E86F4D">
      <w:pPr>
        <w:spacing w:after="120"/>
        <w:contextualSpacing/>
        <w:jc w:val="both"/>
        <w:rPr>
          <w:rFonts w:ascii="Arial" w:hAnsi="Arial"/>
          <w:b/>
          <w:caps/>
          <w:sz w:val="32"/>
          <w:szCs w:val="32"/>
        </w:rPr>
      </w:pPr>
      <w:r>
        <w:rPr>
          <w:rFonts w:ascii="Arial" w:hAnsi="Arial"/>
          <w:b/>
          <w:caps/>
          <w:sz w:val="32"/>
          <w:szCs w:val="32"/>
        </w:rPr>
        <w:br w:type="page"/>
      </w:r>
    </w:p>
    <w:p w14:paraId="14423257" w14:textId="288CF92C" w:rsidR="00370586" w:rsidRPr="00370586" w:rsidRDefault="00370586" w:rsidP="00370586">
      <w:pPr>
        <w:keepNext/>
        <w:keepLines/>
        <w:spacing w:before="240" w:after="90"/>
        <w:contextualSpacing/>
        <w:outlineLvl w:val="1"/>
        <w:rPr>
          <w:rFonts w:ascii="Arial" w:hAnsi="Arial"/>
          <w:b/>
          <w:caps/>
          <w:sz w:val="32"/>
          <w:szCs w:val="32"/>
        </w:rPr>
      </w:pPr>
      <w:r w:rsidRPr="00370586">
        <w:rPr>
          <w:rFonts w:ascii="Arial" w:hAnsi="Arial"/>
          <w:b/>
          <w:caps/>
          <w:sz w:val="32"/>
          <w:szCs w:val="32"/>
        </w:rPr>
        <w:lastRenderedPageBreak/>
        <w:t>Part A:</w:t>
      </w:r>
      <w:r w:rsidRPr="00370586">
        <w:rPr>
          <w:rFonts w:ascii="Arial" w:hAnsi="Arial"/>
          <w:b/>
          <w:caps/>
          <w:sz w:val="32"/>
          <w:szCs w:val="32"/>
        </w:rPr>
        <w:tab/>
      </w:r>
      <w:r w:rsidRPr="00370586">
        <w:rPr>
          <w:rFonts w:ascii="Arial" w:hAnsi="Arial"/>
          <w:b/>
          <w:caps/>
          <w:sz w:val="32"/>
          <w:szCs w:val="32"/>
        </w:rPr>
        <w:tab/>
        <w:t>Introduction and Context</w:t>
      </w:r>
    </w:p>
    <w:p w14:paraId="4A91F7F1" w14:textId="77777777" w:rsidR="00370586" w:rsidRPr="00370586" w:rsidRDefault="00370586" w:rsidP="00370586">
      <w:pPr>
        <w:spacing w:after="120"/>
        <w:jc w:val="both"/>
        <w:rPr>
          <w:rFonts w:ascii="Arial" w:eastAsia="Times" w:hAnsi="Arial"/>
        </w:rPr>
      </w:pPr>
    </w:p>
    <w:p w14:paraId="5CE1A533" w14:textId="1DB8478B" w:rsidR="00370586" w:rsidRPr="00370586" w:rsidRDefault="0093540F" w:rsidP="0093540F">
      <w:pPr>
        <w:keepNext/>
        <w:keepLines/>
        <w:spacing w:before="240" w:after="90"/>
        <w:contextualSpacing/>
        <w:outlineLvl w:val="1"/>
        <w:rPr>
          <w:rFonts w:ascii="Arial" w:hAnsi="Arial"/>
          <w:b/>
          <w:sz w:val="28"/>
          <w:szCs w:val="28"/>
        </w:rPr>
      </w:pPr>
      <w:r>
        <w:rPr>
          <w:rFonts w:ascii="Arial" w:hAnsi="Arial"/>
          <w:b/>
          <w:sz w:val="28"/>
          <w:szCs w:val="28"/>
        </w:rPr>
        <w:t xml:space="preserve">1. </w:t>
      </w:r>
      <w:r w:rsidR="00370586" w:rsidRPr="00370586">
        <w:rPr>
          <w:rFonts w:ascii="Arial" w:hAnsi="Arial"/>
          <w:b/>
          <w:sz w:val="28"/>
          <w:szCs w:val="28"/>
        </w:rPr>
        <w:t>Introduction</w:t>
      </w:r>
    </w:p>
    <w:p w14:paraId="73EF0898" w14:textId="77777777" w:rsidR="00543059" w:rsidRDefault="00543059" w:rsidP="00370586">
      <w:pPr>
        <w:spacing w:before="240" w:after="120"/>
        <w:contextualSpacing/>
        <w:jc w:val="both"/>
        <w:rPr>
          <w:rFonts w:ascii="Arial" w:eastAsiaTheme="minorHAnsi" w:hAnsi="Arial" w:cs="Arial"/>
        </w:rPr>
      </w:pPr>
    </w:p>
    <w:p w14:paraId="578B8EC3" w14:textId="45045919" w:rsidR="00370586" w:rsidRPr="00370586" w:rsidRDefault="00370586" w:rsidP="00370586">
      <w:pPr>
        <w:spacing w:before="240" w:after="120"/>
        <w:contextualSpacing/>
        <w:jc w:val="both"/>
        <w:rPr>
          <w:rFonts w:ascii="Arial" w:eastAsiaTheme="minorHAnsi" w:hAnsi="Arial" w:cs="Arial"/>
        </w:rPr>
      </w:pPr>
      <w:r w:rsidRPr="00370586">
        <w:rPr>
          <w:rFonts w:ascii="Arial" w:eastAsiaTheme="minorHAnsi" w:hAnsi="Arial" w:cs="Arial"/>
        </w:rPr>
        <w:t xml:space="preserve">The Mental Health Tribunal (Tribunal) was established under the </w:t>
      </w:r>
      <w:r w:rsidRPr="00370586">
        <w:rPr>
          <w:rFonts w:ascii="Arial" w:eastAsiaTheme="minorHAnsi" w:hAnsi="Arial" w:cs="Arial"/>
          <w:i/>
        </w:rPr>
        <w:t xml:space="preserve">Mental Health Act 2014 </w:t>
      </w:r>
      <w:r w:rsidRPr="00370586">
        <w:rPr>
          <w:rFonts w:ascii="Arial" w:eastAsiaTheme="minorHAnsi" w:hAnsi="Arial" w:cs="Arial"/>
        </w:rPr>
        <w:t>(the Act) and commenced operation on 1 July 2014, replacing the former Mental Health Review Board (Board). The Tribunal is an essential safeguard under the Act to protect the rights and dignity of people with mental illness.  The Tribunal has a range of functions, the most relevant to the Royal Commission being:</w:t>
      </w:r>
    </w:p>
    <w:p w14:paraId="1FF0A4A3" w14:textId="77777777" w:rsidR="00370586" w:rsidRPr="00370586" w:rsidRDefault="00370586" w:rsidP="00370586">
      <w:pPr>
        <w:spacing w:before="240" w:after="120"/>
        <w:contextualSpacing/>
        <w:jc w:val="both"/>
        <w:rPr>
          <w:rFonts w:ascii="Arial" w:eastAsiaTheme="minorHAnsi" w:hAnsi="Arial" w:cs="Arial"/>
        </w:rPr>
      </w:pPr>
    </w:p>
    <w:p w14:paraId="6DE8B3DD" w14:textId="19062D5D" w:rsidR="00370586" w:rsidRPr="00370586" w:rsidRDefault="003771DA" w:rsidP="00370586">
      <w:pPr>
        <w:numPr>
          <w:ilvl w:val="0"/>
          <w:numId w:val="11"/>
        </w:numPr>
        <w:spacing w:before="240" w:after="120"/>
        <w:contextualSpacing/>
        <w:jc w:val="both"/>
        <w:rPr>
          <w:rFonts w:ascii="Arial" w:eastAsiaTheme="minorHAnsi" w:hAnsi="Arial" w:cs="Arial"/>
        </w:rPr>
      </w:pPr>
      <w:r>
        <w:rPr>
          <w:rFonts w:ascii="Arial" w:eastAsiaTheme="minorHAnsi" w:hAnsi="Arial" w:cs="Arial"/>
        </w:rPr>
        <w:t>d</w:t>
      </w:r>
      <w:r w:rsidR="00370586" w:rsidRPr="00370586">
        <w:rPr>
          <w:rFonts w:ascii="Arial" w:eastAsiaTheme="minorHAnsi" w:hAnsi="Arial" w:cs="Arial"/>
        </w:rPr>
        <w:t>etermining whether to make</w:t>
      </w:r>
      <w:r>
        <w:rPr>
          <w:rFonts w:ascii="Arial" w:eastAsiaTheme="minorHAnsi" w:hAnsi="Arial" w:cs="Arial"/>
        </w:rPr>
        <w:t xml:space="preserve"> (or revoke) a</w:t>
      </w:r>
      <w:r w:rsidR="00370586" w:rsidRPr="00370586">
        <w:rPr>
          <w:rFonts w:ascii="Arial" w:eastAsiaTheme="minorHAnsi" w:hAnsi="Arial" w:cs="Arial"/>
        </w:rPr>
        <w:t xml:space="preserve"> Treatment Order</w:t>
      </w:r>
      <w:r>
        <w:rPr>
          <w:rFonts w:ascii="Arial" w:eastAsiaTheme="minorHAnsi" w:hAnsi="Arial" w:cs="Arial"/>
        </w:rPr>
        <w:t xml:space="preserve"> (TO)</w:t>
      </w:r>
      <w:r w:rsidR="00370586" w:rsidRPr="00370586">
        <w:rPr>
          <w:rFonts w:ascii="Arial" w:eastAsiaTheme="minorHAnsi" w:hAnsi="Arial" w:cs="Arial"/>
        </w:rPr>
        <w:t xml:space="preserve"> that require</w:t>
      </w:r>
      <w:r>
        <w:rPr>
          <w:rFonts w:ascii="Arial" w:eastAsiaTheme="minorHAnsi" w:hAnsi="Arial" w:cs="Arial"/>
        </w:rPr>
        <w:t>s</w:t>
      </w:r>
      <w:r w:rsidR="00370586" w:rsidRPr="00370586">
        <w:rPr>
          <w:rFonts w:ascii="Arial" w:eastAsiaTheme="minorHAnsi" w:hAnsi="Arial" w:cs="Arial"/>
        </w:rPr>
        <w:t xml:space="preserve"> a person to have compulsory treatment for a mental illness either in an inpatient setting, or while living in the community</w:t>
      </w:r>
      <w:r>
        <w:rPr>
          <w:rFonts w:ascii="Arial" w:eastAsiaTheme="minorHAnsi" w:hAnsi="Arial" w:cs="Arial"/>
        </w:rPr>
        <w:t>;</w:t>
      </w:r>
    </w:p>
    <w:p w14:paraId="13491D66" w14:textId="77777777" w:rsidR="00370586" w:rsidRPr="00370586" w:rsidRDefault="00370586" w:rsidP="00370586">
      <w:pPr>
        <w:spacing w:before="240" w:after="120"/>
        <w:ind w:left="720"/>
        <w:contextualSpacing/>
        <w:jc w:val="both"/>
        <w:rPr>
          <w:rFonts w:ascii="Arial" w:eastAsiaTheme="minorHAnsi" w:hAnsi="Arial" w:cs="Arial"/>
        </w:rPr>
      </w:pPr>
    </w:p>
    <w:p w14:paraId="76F98C1F" w14:textId="33F39AE1" w:rsidR="00370586" w:rsidRPr="00370586" w:rsidRDefault="003771DA" w:rsidP="00370586">
      <w:pPr>
        <w:numPr>
          <w:ilvl w:val="0"/>
          <w:numId w:val="11"/>
        </w:numPr>
        <w:spacing w:before="240" w:after="120"/>
        <w:contextualSpacing/>
        <w:jc w:val="both"/>
        <w:rPr>
          <w:rFonts w:ascii="Arial" w:eastAsiaTheme="minorHAnsi" w:hAnsi="Arial" w:cs="Arial"/>
        </w:rPr>
      </w:pPr>
      <w:r>
        <w:rPr>
          <w:rFonts w:ascii="Arial" w:eastAsiaTheme="minorHAnsi" w:hAnsi="Arial" w:cs="Arial"/>
        </w:rPr>
        <w:t>r</w:t>
      </w:r>
      <w:r w:rsidR="00370586" w:rsidRPr="00370586">
        <w:rPr>
          <w:rFonts w:ascii="Arial" w:eastAsiaTheme="minorHAnsi" w:hAnsi="Arial" w:cs="Arial"/>
        </w:rPr>
        <w:t>eviewing Secure Treatment Orders</w:t>
      </w:r>
      <w:r w:rsidR="00363BEA">
        <w:rPr>
          <w:rFonts w:ascii="Arial" w:eastAsiaTheme="minorHAnsi" w:hAnsi="Arial" w:cs="Arial"/>
        </w:rPr>
        <w:t xml:space="preserve"> (STO)</w:t>
      </w:r>
      <w:r w:rsidR="00370586" w:rsidRPr="00370586">
        <w:rPr>
          <w:rFonts w:ascii="Arial" w:eastAsiaTheme="minorHAnsi" w:hAnsi="Arial" w:cs="Arial"/>
        </w:rPr>
        <w:t xml:space="preserve"> that require a person who is either on remand or serving a custodial sentence, to have compulsory inpatient treatment for a mental illness at Thomas Embling Hospital</w:t>
      </w:r>
      <w:r>
        <w:rPr>
          <w:rFonts w:ascii="Arial" w:eastAsiaTheme="minorHAnsi" w:hAnsi="Arial" w:cs="Arial"/>
        </w:rPr>
        <w:t>; and</w:t>
      </w:r>
    </w:p>
    <w:p w14:paraId="5E8178B2" w14:textId="77777777" w:rsidR="00370586" w:rsidRPr="00370586" w:rsidRDefault="00370586" w:rsidP="00370586">
      <w:pPr>
        <w:spacing w:before="240" w:after="120"/>
        <w:ind w:left="720"/>
        <w:contextualSpacing/>
        <w:jc w:val="both"/>
        <w:rPr>
          <w:rFonts w:ascii="Arial" w:eastAsiaTheme="minorHAnsi" w:hAnsi="Arial" w:cs="Arial"/>
        </w:rPr>
      </w:pPr>
    </w:p>
    <w:p w14:paraId="2800332F" w14:textId="23897053" w:rsidR="00370586" w:rsidRDefault="003771DA" w:rsidP="00370586">
      <w:pPr>
        <w:numPr>
          <w:ilvl w:val="0"/>
          <w:numId w:val="11"/>
        </w:numPr>
        <w:spacing w:before="240" w:after="120"/>
        <w:contextualSpacing/>
        <w:jc w:val="both"/>
        <w:rPr>
          <w:rFonts w:ascii="Arial" w:eastAsiaTheme="minorHAnsi" w:hAnsi="Arial" w:cs="Arial"/>
        </w:rPr>
      </w:pPr>
      <w:r>
        <w:rPr>
          <w:rFonts w:ascii="Arial" w:eastAsiaTheme="minorHAnsi" w:hAnsi="Arial" w:cs="Arial"/>
        </w:rPr>
        <w:t>d</w:t>
      </w:r>
      <w:r w:rsidR="00370586" w:rsidRPr="00370586">
        <w:rPr>
          <w:rFonts w:ascii="Arial" w:eastAsiaTheme="minorHAnsi" w:hAnsi="Arial" w:cs="Arial"/>
        </w:rPr>
        <w:t>etermining whether to make an Electroconvulsive Treatment Order that authorises the use of electroconvulsive treatment (ECT) in the treatment of adults who lack capacity to provide informed consent (whether voluntary, compulsory, security or forensic patients), and in any instance where the person being treated is less than 18 years old.</w:t>
      </w:r>
    </w:p>
    <w:p w14:paraId="63A7CB36" w14:textId="77777777" w:rsidR="00BC3323" w:rsidRDefault="00BC3323" w:rsidP="00BC3323">
      <w:pPr>
        <w:spacing w:before="240" w:after="120"/>
        <w:contextualSpacing/>
        <w:jc w:val="both"/>
        <w:rPr>
          <w:rFonts w:ascii="Arial" w:eastAsiaTheme="minorHAnsi" w:hAnsi="Arial" w:cs="Arial"/>
        </w:rPr>
      </w:pPr>
    </w:p>
    <w:p w14:paraId="6E87A327" w14:textId="1F87ACDB" w:rsidR="00BC3323" w:rsidRPr="00370586" w:rsidRDefault="00BC3323" w:rsidP="00BC3323">
      <w:pPr>
        <w:spacing w:before="240" w:after="120"/>
        <w:contextualSpacing/>
        <w:jc w:val="both"/>
        <w:rPr>
          <w:rFonts w:ascii="Arial" w:eastAsiaTheme="minorHAnsi" w:hAnsi="Arial" w:cs="Arial"/>
        </w:rPr>
      </w:pPr>
      <w:r w:rsidRPr="00370586">
        <w:rPr>
          <w:rFonts w:ascii="Arial" w:eastAsiaTheme="minorHAnsi" w:hAnsi="Arial" w:cs="Arial"/>
        </w:rPr>
        <w:t>In 2018/19 the Tribunal</w:t>
      </w:r>
      <w:r>
        <w:rPr>
          <w:rFonts w:ascii="Arial" w:eastAsiaTheme="minorHAnsi" w:hAnsi="Arial" w:cs="Arial"/>
        </w:rPr>
        <w:t xml:space="preserve"> will</w:t>
      </w:r>
      <w:r w:rsidRPr="00370586">
        <w:rPr>
          <w:rFonts w:ascii="Arial" w:eastAsiaTheme="minorHAnsi" w:hAnsi="Arial" w:cs="Arial"/>
        </w:rPr>
        <w:t xml:space="preserve"> conduct </w:t>
      </w:r>
      <w:r>
        <w:rPr>
          <w:rFonts w:ascii="Arial" w:eastAsiaTheme="minorHAnsi" w:hAnsi="Arial" w:cs="Arial"/>
        </w:rPr>
        <w:t>more than 8,000</w:t>
      </w:r>
      <w:r w:rsidRPr="00370586">
        <w:rPr>
          <w:rFonts w:ascii="Arial" w:eastAsiaTheme="minorHAnsi" w:hAnsi="Arial" w:cs="Arial"/>
        </w:rPr>
        <w:t xml:space="preserve"> hearings.  The majority of these are conducted in-person which means the Tribunal visits </w:t>
      </w:r>
      <w:r w:rsidRPr="003F748F">
        <w:rPr>
          <w:rFonts w:ascii="Arial" w:eastAsiaTheme="minorHAnsi" w:hAnsi="Arial" w:cs="Arial"/>
        </w:rPr>
        <w:t>57</w:t>
      </w:r>
      <w:r w:rsidRPr="00370586">
        <w:rPr>
          <w:rFonts w:ascii="Arial" w:eastAsiaTheme="minorHAnsi" w:hAnsi="Arial" w:cs="Arial"/>
        </w:rPr>
        <w:t xml:space="preserve"> mental health inpatient units and community clinics across Victoria on a regular basis.  Consumers and carers</w:t>
      </w:r>
      <w:r w:rsidR="00AF4644">
        <w:rPr>
          <w:rFonts w:ascii="Arial" w:eastAsiaTheme="minorHAnsi" w:hAnsi="Arial" w:cs="Arial"/>
        </w:rPr>
        <w:t xml:space="preserve"> / support people</w:t>
      </w:r>
      <w:r w:rsidRPr="00370586">
        <w:rPr>
          <w:rFonts w:ascii="Arial" w:eastAsiaTheme="minorHAnsi" w:hAnsi="Arial" w:cs="Arial"/>
        </w:rPr>
        <w:t xml:space="preserve"> are always encouraged to attend hearings, </w:t>
      </w:r>
      <w:r w:rsidR="00AF4644">
        <w:rPr>
          <w:rFonts w:ascii="Arial" w:eastAsiaTheme="minorHAnsi" w:hAnsi="Arial" w:cs="Arial"/>
        </w:rPr>
        <w:t xml:space="preserve">in 2017/18 </w:t>
      </w:r>
      <w:r w:rsidRPr="00370586">
        <w:rPr>
          <w:rFonts w:ascii="Arial" w:eastAsiaTheme="minorHAnsi" w:hAnsi="Arial" w:cs="Arial"/>
        </w:rPr>
        <w:t>consumers d</w:t>
      </w:r>
      <w:r w:rsidR="00AF4644">
        <w:rPr>
          <w:rFonts w:ascii="Arial" w:eastAsiaTheme="minorHAnsi" w:hAnsi="Arial" w:cs="Arial"/>
        </w:rPr>
        <w:t>id</w:t>
      </w:r>
      <w:r w:rsidRPr="00370586">
        <w:rPr>
          <w:rFonts w:ascii="Arial" w:eastAsiaTheme="minorHAnsi" w:hAnsi="Arial" w:cs="Arial"/>
        </w:rPr>
        <w:t xml:space="preserve"> so in </w:t>
      </w:r>
      <w:r w:rsidR="00AF4644">
        <w:rPr>
          <w:rFonts w:ascii="Arial" w:eastAsiaTheme="minorHAnsi" w:hAnsi="Arial" w:cs="Arial"/>
        </w:rPr>
        <w:t xml:space="preserve">57% </w:t>
      </w:r>
      <w:r w:rsidRPr="00370586">
        <w:rPr>
          <w:rFonts w:ascii="Arial" w:eastAsiaTheme="minorHAnsi" w:hAnsi="Arial" w:cs="Arial"/>
        </w:rPr>
        <w:t xml:space="preserve">of </w:t>
      </w:r>
      <w:r w:rsidR="00AF4644">
        <w:rPr>
          <w:rFonts w:ascii="Arial" w:eastAsiaTheme="minorHAnsi" w:hAnsi="Arial" w:cs="Arial"/>
        </w:rPr>
        <w:t>hearing</w:t>
      </w:r>
      <w:r w:rsidRPr="00370586">
        <w:rPr>
          <w:rFonts w:ascii="Arial" w:eastAsiaTheme="minorHAnsi" w:hAnsi="Arial" w:cs="Arial"/>
        </w:rPr>
        <w:t>s, carers</w:t>
      </w:r>
      <w:r w:rsidR="00AF4644">
        <w:rPr>
          <w:rFonts w:ascii="Arial" w:eastAsiaTheme="minorHAnsi" w:hAnsi="Arial" w:cs="Arial"/>
        </w:rPr>
        <w:t xml:space="preserve"> / support people</w:t>
      </w:r>
      <w:r w:rsidRPr="00370586">
        <w:rPr>
          <w:rFonts w:ascii="Arial" w:eastAsiaTheme="minorHAnsi" w:hAnsi="Arial" w:cs="Arial"/>
        </w:rPr>
        <w:t xml:space="preserve"> attend in </w:t>
      </w:r>
      <w:r w:rsidR="00AF4644">
        <w:rPr>
          <w:rFonts w:ascii="Arial" w:eastAsiaTheme="minorHAnsi" w:hAnsi="Arial" w:cs="Arial"/>
        </w:rPr>
        <w:t>27%.</w:t>
      </w:r>
      <w:r w:rsidRPr="00370586">
        <w:rPr>
          <w:rFonts w:ascii="Arial" w:eastAsiaTheme="minorHAnsi" w:hAnsi="Arial" w:cs="Arial"/>
        </w:rPr>
        <w:t xml:space="preserve">  (Raising attendance levels of consumers and carers is a constant focus of the Tribunal and an issue we are seeking to address through a broad range of initiatives described below at</w:t>
      </w:r>
      <w:r w:rsidR="000A5B9A">
        <w:rPr>
          <w:rFonts w:ascii="Arial" w:eastAsiaTheme="minorHAnsi" w:hAnsi="Arial" w:cs="Arial"/>
        </w:rPr>
        <w:t xml:space="preserve"> Part B – 4.1.1</w:t>
      </w:r>
      <w:r w:rsidRPr="00370586">
        <w:rPr>
          <w:rFonts w:ascii="Arial" w:eastAsiaTheme="minorHAnsi" w:hAnsi="Arial" w:cs="Arial"/>
        </w:rPr>
        <w:t>)</w:t>
      </w:r>
    </w:p>
    <w:p w14:paraId="648B1390" w14:textId="77777777" w:rsidR="00BC3323" w:rsidRPr="00370586" w:rsidRDefault="00BC3323" w:rsidP="00BC3323">
      <w:pPr>
        <w:spacing w:before="240" w:after="120"/>
        <w:contextualSpacing/>
        <w:jc w:val="both"/>
        <w:rPr>
          <w:rFonts w:ascii="Arial" w:eastAsiaTheme="minorHAnsi" w:hAnsi="Arial" w:cs="Arial"/>
        </w:rPr>
      </w:pPr>
    </w:p>
    <w:p w14:paraId="2AB868D8" w14:textId="77777777" w:rsidR="00370586" w:rsidRPr="008D0B5D" w:rsidRDefault="00370586" w:rsidP="00370586">
      <w:pPr>
        <w:keepNext/>
        <w:keepLines/>
        <w:spacing w:before="240" w:after="90"/>
        <w:contextualSpacing/>
        <w:jc w:val="both"/>
        <w:outlineLvl w:val="1"/>
        <w:rPr>
          <w:rFonts w:ascii="Arial" w:hAnsi="Arial"/>
          <w:b/>
          <w:sz w:val="24"/>
          <w:szCs w:val="24"/>
        </w:rPr>
      </w:pPr>
      <w:r w:rsidRPr="008D0B5D">
        <w:rPr>
          <w:rFonts w:ascii="Arial" w:hAnsi="Arial"/>
          <w:b/>
          <w:sz w:val="24"/>
          <w:szCs w:val="24"/>
        </w:rPr>
        <w:t>1.1  This submission</w:t>
      </w:r>
    </w:p>
    <w:p w14:paraId="0D5BD9B7" w14:textId="77777777" w:rsidR="00543059" w:rsidRDefault="00543059" w:rsidP="00370586">
      <w:pPr>
        <w:spacing w:before="240" w:after="120"/>
        <w:contextualSpacing/>
        <w:jc w:val="both"/>
        <w:rPr>
          <w:rFonts w:ascii="Arial" w:eastAsiaTheme="minorHAnsi" w:hAnsi="Arial" w:cs="Arial"/>
        </w:rPr>
      </w:pPr>
    </w:p>
    <w:p w14:paraId="22BB4EDC" w14:textId="3B928AD9" w:rsidR="00370586" w:rsidRDefault="00370586" w:rsidP="00370586">
      <w:pPr>
        <w:spacing w:before="240" w:after="120"/>
        <w:contextualSpacing/>
        <w:jc w:val="both"/>
        <w:rPr>
          <w:rFonts w:ascii="Arial" w:eastAsiaTheme="minorHAnsi" w:hAnsi="Arial" w:cs="Arial"/>
        </w:rPr>
      </w:pPr>
      <w:r w:rsidRPr="00370586">
        <w:rPr>
          <w:rFonts w:ascii="Arial" w:eastAsiaTheme="minorHAnsi" w:hAnsi="Arial" w:cs="Arial"/>
        </w:rPr>
        <w:t>The Tribunal does not presume to speak for consumers and carers, but through the performance of our functions we become the custodian of innumerable stories of peoples’ engagement with the mental health system, when that engagement is</w:t>
      </w:r>
      <w:r w:rsidR="00FC44DA">
        <w:rPr>
          <w:rFonts w:ascii="Arial" w:eastAsiaTheme="minorHAnsi" w:hAnsi="Arial" w:cs="Arial"/>
        </w:rPr>
        <w:t xml:space="preserve"> with clinical mental health services</w:t>
      </w:r>
      <w:r w:rsidRPr="00370586">
        <w:rPr>
          <w:rFonts w:ascii="Arial" w:eastAsiaTheme="minorHAnsi" w:hAnsi="Arial" w:cs="Arial"/>
        </w:rPr>
        <w:t xml:space="preserve"> on a compulsory basis.  This provides the Tribunal with a unique perspective and substantial body of evidence on which to base this submission.  However, it does not mean we have knowledge of all aspects of the mental health system, or all the matters being examined by the Royal Commission, therefore this submission only responds to some of the questions posed by the Royal Commission.</w:t>
      </w:r>
    </w:p>
    <w:p w14:paraId="7FE57847" w14:textId="77777777" w:rsidR="00FC44DA" w:rsidRPr="00370586" w:rsidRDefault="00FC44DA" w:rsidP="00370586">
      <w:pPr>
        <w:spacing w:before="240" w:after="120"/>
        <w:contextualSpacing/>
        <w:jc w:val="both"/>
        <w:rPr>
          <w:rFonts w:ascii="Arial" w:eastAsiaTheme="minorHAnsi" w:hAnsi="Arial" w:cs="Arial"/>
        </w:rPr>
      </w:pPr>
    </w:p>
    <w:p w14:paraId="06CD10B0" w14:textId="77777777" w:rsidR="00370586" w:rsidRPr="00370586" w:rsidRDefault="00370586" w:rsidP="00370586">
      <w:pPr>
        <w:spacing w:before="240" w:after="120"/>
        <w:contextualSpacing/>
        <w:jc w:val="both"/>
        <w:rPr>
          <w:rFonts w:ascii="Arial" w:eastAsiaTheme="minorHAnsi" w:hAnsi="Arial" w:cs="Arial"/>
        </w:rPr>
      </w:pPr>
      <w:r w:rsidRPr="00370586">
        <w:rPr>
          <w:rFonts w:ascii="Arial" w:eastAsiaTheme="minorHAnsi" w:hAnsi="Arial" w:cs="Arial"/>
        </w:rPr>
        <w:t>This submission covers the following matters:</w:t>
      </w:r>
    </w:p>
    <w:p w14:paraId="0405DD59" w14:textId="77777777" w:rsidR="00370586" w:rsidRPr="00370586" w:rsidRDefault="00370586" w:rsidP="00370586">
      <w:pPr>
        <w:spacing w:before="240" w:after="120"/>
        <w:contextualSpacing/>
        <w:jc w:val="both"/>
        <w:rPr>
          <w:rFonts w:ascii="Arial" w:eastAsiaTheme="minorHAnsi" w:hAnsi="Arial" w:cs="Arial"/>
        </w:rPr>
      </w:pPr>
    </w:p>
    <w:p w14:paraId="700955A7" w14:textId="1DACD22E" w:rsidR="00370586" w:rsidRPr="00370586" w:rsidRDefault="00CA24A9" w:rsidP="00370586">
      <w:pPr>
        <w:numPr>
          <w:ilvl w:val="0"/>
          <w:numId w:val="12"/>
        </w:numPr>
        <w:spacing w:before="240" w:after="120"/>
        <w:contextualSpacing/>
        <w:jc w:val="both"/>
        <w:rPr>
          <w:rFonts w:ascii="Arial" w:eastAsiaTheme="minorHAnsi" w:hAnsi="Arial" w:cs="Arial"/>
        </w:rPr>
      </w:pPr>
      <w:r>
        <w:rPr>
          <w:rFonts w:ascii="Arial" w:eastAsiaTheme="minorHAnsi" w:hAnsi="Arial" w:cs="Arial"/>
        </w:rPr>
        <w:t>t</w:t>
      </w:r>
      <w:r w:rsidR="00370586" w:rsidRPr="00370586">
        <w:rPr>
          <w:rFonts w:ascii="Arial" w:eastAsiaTheme="minorHAnsi" w:hAnsi="Arial" w:cs="Arial"/>
        </w:rPr>
        <w:t xml:space="preserve">he reform objectives that underpinned the passage of the </w:t>
      </w:r>
      <w:r w:rsidR="00370586" w:rsidRPr="00370586">
        <w:rPr>
          <w:rFonts w:ascii="Arial" w:eastAsiaTheme="minorHAnsi" w:hAnsi="Arial" w:cs="Arial"/>
          <w:i/>
        </w:rPr>
        <w:t>Mental Health Act 2014</w:t>
      </w:r>
      <w:r>
        <w:rPr>
          <w:rFonts w:ascii="Arial" w:eastAsiaTheme="minorHAnsi" w:hAnsi="Arial" w:cs="Arial"/>
          <w:i/>
        </w:rPr>
        <w:t>;</w:t>
      </w:r>
    </w:p>
    <w:p w14:paraId="3127DBF5" w14:textId="77777777" w:rsidR="00370586" w:rsidRPr="00370586" w:rsidRDefault="00370586" w:rsidP="00370586">
      <w:pPr>
        <w:spacing w:before="240" w:after="120"/>
        <w:ind w:left="720"/>
        <w:contextualSpacing/>
        <w:jc w:val="both"/>
        <w:rPr>
          <w:rFonts w:ascii="Arial" w:eastAsiaTheme="minorHAnsi" w:hAnsi="Arial" w:cs="Arial"/>
        </w:rPr>
      </w:pPr>
    </w:p>
    <w:p w14:paraId="612E1C3F" w14:textId="6C9110B1" w:rsidR="00370586" w:rsidRPr="00370586" w:rsidRDefault="00CA24A9" w:rsidP="00370586">
      <w:pPr>
        <w:numPr>
          <w:ilvl w:val="0"/>
          <w:numId w:val="12"/>
        </w:numPr>
        <w:spacing w:before="240" w:after="120"/>
        <w:contextualSpacing/>
        <w:jc w:val="both"/>
        <w:rPr>
          <w:rFonts w:ascii="Arial" w:eastAsiaTheme="minorHAnsi" w:hAnsi="Arial" w:cs="Arial"/>
        </w:rPr>
      </w:pPr>
      <w:r>
        <w:rPr>
          <w:rFonts w:ascii="Arial" w:eastAsiaTheme="minorHAnsi" w:hAnsi="Arial" w:cs="Arial"/>
        </w:rPr>
        <w:t>t</w:t>
      </w:r>
      <w:r w:rsidR="00370586" w:rsidRPr="00370586">
        <w:rPr>
          <w:rFonts w:ascii="Arial" w:eastAsiaTheme="minorHAnsi" w:hAnsi="Arial" w:cs="Arial"/>
        </w:rPr>
        <w:t>he Tribunal’s approach to the performance of its functions</w:t>
      </w:r>
      <w:r>
        <w:rPr>
          <w:rFonts w:ascii="Arial" w:eastAsiaTheme="minorHAnsi" w:hAnsi="Arial" w:cs="Arial"/>
        </w:rPr>
        <w:t>;</w:t>
      </w:r>
    </w:p>
    <w:p w14:paraId="40FE7959" w14:textId="77777777" w:rsidR="00370586" w:rsidRPr="00370586" w:rsidRDefault="00370586" w:rsidP="00370586">
      <w:pPr>
        <w:spacing w:before="240" w:after="120"/>
        <w:ind w:left="720"/>
        <w:contextualSpacing/>
        <w:jc w:val="both"/>
        <w:rPr>
          <w:rFonts w:ascii="Arial" w:eastAsiaTheme="minorHAnsi" w:hAnsi="Arial" w:cs="Arial"/>
        </w:rPr>
      </w:pPr>
    </w:p>
    <w:p w14:paraId="7D822AB6" w14:textId="1B383A15" w:rsidR="00370586" w:rsidRPr="00370586" w:rsidRDefault="00CA24A9" w:rsidP="00370586">
      <w:pPr>
        <w:numPr>
          <w:ilvl w:val="0"/>
          <w:numId w:val="12"/>
        </w:numPr>
        <w:spacing w:before="240" w:after="120"/>
        <w:contextualSpacing/>
        <w:jc w:val="both"/>
        <w:rPr>
          <w:rFonts w:ascii="Arial" w:eastAsiaTheme="minorHAnsi" w:hAnsi="Arial" w:cs="Arial"/>
        </w:rPr>
      </w:pPr>
      <w:r>
        <w:rPr>
          <w:rFonts w:ascii="Arial" w:eastAsiaTheme="minorHAnsi" w:hAnsi="Arial" w:cs="Arial"/>
        </w:rPr>
        <w:t>t</w:t>
      </w:r>
      <w:r w:rsidR="00370586" w:rsidRPr="00370586">
        <w:rPr>
          <w:rFonts w:ascii="Arial" w:eastAsiaTheme="minorHAnsi" w:hAnsi="Arial" w:cs="Arial"/>
        </w:rPr>
        <w:t>he legal framework for compulsory treatment</w:t>
      </w:r>
      <w:r>
        <w:rPr>
          <w:rFonts w:ascii="Arial" w:eastAsiaTheme="minorHAnsi" w:hAnsi="Arial" w:cs="Arial"/>
        </w:rPr>
        <w:t>;</w:t>
      </w:r>
    </w:p>
    <w:p w14:paraId="05AD9117" w14:textId="77777777" w:rsidR="00370586" w:rsidRPr="00370586" w:rsidRDefault="00370586" w:rsidP="00370586">
      <w:pPr>
        <w:spacing w:before="240" w:after="120"/>
        <w:ind w:left="720"/>
        <w:contextualSpacing/>
        <w:jc w:val="both"/>
        <w:rPr>
          <w:rFonts w:ascii="Arial" w:eastAsiaTheme="minorHAnsi" w:hAnsi="Arial" w:cs="Arial"/>
        </w:rPr>
      </w:pPr>
    </w:p>
    <w:p w14:paraId="6EA3D454" w14:textId="72031C59" w:rsidR="00370586" w:rsidRPr="00370586" w:rsidRDefault="00CA24A9" w:rsidP="00370586">
      <w:pPr>
        <w:numPr>
          <w:ilvl w:val="0"/>
          <w:numId w:val="12"/>
        </w:numPr>
        <w:spacing w:before="240" w:after="120"/>
        <w:contextualSpacing/>
        <w:jc w:val="both"/>
        <w:rPr>
          <w:rFonts w:ascii="Arial" w:eastAsiaTheme="minorHAnsi" w:hAnsi="Arial" w:cs="Arial"/>
        </w:rPr>
      </w:pPr>
      <w:r>
        <w:rPr>
          <w:rFonts w:ascii="Arial" w:eastAsiaTheme="minorHAnsi" w:hAnsi="Arial" w:cs="Arial"/>
        </w:rPr>
        <w:t>t</w:t>
      </w:r>
      <w:r w:rsidR="00370586" w:rsidRPr="00370586">
        <w:rPr>
          <w:rFonts w:ascii="Arial" w:eastAsiaTheme="minorHAnsi" w:hAnsi="Arial" w:cs="Arial"/>
        </w:rPr>
        <w:t xml:space="preserve">he legal framework applicable to </w:t>
      </w:r>
      <w:r w:rsidR="00E421AF">
        <w:rPr>
          <w:rFonts w:ascii="Arial" w:eastAsiaTheme="minorHAnsi" w:hAnsi="Arial" w:cs="Arial"/>
        </w:rPr>
        <w:t>electroconvulsive treatment</w:t>
      </w:r>
      <w:r>
        <w:rPr>
          <w:rFonts w:ascii="Arial" w:eastAsiaTheme="minorHAnsi" w:hAnsi="Arial" w:cs="Arial"/>
        </w:rPr>
        <w:t>;</w:t>
      </w:r>
    </w:p>
    <w:p w14:paraId="1E158477" w14:textId="77777777" w:rsidR="00370586" w:rsidRPr="00370586" w:rsidRDefault="00370586" w:rsidP="00370586">
      <w:pPr>
        <w:spacing w:before="240" w:after="120"/>
        <w:ind w:left="720"/>
        <w:contextualSpacing/>
        <w:jc w:val="both"/>
        <w:rPr>
          <w:rFonts w:ascii="Arial" w:eastAsiaTheme="minorHAnsi" w:hAnsi="Arial" w:cs="Arial"/>
        </w:rPr>
      </w:pPr>
    </w:p>
    <w:p w14:paraId="554ECAA5" w14:textId="0FE43B7C" w:rsidR="00BC3323" w:rsidRDefault="00CA24A9" w:rsidP="00BC3323">
      <w:pPr>
        <w:numPr>
          <w:ilvl w:val="0"/>
          <w:numId w:val="12"/>
        </w:numPr>
        <w:spacing w:before="240" w:after="120"/>
        <w:contextualSpacing/>
        <w:jc w:val="both"/>
        <w:rPr>
          <w:rFonts w:ascii="Arial" w:eastAsiaTheme="minorHAnsi" w:hAnsi="Arial" w:cs="Arial"/>
        </w:rPr>
      </w:pPr>
      <w:r>
        <w:rPr>
          <w:rFonts w:ascii="Arial" w:eastAsiaTheme="minorHAnsi" w:hAnsi="Arial" w:cs="Arial"/>
        </w:rPr>
        <w:t>r</w:t>
      </w:r>
      <w:r w:rsidR="00BC3323" w:rsidRPr="00BC3323">
        <w:rPr>
          <w:rFonts w:ascii="Arial" w:eastAsiaTheme="minorHAnsi" w:hAnsi="Arial" w:cs="Arial"/>
        </w:rPr>
        <w:t>esponse to questions</w:t>
      </w:r>
      <w:r>
        <w:rPr>
          <w:rFonts w:ascii="Arial" w:eastAsiaTheme="minorHAnsi" w:hAnsi="Arial" w:cs="Arial"/>
        </w:rPr>
        <w:t>; and</w:t>
      </w:r>
    </w:p>
    <w:p w14:paraId="4608AC57" w14:textId="77777777" w:rsidR="00BC3323" w:rsidRPr="00BC3323" w:rsidRDefault="00BC3323" w:rsidP="00BC3323">
      <w:pPr>
        <w:spacing w:before="240" w:after="120"/>
        <w:ind w:left="720"/>
        <w:contextualSpacing/>
        <w:jc w:val="both"/>
        <w:rPr>
          <w:rFonts w:ascii="Arial" w:eastAsiaTheme="minorHAnsi" w:hAnsi="Arial" w:cs="Arial"/>
        </w:rPr>
      </w:pPr>
    </w:p>
    <w:p w14:paraId="3A879D13" w14:textId="41CAB3ED" w:rsidR="00370586" w:rsidRPr="00BC3323" w:rsidRDefault="00CA24A9" w:rsidP="00370586">
      <w:pPr>
        <w:numPr>
          <w:ilvl w:val="0"/>
          <w:numId w:val="12"/>
        </w:numPr>
        <w:spacing w:before="240" w:after="120"/>
        <w:contextualSpacing/>
        <w:jc w:val="both"/>
        <w:rPr>
          <w:rFonts w:ascii="Arial" w:eastAsiaTheme="minorHAnsi" w:hAnsi="Arial" w:cs="Arial"/>
        </w:rPr>
      </w:pPr>
      <w:r>
        <w:rPr>
          <w:rFonts w:ascii="Arial" w:eastAsiaTheme="minorHAnsi" w:hAnsi="Arial" w:cs="Arial"/>
        </w:rPr>
        <w:t>k</w:t>
      </w:r>
      <w:r w:rsidR="00370586" w:rsidRPr="00BC3323">
        <w:rPr>
          <w:rFonts w:ascii="Arial" w:eastAsiaTheme="minorHAnsi" w:hAnsi="Arial" w:cs="Arial"/>
        </w:rPr>
        <w:t>ey statistics, including trends over the Act’s first five years of operation.</w:t>
      </w:r>
    </w:p>
    <w:p w14:paraId="2A366ACF" w14:textId="77777777" w:rsidR="00370586" w:rsidRPr="00370586" w:rsidRDefault="00370586" w:rsidP="00370586">
      <w:pPr>
        <w:spacing w:before="240" w:after="120"/>
        <w:contextualSpacing/>
        <w:jc w:val="both"/>
        <w:rPr>
          <w:rFonts w:ascii="Arial" w:eastAsiaTheme="minorHAnsi" w:hAnsi="Arial" w:cs="Arial"/>
        </w:rPr>
      </w:pPr>
    </w:p>
    <w:p w14:paraId="1FBFB78B" w14:textId="77777777" w:rsidR="00543059" w:rsidRPr="00370586" w:rsidRDefault="00543059" w:rsidP="00370586">
      <w:pPr>
        <w:spacing w:before="240" w:after="120"/>
        <w:contextualSpacing/>
        <w:jc w:val="both"/>
        <w:rPr>
          <w:rFonts w:ascii="Arial" w:eastAsiaTheme="minorHAnsi" w:hAnsi="Arial" w:cs="Arial"/>
        </w:rPr>
      </w:pPr>
    </w:p>
    <w:p w14:paraId="5F3F85EA" w14:textId="40BAA2AB" w:rsidR="00370586" w:rsidRPr="00370586" w:rsidRDefault="0093540F" w:rsidP="0093540F">
      <w:pPr>
        <w:keepNext/>
        <w:keepLines/>
        <w:spacing w:before="240" w:after="90"/>
        <w:contextualSpacing/>
        <w:jc w:val="both"/>
        <w:outlineLvl w:val="1"/>
        <w:rPr>
          <w:rFonts w:ascii="Arial" w:hAnsi="Arial"/>
          <w:b/>
          <w:sz w:val="28"/>
          <w:szCs w:val="28"/>
        </w:rPr>
      </w:pPr>
      <w:r>
        <w:rPr>
          <w:rFonts w:ascii="Arial" w:hAnsi="Arial"/>
          <w:b/>
          <w:sz w:val="28"/>
          <w:szCs w:val="28"/>
        </w:rPr>
        <w:t xml:space="preserve">2. </w:t>
      </w:r>
      <w:r w:rsidR="00370586" w:rsidRPr="00370586">
        <w:rPr>
          <w:rFonts w:ascii="Arial" w:hAnsi="Arial"/>
          <w:b/>
          <w:sz w:val="28"/>
          <w:szCs w:val="28"/>
        </w:rPr>
        <w:t xml:space="preserve">The </w:t>
      </w:r>
      <w:r w:rsidR="00370586" w:rsidRPr="00370586">
        <w:rPr>
          <w:rFonts w:ascii="Arial" w:hAnsi="Arial"/>
          <w:b/>
          <w:i/>
          <w:sz w:val="28"/>
          <w:szCs w:val="28"/>
        </w:rPr>
        <w:t xml:space="preserve">Mental Health Act 2014 </w:t>
      </w:r>
      <w:r w:rsidR="00370586" w:rsidRPr="00370586">
        <w:rPr>
          <w:rFonts w:ascii="Arial" w:hAnsi="Arial"/>
          <w:b/>
          <w:sz w:val="28"/>
          <w:szCs w:val="28"/>
        </w:rPr>
        <w:t>– a catalyst for reform</w:t>
      </w:r>
    </w:p>
    <w:p w14:paraId="230142BE" w14:textId="77777777" w:rsidR="00370586" w:rsidRPr="00370586" w:rsidRDefault="00370586" w:rsidP="00370586">
      <w:pPr>
        <w:spacing w:after="120"/>
        <w:contextualSpacing/>
        <w:jc w:val="both"/>
        <w:rPr>
          <w:rFonts w:ascii="Arial" w:eastAsia="Times" w:hAnsi="Arial"/>
        </w:rPr>
      </w:pPr>
    </w:p>
    <w:p w14:paraId="026A399C" w14:textId="0542B856"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The current Act replaced the former </w:t>
      </w:r>
      <w:r w:rsidRPr="00370586">
        <w:rPr>
          <w:rFonts w:ascii="Arial" w:eastAsia="Times" w:hAnsi="Arial"/>
          <w:i/>
        </w:rPr>
        <w:t>Mental Health Act 1986</w:t>
      </w:r>
      <w:r w:rsidRPr="00370586">
        <w:rPr>
          <w:rFonts w:ascii="Arial" w:eastAsia="Times" w:hAnsi="Arial"/>
        </w:rPr>
        <w:t xml:space="preserve"> which was revolutionary at the time it was passed, but on any measure had become significantly dated.  The Act was a product of several years of intense consultation with consumers, carers and service providers; a process </w:t>
      </w:r>
      <w:r w:rsidRPr="00370586">
        <w:rPr>
          <w:rFonts w:ascii="Arial" w:eastAsia="Times" w:hAnsi="Arial"/>
        </w:rPr>
        <w:lastRenderedPageBreak/>
        <w:t xml:space="preserve">that was both prompted and informed by local and international developments in human rights.  Domestically, Victoria was the first Australian state to enact human rights legislation – the </w:t>
      </w:r>
      <w:r w:rsidRPr="00370586">
        <w:rPr>
          <w:rFonts w:ascii="Arial" w:eastAsia="Times" w:hAnsi="Arial"/>
          <w:i/>
        </w:rPr>
        <w:t xml:space="preserve">Charter of Human Rights and Responsibilities 2006 </w:t>
      </w:r>
      <w:r w:rsidRPr="00370586">
        <w:rPr>
          <w:rFonts w:ascii="Arial" w:eastAsia="Times" w:hAnsi="Arial"/>
        </w:rPr>
        <w:t xml:space="preserve">(the Charter).  This was the same year the United Nations adopted the </w:t>
      </w:r>
      <w:r w:rsidRPr="00370586">
        <w:rPr>
          <w:rFonts w:ascii="Arial" w:eastAsia="Times" w:hAnsi="Arial"/>
          <w:i/>
        </w:rPr>
        <w:t>Convention on the Rights of Persons with Disabilities</w:t>
      </w:r>
      <w:r w:rsidRPr="00370586">
        <w:rPr>
          <w:rFonts w:ascii="Arial" w:eastAsia="Times" w:hAnsi="Arial"/>
        </w:rPr>
        <w:t xml:space="preserve"> which marked a dramatic shift in the conceptualisation and understanding of the human rights of people with psychosocial disabilities.</w:t>
      </w:r>
    </w:p>
    <w:p w14:paraId="4030CD32" w14:textId="77777777" w:rsidR="00370586" w:rsidRPr="00370586" w:rsidRDefault="00370586" w:rsidP="00370586">
      <w:pPr>
        <w:spacing w:after="120"/>
        <w:contextualSpacing/>
        <w:jc w:val="both"/>
        <w:rPr>
          <w:rFonts w:ascii="Arial" w:eastAsia="Times" w:hAnsi="Arial"/>
        </w:rPr>
      </w:pPr>
    </w:p>
    <w:p w14:paraId="2B3CC17F" w14:textId="66ED62D2" w:rsidR="00370586" w:rsidRPr="00370586" w:rsidRDefault="00370586" w:rsidP="00370586">
      <w:pPr>
        <w:spacing w:after="120"/>
        <w:contextualSpacing/>
        <w:jc w:val="both"/>
        <w:rPr>
          <w:rFonts w:ascii="Arial" w:eastAsia="Times" w:hAnsi="Arial"/>
        </w:rPr>
      </w:pPr>
      <w:r w:rsidRPr="00370586">
        <w:rPr>
          <w:rFonts w:ascii="Arial" w:eastAsia="Times" w:hAnsi="Arial"/>
        </w:rPr>
        <w:t>The Act was also ‘catching up’ with a service system that had undergone profound changes and already adopted very different paradigms of service delivery, in particular a commitment to recovery-oriented practice.  Reforms sought to embed these changes – taking them out of the optional or aspirational realm and making them obligatory, while also seeking to push these changes further.</w:t>
      </w:r>
      <w:r w:rsidR="00FC3960">
        <w:rPr>
          <w:rStyle w:val="FootnoteReference"/>
          <w:rFonts w:ascii="Arial" w:eastAsia="Times" w:hAnsi="Arial"/>
        </w:rPr>
        <w:footnoteReference w:id="1"/>
      </w:r>
    </w:p>
    <w:p w14:paraId="54D7F6CF" w14:textId="77777777" w:rsidR="00370586" w:rsidRPr="00370586" w:rsidRDefault="00370586" w:rsidP="00370586">
      <w:pPr>
        <w:spacing w:after="120"/>
        <w:contextualSpacing/>
        <w:jc w:val="both"/>
        <w:rPr>
          <w:rFonts w:ascii="Arial" w:eastAsia="Times" w:hAnsi="Arial"/>
        </w:rPr>
      </w:pPr>
    </w:p>
    <w:p w14:paraId="7C243C96"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The reform objectives are reflected most succinctly in the mental health principles set down in section 11 of the Act.  In summary the principles emphasise:</w:t>
      </w:r>
    </w:p>
    <w:p w14:paraId="15353B15" w14:textId="77777777" w:rsidR="00370586" w:rsidRPr="00370586" w:rsidRDefault="00370586" w:rsidP="00370586">
      <w:pPr>
        <w:spacing w:after="120"/>
        <w:contextualSpacing/>
        <w:jc w:val="both"/>
        <w:rPr>
          <w:rFonts w:ascii="Arial" w:eastAsia="Times" w:hAnsi="Arial"/>
        </w:rPr>
      </w:pPr>
    </w:p>
    <w:p w14:paraId="36286062" w14:textId="77777777" w:rsidR="00370586" w:rsidRPr="00370586" w:rsidRDefault="00370586" w:rsidP="00370586">
      <w:pPr>
        <w:numPr>
          <w:ilvl w:val="0"/>
          <w:numId w:val="13"/>
        </w:numPr>
        <w:spacing w:after="120"/>
        <w:contextualSpacing/>
        <w:jc w:val="both"/>
        <w:rPr>
          <w:rFonts w:ascii="Arial" w:eastAsia="Times" w:hAnsi="Arial"/>
        </w:rPr>
      </w:pPr>
      <w:r w:rsidRPr="00370586">
        <w:rPr>
          <w:rFonts w:ascii="Arial" w:eastAsia="Times" w:hAnsi="Arial"/>
        </w:rPr>
        <w:t>minimising restrictions on people receiving mental health treatment;</w:t>
      </w:r>
    </w:p>
    <w:p w14:paraId="46065B94" w14:textId="77777777" w:rsidR="00370586" w:rsidRPr="00370586" w:rsidRDefault="00370586" w:rsidP="00370586">
      <w:pPr>
        <w:numPr>
          <w:ilvl w:val="0"/>
          <w:numId w:val="13"/>
        </w:numPr>
        <w:spacing w:after="120"/>
        <w:contextualSpacing/>
        <w:jc w:val="both"/>
        <w:rPr>
          <w:rFonts w:ascii="Arial" w:eastAsia="Times" w:hAnsi="Arial"/>
        </w:rPr>
      </w:pPr>
      <w:r w:rsidRPr="00370586">
        <w:rPr>
          <w:rFonts w:ascii="Arial" w:eastAsia="Times" w:hAnsi="Arial"/>
        </w:rPr>
        <w:t xml:space="preserve">promoting </w:t>
      </w:r>
      <w:r w:rsidRPr="00370586">
        <w:rPr>
          <w:rFonts w:ascii="Arial" w:eastAsia="Times" w:hAnsi="Arial"/>
          <w:iCs/>
        </w:rPr>
        <w:t>recovery</w:t>
      </w:r>
      <w:r w:rsidRPr="00370586">
        <w:rPr>
          <w:rFonts w:ascii="Arial" w:eastAsia="Times" w:hAnsi="Arial"/>
          <w:i/>
          <w:iCs/>
        </w:rPr>
        <w:t xml:space="preserve"> </w:t>
      </w:r>
      <w:r w:rsidRPr="00370586">
        <w:rPr>
          <w:rFonts w:ascii="Arial" w:eastAsia="Times" w:hAnsi="Arial"/>
        </w:rPr>
        <w:t>and community participation;</w:t>
      </w:r>
    </w:p>
    <w:p w14:paraId="7CF41DA5" w14:textId="6C42AB62" w:rsidR="00370586" w:rsidRPr="00370586" w:rsidRDefault="00370586" w:rsidP="00370586">
      <w:pPr>
        <w:numPr>
          <w:ilvl w:val="0"/>
          <w:numId w:val="13"/>
        </w:numPr>
        <w:spacing w:after="120"/>
        <w:contextualSpacing/>
        <w:jc w:val="both"/>
        <w:rPr>
          <w:rFonts w:ascii="Arial" w:eastAsia="Times" w:hAnsi="Arial"/>
        </w:rPr>
      </w:pPr>
      <w:r w:rsidRPr="00370586">
        <w:rPr>
          <w:rFonts w:ascii="Arial" w:eastAsia="Times" w:hAnsi="Arial"/>
        </w:rPr>
        <w:t>maximising</w:t>
      </w:r>
      <w:r w:rsidR="00CC4035">
        <w:rPr>
          <w:rFonts w:ascii="Arial" w:eastAsia="Times" w:hAnsi="Arial"/>
        </w:rPr>
        <w:t xml:space="preserve"> patients’</w:t>
      </w:r>
      <w:r w:rsidRPr="00370586">
        <w:rPr>
          <w:rFonts w:ascii="Arial" w:eastAsia="Times" w:hAnsi="Arial"/>
        </w:rPr>
        <w:t xml:space="preserve"> participation in decision making</w:t>
      </w:r>
      <w:r w:rsidR="00CC4035">
        <w:rPr>
          <w:rFonts w:ascii="Arial" w:eastAsia="Times" w:hAnsi="Arial"/>
        </w:rPr>
        <w:t xml:space="preserve"> i.e. supported decision making</w:t>
      </w:r>
      <w:r w:rsidRPr="00370586">
        <w:rPr>
          <w:rFonts w:ascii="Arial" w:eastAsia="Times" w:hAnsi="Arial"/>
        </w:rPr>
        <w:t>;</w:t>
      </w:r>
    </w:p>
    <w:p w14:paraId="3C223DD3" w14:textId="77777777" w:rsidR="00370586" w:rsidRPr="00370586" w:rsidRDefault="00370586" w:rsidP="00370586">
      <w:pPr>
        <w:numPr>
          <w:ilvl w:val="0"/>
          <w:numId w:val="13"/>
        </w:numPr>
        <w:spacing w:after="120"/>
        <w:contextualSpacing/>
        <w:jc w:val="both"/>
        <w:rPr>
          <w:rFonts w:ascii="Arial" w:eastAsia="Times" w:hAnsi="Arial"/>
        </w:rPr>
      </w:pPr>
      <w:r w:rsidRPr="00370586">
        <w:rPr>
          <w:rFonts w:ascii="Arial" w:eastAsia="Times" w:hAnsi="Arial"/>
        </w:rPr>
        <w:t>holistic care (including responding to both physical and mental health needs, and recognising and responding to the particular needs of individuals from specific groups);</w:t>
      </w:r>
    </w:p>
    <w:p w14:paraId="08AA9D4D" w14:textId="77777777" w:rsidR="00370586" w:rsidRPr="00370586" w:rsidRDefault="00370586" w:rsidP="00370586">
      <w:pPr>
        <w:numPr>
          <w:ilvl w:val="0"/>
          <w:numId w:val="13"/>
        </w:numPr>
        <w:spacing w:after="120"/>
        <w:contextualSpacing/>
        <w:jc w:val="both"/>
        <w:rPr>
          <w:rFonts w:ascii="Arial" w:eastAsia="Times" w:hAnsi="Arial"/>
        </w:rPr>
      </w:pPr>
      <w:r w:rsidRPr="00370586">
        <w:rPr>
          <w:rFonts w:ascii="Arial" w:eastAsia="Times" w:hAnsi="Arial"/>
        </w:rPr>
        <w:t>that people have the right to make decisions involving a degree of risk, including decisions that others might regard as unwise; and</w:t>
      </w:r>
    </w:p>
    <w:p w14:paraId="146137B1" w14:textId="1A0D915D" w:rsidR="00370586" w:rsidRPr="00370586" w:rsidRDefault="00370586" w:rsidP="00370586">
      <w:pPr>
        <w:numPr>
          <w:ilvl w:val="0"/>
          <w:numId w:val="13"/>
        </w:numPr>
        <w:spacing w:after="120"/>
        <w:contextualSpacing/>
        <w:jc w:val="both"/>
        <w:rPr>
          <w:rFonts w:ascii="Arial" w:eastAsia="Times" w:hAnsi="Arial"/>
        </w:rPr>
      </w:pPr>
      <w:r w:rsidRPr="00370586">
        <w:rPr>
          <w:rFonts w:ascii="Arial" w:eastAsia="Times" w:hAnsi="Arial"/>
        </w:rPr>
        <w:t>recognition of the role of carers</w:t>
      </w:r>
      <w:r w:rsidR="00CC4035">
        <w:rPr>
          <w:rFonts w:ascii="Arial" w:eastAsia="Times" w:hAnsi="Arial"/>
        </w:rPr>
        <w:t xml:space="preserve"> and their inclusion in decision making</w:t>
      </w:r>
      <w:r w:rsidRPr="00370586">
        <w:rPr>
          <w:rFonts w:ascii="Arial" w:eastAsia="Times" w:hAnsi="Arial"/>
        </w:rPr>
        <w:t>.</w:t>
      </w:r>
    </w:p>
    <w:p w14:paraId="70A234EC" w14:textId="77777777" w:rsidR="00370586" w:rsidRPr="00370586" w:rsidRDefault="00370586" w:rsidP="00370586">
      <w:pPr>
        <w:spacing w:after="120"/>
        <w:contextualSpacing/>
        <w:jc w:val="both"/>
        <w:rPr>
          <w:rFonts w:ascii="Arial" w:eastAsia="Times" w:hAnsi="Arial"/>
        </w:rPr>
      </w:pPr>
    </w:p>
    <w:p w14:paraId="19D547B5" w14:textId="7F6AA33B" w:rsidR="00370586" w:rsidRPr="00370586" w:rsidRDefault="00370586" w:rsidP="00370586">
      <w:pPr>
        <w:spacing w:after="120"/>
        <w:contextualSpacing/>
        <w:jc w:val="both"/>
        <w:rPr>
          <w:rFonts w:ascii="Arial" w:eastAsia="Times" w:hAnsi="Arial"/>
        </w:rPr>
      </w:pPr>
      <w:r w:rsidRPr="00F81B37">
        <w:rPr>
          <w:rFonts w:ascii="Arial" w:eastAsia="Times" w:hAnsi="Arial"/>
        </w:rPr>
        <w:t>All individuals and entities exercising powers or performing functions under the Act are required to have regard to the mental health principles – this includes the Tribunal.</w:t>
      </w:r>
      <w:r w:rsidR="00FC3960" w:rsidRPr="00F81B37">
        <w:rPr>
          <w:rStyle w:val="FootnoteReference"/>
          <w:rFonts w:ascii="Arial" w:eastAsia="Times" w:hAnsi="Arial"/>
        </w:rPr>
        <w:footnoteReference w:id="2"/>
      </w:r>
      <w:r w:rsidRPr="00F81B37">
        <w:rPr>
          <w:rFonts w:ascii="Arial" w:eastAsia="Times" w:hAnsi="Arial"/>
        </w:rPr>
        <w:t xml:space="preserve">  In most if not all cases those entities will also be public authorities with obligations under the Charter.  At first glance this may appear to give rise to complexity and difficulty associated with understanding and adhering to multiple legal obligations.  However, there is an overall coherence, and judicial consideration of these matters supports the view that </w:t>
      </w:r>
      <w:r w:rsidR="00824B60" w:rsidRPr="00F81B37">
        <w:rPr>
          <w:rFonts w:ascii="Arial" w:eastAsia="Times" w:hAnsi="Arial"/>
        </w:rPr>
        <w:t>decisions made on the basis of robust application of the relevant legal tests in the Act, and thorough</w:t>
      </w:r>
      <w:r w:rsidRPr="00F81B37">
        <w:rPr>
          <w:rFonts w:ascii="Arial" w:eastAsia="Times" w:hAnsi="Arial"/>
        </w:rPr>
        <w:t xml:space="preserve"> consideration of the mental health principles, will </w:t>
      </w:r>
      <w:r w:rsidR="00F81B37" w:rsidRPr="00F81B37">
        <w:rPr>
          <w:rFonts w:ascii="Arial" w:eastAsia="Times" w:hAnsi="Arial"/>
        </w:rPr>
        <w:t>generally</w:t>
      </w:r>
      <w:r w:rsidR="00824B60" w:rsidRPr="00F81B37">
        <w:rPr>
          <w:rFonts w:ascii="Arial" w:eastAsia="Times" w:hAnsi="Arial"/>
        </w:rPr>
        <w:t xml:space="preserve"> mean there has been appropriate scrutiny of decisions in accordance with the human rights protect</w:t>
      </w:r>
      <w:r w:rsidR="00E7129E" w:rsidRPr="00F81B37">
        <w:rPr>
          <w:rFonts w:ascii="Arial" w:eastAsia="Times" w:hAnsi="Arial"/>
        </w:rPr>
        <w:t>ed under the Charter</w:t>
      </w:r>
      <w:r w:rsidRPr="00F81B37">
        <w:rPr>
          <w:rFonts w:ascii="Arial" w:eastAsia="Times" w:hAnsi="Arial"/>
        </w:rPr>
        <w:t>.</w:t>
      </w:r>
      <w:r w:rsidR="00E7129E" w:rsidRPr="00F81B37">
        <w:rPr>
          <w:rStyle w:val="FootnoteReference"/>
          <w:rFonts w:ascii="Arial" w:eastAsia="Times" w:hAnsi="Arial"/>
        </w:rPr>
        <w:footnoteReference w:id="3"/>
      </w:r>
    </w:p>
    <w:p w14:paraId="262CBBE7" w14:textId="77777777" w:rsidR="00370586" w:rsidRPr="00370586" w:rsidRDefault="00370586" w:rsidP="00370586">
      <w:pPr>
        <w:spacing w:after="120"/>
        <w:contextualSpacing/>
        <w:jc w:val="both"/>
        <w:rPr>
          <w:rFonts w:ascii="Arial" w:eastAsia="Times" w:hAnsi="Arial"/>
        </w:rPr>
      </w:pPr>
    </w:p>
    <w:p w14:paraId="1D315BE5" w14:textId="7BC09715" w:rsidR="00370586" w:rsidRDefault="00370586" w:rsidP="00370586">
      <w:pPr>
        <w:spacing w:after="120"/>
        <w:contextualSpacing/>
        <w:jc w:val="both"/>
        <w:rPr>
          <w:rFonts w:ascii="Arial" w:eastAsia="Times" w:hAnsi="Arial"/>
        </w:rPr>
      </w:pPr>
      <w:r w:rsidRPr="00370586">
        <w:rPr>
          <w:rFonts w:ascii="Arial" w:eastAsia="Times" w:hAnsi="Arial"/>
        </w:rPr>
        <w:t xml:space="preserve">An issue that was constantly raised in the community consultations regarding the Act was Victoria’s extraordinarily high levels of compulsory treatment.  A key expectation of the Act was that it would drive a reduction in the rates of compulsory treatment.  This expectation has not been met </w:t>
      </w:r>
      <w:r w:rsidR="00063E77">
        <w:rPr>
          <w:rFonts w:ascii="Arial" w:eastAsia="Times" w:hAnsi="Arial"/>
        </w:rPr>
        <w:t xml:space="preserve">to any significant extent, </w:t>
      </w:r>
      <w:r w:rsidRPr="00370586">
        <w:rPr>
          <w:rFonts w:ascii="Arial" w:eastAsia="Times" w:hAnsi="Arial"/>
        </w:rPr>
        <w:t>and this issue is addressed in greater detail below</w:t>
      </w:r>
      <w:r w:rsidR="000A5B9A">
        <w:rPr>
          <w:rFonts w:ascii="Arial" w:eastAsia="Times" w:hAnsi="Arial"/>
        </w:rPr>
        <w:t xml:space="preserve"> (Part B – 3.1)</w:t>
      </w:r>
      <w:r w:rsidRPr="00370586">
        <w:rPr>
          <w:rFonts w:ascii="Arial" w:eastAsia="Times" w:hAnsi="Arial"/>
        </w:rPr>
        <w:t>.</w:t>
      </w:r>
    </w:p>
    <w:p w14:paraId="711D1B5A" w14:textId="04AF32BA" w:rsidR="00543059" w:rsidRDefault="00543059" w:rsidP="00370586">
      <w:pPr>
        <w:spacing w:after="120"/>
        <w:contextualSpacing/>
        <w:jc w:val="both"/>
        <w:rPr>
          <w:rFonts w:ascii="Arial" w:eastAsia="Times" w:hAnsi="Arial"/>
        </w:rPr>
      </w:pPr>
    </w:p>
    <w:p w14:paraId="5039B3C1" w14:textId="77777777" w:rsidR="00543059" w:rsidRPr="00370586" w:rsidRDefault="00543059" w:rsidP="00370586">
      <w:pPr>
        <w:spacing w:after="120"/>
        <w:contextualSpacing/>
        <w:jc w:val="both"/>
        <w:rPr>
          <w:rFonts w:ascii="Arial" w:eastAsia="Times" w:hAnsi="Arial"/>
        </w:rPr>
      </w:pPr>
    </w:p>
    <w:p w14:paraId="099F24E8" w14:textId="2FCDBB53" w:rsidR="00370586" w:rsidRPr="00370586" w:rsidRDefault="0093540F" w:rsidP="0093540F">
      <w:pPr>
        <w:keepNext/>
        <w:keepLines/>
        <w:spacing w:before="240" w:after="90"/>
        <w:contextualSpacing/>
        <w:jc w:val="both"/>
        <w:outlineLvl w:val="1"/>
        <w:rPr>
          <w:rFonts w:ascii="Arial" w:hAnsi="Arial"/>
          <w:b/>
          <w:sz w:val="28"/>
          <w:szCs w:val="28"/>
        </w:rPr>
      </w:pPr>
      <w:r>
        <w:rPr>
          <w:rFonts w:ascii="Arial" w:hAnsi="Arial"/>
          <w:b/>
          <w:sz w:val="28"/>
          <w:szCs w:val="28"/>
        </w:rPr>
        <w:t xml:space="preserve">3. </w:t>
      </w:r>
      <w:r w:rsidR="00370586" w:rsidRPr="00370586">
        <w:rPr>
          <w:rFonts w:ascii="Arial" w:hAnsi="Arial"/>
          <w:b/>
          <w:sz w:val="28"/>
          <w:szCs w:val="28"/>
        </w:rPr>
        <w:t xml:space="preserve">The Tribunal’s </w:t>
      </w:r>
      <w:r w:rsidR="00FC3960">
        <w:rPr>
          <w:rFonts w:ascii="Arial" w:hAnsi="Arial"/>
          <w:b/>
          <w:sz w:val="28"/>
          <w:szCs w:val="28"/>
        </w:rPr>
        <w:t>a</w:t>
      </w:r>
      <w:r w:rsidR="00370586" w:rsidRPr="00370586">
        <w:rPr>
          <w:rFonts w:ascii="Arial" w:hAnsi="Arial"/>
          <w:b/>
          <w:sz w:val="28"/>
          <w:szCs w:val="28"/>
        </w:rPr>
        <w:t xml:space="preserve">pproach to the </w:t>
      </w:r>
      <w:r w:rsidR="00FC3960">
        <w:rPr>
          <w:rFonts w:ascii="Arial" w:hAnsi="Arial"/>
          <w:b/>
          <w:sz w:val="28"/>
          <w:szCs w:val="28"/>
        </w:rPr>
        <w:t>p</w:t>
      </w:r>
      <w:r w:rsidR="00370586" w:rsidRPr="00370586">
        <w:rPr>
          <w:rFonts w:ascii="Arial" w:hAnsi="Arial"/>
          <w:b/>
          <w:sz w:val="28"/>
          <w:szCs w:val="28"/>
        </w:rPr>
        <w:t xml:space="preserve">erformance of its </w:t>
      </w:r>
      <w:r w:rsidR="00FC3960">
        <w:rPr>
          <w:rFonts w:ascii="Arial" w:hAnsi="Arial"/>
          <w:b/>
          <w:sz w:val="28"/>
          <w:szCs w:val="28"/>
        </w:rPr>
        <w:t>f</w:t>
      </w:r>
      <w:r w:rsidR="00370586" w:rsidRPr="00370586">
        <w:rPr>
          <w:rFonts w:ascii="Arial" w:hAnsi="Arial"/>
          <w:b/>
          <w:sz w:val="28"/>
          <w:szCs w:val="28"/>
        </w:rPr>
        <w:t>unctions</w:t>
      </w:r>
    </w:p>
    <w:p w14:paraId="39577B0C" w14:textId="77777777" w:rsidR="00370586" w:rsidRPr="00370586" w:rsidRDefault="00370586" w:rsidP="00370586">
      <w:pPr>
        <w:spacing w:after="120"/>
        <w:contextualSpacing/>
        <w:jc w:val="both"/>
        <w:rPr>
          <w:rFonts w:ascii="Arial" w:eastAsia="Times" w:hAnsi="Arial"/>
        </w:rPr>
      </w:pPr>
    </w:p>
    <w:p w14:paraId="6C185FFC"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When the Tribunal commenced operation, we understood that there were high expectations that we would be focused on promoting the rights of consumers and carers.  These extended beyond diligent performance of our decision-making functions, to include the expectation that all aspects of our operation and our culture would reflect, embed and promote the principles enshrined in the Act.</w:t>
      </w:r>
    </w:p>
    <w:p w14:paraId="7E274493" w14:textId="77777777" w:rsidR="00370586" w:rsidRPr="00370586" w:rsidRDefault="00370586" w:rsidP="00370586">
      <w:pPr>
        <w:spacing w:after="120"/>
        <w:contextualSpacing/>
        <w:jc w:val="both"/>
        <w:rPr>
          <w:rFonts w:ascii="Arial" w:eastAsia="Times" w:hAnsi="Arial"/>
        </w:rPr>
      </w:pPr>
    </w:p>
    <w:p w14:paraId="437EA953" w14:textId="6A5C0A4B"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A key initiative developed in response to this expectation was the adoption of a framework to conduct solution-focused hearings.  This framework draws upon the theories and practice of therapeutic jurisprudence, non-adversarial justice and problem-solving courts.  A solution-focused approach is not about miscasting the Tribunal as a source of solutions, but rather about recognising that hearings can be conducted in a manner that enables and encourages participants to discuss, identify and commit to solutions or future actions. </w:t>
      </w:r>
      <w:r w:rsidR="006452C1">
        <w:rPr>
          <w:rFonts w:ascii="Arial" w:eastAsia="Times" w:hAnsi="Arial"/>
        </w:rPr>
        <w:t xml:space="preserve"> </w:t>
      </w:r>
      <w:r w:rsidRPr="00370586">
        <w:rPr>
          <w:rFonts w:ascii="Arial" w:eastAsia="Times" w:hAnsi="Arial"/>
        </w:rPr>
        <w:t xml:space="preserve">A solution-focused </w:t>
      </w:r>
      <w:r w:rsidRPr="00370586">
        <w:rPr>
          <w:rFonts w:ascii="Arial" w:eastAsia="Times" w:hAnsi="Arial"/>
        </w:rPr>
        <w:lastRenderedPageBreak/>
        <w:t xml:space="preserve">approach is based on the premise that the best outcomes are achieved when hearing participants are key players in the formulation and implementation of plans to address underlying issues.  An assumption at the core of solution-focused hearings is that while a </w:t>
      </w:r>
      <w:r w:rsidR="00363BEA">
        <w:rPr>
          <w:rFonts w:ascii="Arial" w:eastAsia="Times" w:hAnsi="Arial"/>
        </w:rPr>
        <w:t>TO</w:t>
      </w:r>
      <w:r w:rsidRPr="00370586">
        <w:rPr>
          <w:rFonts w:ascii="Arial" w:eastAsia="Times" w:hAnsi="Arial"/>
        </w:rPr>
        <w:t xml:space="preserve"> may need to be made at a specific point in time, compulsory treatment should never be regarded as the norm or permanent arrangement for a person, and there should always be a pathway to voluntary engagement – even if that pathway is only tentative or beginning to be articulated.</w:t>
      </w:r>
      <w:r w:rsidR="006452C1">
        <w:rPr>
          <w:rFonts w:ascii="Arial" w:eastAsia="Times" w:hAnsi="Arial"/>
        </w:rPr>
        <w:t xml:space="preserve">  In other words, solution-focused hearings seek to include a sense of hope for the future.</w:t>
      </w:r>
    </w:p>
    <w:p w14:paraId="6D329A9C" w14:textId="7D1BF250" w:rsidR="00370586" w:rsidRDefault="00370586" w:rsidP="00370586">
      <w:pPr>
        <w:spacing w:after="120"/>
        <w:contextualSpacing/>
        <w:jc w:val="both"/>
        <w:rPr>
          <w:rFonts w:ascii="Arial" w:eastAsia="Times" w:hAnsi="Arial"/>
        </w:rPr>
      </w:pPr>
    </w:p>
    <w:p w14:paraId="342BE742" w14:textId="705AABD6" w:rsidR="00590B34" w:rsidRDefault="00590B34" w:rsidP="00370586">
      <w:pPr>
        <w:spacing w:after="120"/>
        <w:contextualSpacing/>
        <w:jc w:val="both"/>
        <w:rPr>
          <w:rFonts w:ascii="Arial" w:eastAsia="Times" w:hAnsi="Arial"/>
        </w:rPr>
      </w:pPr>
      <w:r>
        <w:rPr>
          <w:rFonts w:ascii="Arial" w:eastAsia="Times" w:hAnsi="Arial"/>
        </w:rPr>
        <w:t xml:space="preserve">Solution-focused hearings are also one of the ways in which the Tribunal seeks to embed the mental health principles within its operations.  In particular, this framework of practice assists the Tribunal to manage an inherent tension that exists between the principles and our statutory functions.  The Act seeks to promote supported decision making; however, the </w:t>
      </w:r>
      <w:r w:rsidR="00824B60">
        <w:rPr>
          <w:rFonts w:ascii="Arial" w:eastAsia="Times" w:hAnsi="Arial"/>
        </w:rPr>
        <w:t xml:space="preserve">Orders made by the </w:t>
      </w:r>
      <w:r>
        <w:rPr>
          <w:rFonts w:ascii="Arial" w:eastAsia="Times" w:hAnsi="Arial"/>
        </w:rPr>
        <w:t xml:space="preserve">Tribunal </w:t>
      </w:r>
      <w:r w:rsidR="00824B60">
        <w:rPr>
          <w:rFonts w:ascii="Arial" w:eastAsia="Times" w:hAnsi="Arial"/>
        </w:rPr>
        <w:t xml:space="preserve">allow </w:t>
      </w:r>
      <w:r>
        <w:rPr>
          <w:rFonts w:ascii="Arial" w:eastAsia="Times" w:hAnsi="Arial"/>
        </w:rPr>
        <w:t>substitute decisions</w:t>
      </w:r>
      <w:r w:rsidR="00824B60">
        <w:rPr>
          <w:rFonts w:ascii="Arial" w:eastAsia="Times" w:hAnsi="Arial"/>
        </w:rPr>
        <w:t xml:space="preserve"> to be made regarding a person’s treatment</w:t>
      </w:r>
      <w:r>
        <w:rPr>
          <w:rFonts w:ascii="Arial" w:eastAsia="Times" w:hAnsi="Arial"/>
        </w:rPr>
        <w:t>.  A solution-focused approach does not erase this tension, but it can ameliorate it.  Patients’ active participation in the hearing process and the final outcome can be a meaningful step towards supported decision making and autonomy.</w:t>
      </w:r>
    </w:p>
    <w:p w14:paraId="07FF53F3" w14:textId="77777777" w:rsidR="00590B34" w:rsidRPr="00370586" w:rsidRDefault="00590B34" w:rsidP="00370586">
      <w:pPr>
        <w:spacing w:after="120"/>
        <w:contextualSpacing/>
        <w:jc w:val="both"/>
        <w:rPr>
          <w:rFonts w:ascii="Arial" w:eastAsia="Times" w:hAnsi="Arial"/>
        </w:rPr>
      </w:pPr>
    </w:p>
    <w:p w14:paraId="49623B1F" w14:textId="777D91FF"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A lynchpin in the operation and evolution of the Tribunal was the establishment of a dedicated consumer and carer engagement role that is part of both the Leadership and Governance groups in the Tribunal, meaning that person plays an equal and critical role in both strategic and operational decision making in the Tribunal.  In addition, a significant focus of that role has been the establishment and facilitation of our Tribunal Advisory Group (TAG), comprising consumers, carers and members of the lived-experience workforce.  There is a close and extremely effective working partnership between the TAG and the Tribunal.  None of our service improvement initiatives over the past five years could have been achieved without the TAG.  Some </w:t>
      </w:r>
      <w:r w:rsidR="00FD7974">
        <w:rPr>
          <w:rFonts w:ascii="Arial" w:eastAsia="Times" w:hAnsi="Arial"/>
        </w:rPr>
        <w:t xml:space="preserve">initiatives </w:t>
      </w:r>
      <w:r w:rsidRPr="00370586">
        <w:rPr>
          <w:rFonts w:ascii="Arial" w:eastAsia="Times" w:hAnsi="Arial"/>
        </w:rPr>
        <w:t>would never have been thought of, others might have been thought of and pursued, but the end results would not be close to those achieved in partnership with the TAG.</w:t>
      </w:r>
    </w:p>
    <w:p w14:paraId="5882F631" w14:textId="0048B44B" w:rsidR="00370586" w:rsidRPr="00370586" w:rsidRDefault="00370586" w:rsidP="00370586">
      <w:pPr>
        <w:spacing w:after="120"/>
        <w:contextualSpacing/>
        <w:jc w:val="both"/>
        <w:rPr>
          <w:rFonts w:ascii="Arial" w:eastAsia="Times" w:hAnsi="Arial"/>
        </w:rPr>
      </w:pPr>
    </w:p>
    <w:p w14:paraId="332B9F27" w14:textId="4D07AE7D" w:rsidR="00370586" w:rsidRDefault="00370586" w:rsidP="00370586">
      <w:pPr>
        <w:spacing w:after="120"/>
        <w:contextualSpacing/>
        <w:jc w:val="both"/>
        <w:rPr>
          <w:rFonts w:ascii="Arial" w:eastAsia="Times" w:hAnsi="Arial"/>
        </w:rPr>
      </w:pPr>
      <w:r w:rsidRPr="00370586">
        <w:rPr>
          <w:rFonts w:ascii="Arial" w:eastAsia="Times" w:hAnsi="Arial"/>
        </w:rPr>
        <w:t>The Tribunal has also sought to foster effective working relationships with mental health service providers.  Each service has a dedicated liaison member who</w:t>
      </w:r>
      <w:r w:rsidR="00FD7974">
        <w:rPr>
          <w:rFonts w:ascii="Arial" w:eastAsia="Times" w:hAnsi="Arial"/>
        </w:rPr>
        <w:t>,</w:t>
      </w:r>
      <w:r w:rsidRPr="00370586">
        <w:rPr>
          <w:rFonts w:ascii="Arial" w:eastAsia="Times" w:hAnsi="Arial"/>
        </w:rPr>
        <w:t xml:space="preserve"> alongside relevant Registry staff</w:t>
      </w:r>
      <w:r w:rsidR="00FD7974">
        <w:rPr>
          <w:rFonts w:ascii="Arial" w:eastAsia="Times" w:hAnsi="Arial"/>
        </w:rPr>
        <w:t>,</w:t>
      </w:r>
      <w:r w:rsidRPr="00370586">
        <w:rPr>
          <w:rFonts w:ascii="Arial" w:eastAsia="Times" w:hAnsi="Arial"/>
        </w:rPr>
        <w:t xml:space="preserve"> acts as a key point of contact to ensure administrative arrangements for hearings operate effectively, and if issues do arise they are resolved as quickly as possible and ideally at a local level.  The Tribunal also delivers education sessions to staff in mental health services on an annual or </w:t>
      </w:r>
      <w:r w:rsidR="00FD7974">
        <w:rPr>
          <w:rFonts w:ascii="Arial" w:eastAsia="Times" w:hAnsi="Arial"/>
        </w:rPr>
        <w:t>biannual</w:t>
      </w:r>
      <w:r w:rsidRPr="00370586">
        <w:rPr>
          <w:rFonts w:ascii="Arial" w:eastAsia="Times" w:hAnsi="Arial"/>
        </w:rPr>
        <w:t xml:space="preserve"> basis.  The focus of these sessions is on the principles of the Act, and how to prepare for and participate in a solution-focused Tribunal hearing.</w:t>
      </w:r>
    </w:p>
    <w:p w14:paraId="6C1F27BD" w14:textId="024460B8" w:rsidR="00543059" w:rsidRDefault="00543059" w:rsidP="00370586">
      <w:pPr>
        <w:spacing w:after="120"/>
        <w:contextualSpacing/>
        <w:jc w:val="both"/>
        <w:rPr>
          <w:rFonts w:ascii="Arial" w:eastAsia="Times" w:hAnsi="Arial"/>
        </w:rPr>
      </w:pPr>
    </w:p>
    <w:p w14:paraId="143F2B6B" w14:textId="77777777" w:rsidR="00543059" w:rsidRPr="00370586" w:rsidRDefault="00543059" w:rsidP="00370586">
      <w:pPr>
        <w:spacing w:after="120"/>
        <w:contextualSpacing/>
        <w:jc w:val="both"/>
        <w:rPr>
          <w:rFonts w:ascii="Arial" w:eastAsia="Times" w:hAnsi="Arial"/>
        </w:rPr>
      </w:pPr>
    </w:p>
    <w:p w14:paraId="2B855D7B" w14:textId="732AF0FE" w:rsidR="00370586" w:rsidRPr="00370586" w:rsidRDefault="0093540F" w:rsidP="0093540F">
      <w:pPr>
        <w:keepNext/>
        <w:keepLines/>
        <w:spacing w:before="240" w:after="90"/>
        <w:contextualSpacing/>
        <w:jc w:val="both"/>
        <w:outlineLvl w:val="1"/>
        <w:rPr>
          <w:rFonts w:ascii="Arial" w:hAnsi="Arial"/>
          <w:b/>
          <w:sz w:val="28"/>
          <w:szCs w:val="28"/>
        </w:rPr>
      </w:pPr>
      <w:r>
        <w:rPr>
          <w:rFonts w:ascii="Arial" w:hAnsi="Arial"/>
          <w:b/>
          <w:sz w:val="28"/>
          <w:szCs w:val="28"/>
        </w:rPr>
        <w:t xml:space="preserve">4. </w:t>
      </w:r>
      <w:r w:rsidR="00370586" w:rsidRPr="00370586">
        <w:rPr>
          <w:rFonts w:ascii="Arial" w:hAnsi="Arial"/>
          <w:b/>
          <w:sz w:val="28"/>
          <w:szCs w:val="28"/>
        </w:rPr>
        <w:t>The Legal Framework for Compulsory Treatment</w:t>
      </w:r>
    </w:p>
    <w:p w14:paraId="569664D3" w14:textId="77777777" w:rsidR="00543059" w:rsidRDefault="00543059" w:rsidP="00370586">
      <w:pPr>
        <w:spacing w:before="240"/>
        <w:contextualSpacing/>
        <w:jc w:val="both"/>
        <w:rPr>
          <w:rFonts w:ascii="Arial" w:eastAsiaTheme="minorHAnsi" w:hAnsi="Arial" w:cs="Arial"/>
        </w:rPr>
      </w:pPr>
    </w:p>
    <w:p w14:paraId="36600802" w14:textId="3ABDC807" w:rsidR="00370586" w:rsidRPr="00370586" w:rsidRDefault="00370586" w:rsidP="00370586">
      <w:pPr>
        <w:spacing w:before="240"/>
        <w:contextualSpacing/>
        <w:jc w:val="both"/>
        <w:rPr>
          <w:rFonts w:ascii="Arial" w:eastAsiaTheme="minorHAnsi" w:hAnsi="Arial" w:cs="Arial"/>
        </w:rPr>
      </w:pPr>
      <w:r w:rsidRPr="00370586">
        <w:rPr>
          <w:rFonts w:ascii="Arial" w:eastAsiaTheme="minorHAnsi" w:hAnsi="Arial" w:cs="Arial"/>
        </w:rPr>
        <w:t xml:space="preserve">In terms of caseload, the most significant function of the Tribunal is to determine whether a person should continue to be on an Order compelling them to have treatment for a mental illness.  Specified events give rise to an obligation on the Tribunal to conduct a hearing concerning a </w:t>
      </w:r>
      <w:r w:rsidR="00FD7974">
        <w:rPr>
          <w:rFonts w:ascii="Arial" w:eastAsiaTheme="minorHAnsi" w:hAnsi="Arial" w:cs="Arial"/>
        </w:rPr>
        <w:t>TO</w:t>
      </w:r>
      <w:r w:rsidRPr="00370586">
        <w:rPr>
          <w:rFonts w:ascii="Arial" w:eastAsiaTheme="minorHAnsi" w:hAnsi="Arial" w:cs="Arial"/>
        </w:rPr>
        <w:t>:</w:t>
      </w:r>
    </w:p>
    <w:p w14:paraId="1D2003C7" w14:textId="77777777" w:rsidR="00370586" w:rsidRPr="00370586" w:rsidRDefault="00370586" w:rsidP="00370586">
      <w:pPr>
        <w:spacing w:before="240"/>
        <w:contextualSpacing/>
        <w:jc w:val="both"/>
        <w:rPr>
          <w:rFonts w:ascii="Arial" w:eastAsiaTheme="minorHAnsi" w:hAnsi="Arial" w:cs="Arial"/>
        </w:rPr>
      </w:pPr>
    </w:p>
    <w:p w14:paraId="703DB4F8" w14:textId="5D09D128" w:rsidR="00370586" w:rsidRPr="00370586" w:rsidRDefault="00FD7974" w:rsidP="00370586">
      <w:pPr>
        <w:numPr>
          <w:ilvl w:val="0"/>
          <w:numId w:val="19"/>
        </w:numPr>
        <w:spacing w:before="240"/>
        <w:contextualSpacing/>
        <w:jc w:val="both"/>
        <w:rPr>
          <w:rFonts w:ascii="Arial" w:eastAsiaTheme="minorHAnsi" w:hAnsi="Arial" w:cs="Arial"/>
        </w:rPr>
      </w:pPr>
      <w:r>
        <w:rPr>
          <w:rFonts w:ascii="Arial" w:eastAsiaTheme="minorHAnsi" w:hAnsi="Arial" w:cs="Arial"/>
        </w:rPr>
        <w:t>a</w:t>
      </w:r>
      <w:r w:rsidR="00370586" w:rsidRPr="00370586">
        <w:rPr>
          <w:rFonts w:ascii="Arial" w:eastAsiaTheme="minorHAnsi" w:hAnsi="Arial" w:cs="Arial"/>
        </w:rPr>
        <w:t>n authorised psychiatrist placing a person on a Temporary Treatment Order (TTO), these Orders operate for up to 28 days and the Tribunal must conduct a hearing within that time to decide whether to revoke the TTO or make a TO</w:t>
      </w:r>
      <w:r w:rsidR="00370586" w:rsidRPr="00370586">
        <w:rPr>
          <w:rFonts w:ascii="Arial" w:eastAsiaTheme="minorHAnsi" w:hAnsi="Arial" w:cs="Arial"/>
          <w:vertAlign w:val="superscript"/>
        </w:rPr>
        <w:footnoteReference w:id="4"/>
      </w:r>
      <w:r w:rsidR="00D75E5F">
        <w:rPr>
          <w:rFonts w:ascii="Arial" w:eastAsiaTheme="minorHAnsi" w:hAnsi="Arial" w:cs="Arial"/>
        </w:rPr>
        <w:t>;</w:t>
      </w:r>
    </w:p>
    <w:p w14:paraId="0A547978" w14:textId="77777777" w:rsidR="00370586" w:rsidRPr="00370586" w:rsidRDefault="00370586" w:rsidP="00370586">
      <w:pPr>
        <w:spacing w:before="240"/>
        <w:ind w:left="720"/>
        <w:contextualSpacing/>
        <w:jc w:val="both"/>
        <w:rPr>
          <w:rFonts w:ascii="Arial" w:eastAsiaTheme="minorHAnsi" w:hAnsi="Arial" w:cs="Arial"/>
        </w:rPr>
      </w:pPr>
    </w:p>
    <w:p w14:paraId="65C4AF4F" w14:textId="5B2BD5E3" w:rsidR="00370586" w:rsidRPr="00370586" w:rsidRDefault="00FD7974" w:rsidP="00370586">
      <w:pPr>
        <w:numPr>
          <w:ilvl w:val="0"/>
          <w:numId w:val="19"/>
        </w:numPr>
        <w:spacing w:before="240"/>
        <w:contextualSpacing/>
        <w:jc w:val="both"/>
        <w:rPr>
          <w:rFonts w:ascii="Arial" w:eastAsiaTheme="minorHAnsi" w:hAnsi="Arial" w:cs="Arial"/>
        </w:rPr>
      </w:pPr>
      <w:r>
        <w:rPr>
          <w:rFonts w:ascii="Arial" w:eastAsiaTheme="minorHAnsi" w:hAnsi="Arial" w:cs="Arial"/>
        </w:rPr>
        <w:t>w</w:t>
      </w:r>
      <w:r w:rsidR="00370586" w:rsidRPr="00370586">
        <w:rPr>
          <w:rFonts w:ascii="Arial" w:eastAsiaTheme="minorHAnsi" w:hAnsi="Arial" w:cs="Arial"/>
        </w:rPr>
        <w:t>hen a TO previously made by the Tribunal is approaching its expiry date an authorised psychiatrist can apply to the Tribunal for a further TO to be made</w:t>
      </w:r>
      <w:r w:rsidR="00D75E5F">
        <w:rPr>
          <w:rFonts w:ascii="Arial" w:eastAsiaTheme="minorHAnsi" w:hAnsi="Arial" w:cs="Arial"/>
        </w:rPr>
        <w:t xml:space="preserve"> and</w:t>
      </w:r>
      <w:r w:rsidR="00370586" w:rsidRPr="00370586">
        <w:rPr>
          <w:rFonts w:ascii="Arial" w:eastAsiaTheme="minorHAnsi" w:hAnsi="Arial" w:cs="Arial"/>
        </w:rPr>
        <w:t xml:space="preserve"> subject to a limited adjournment power</w:t>
      </w:r>
      <w:r w:rsidR="00D75E5F">
        <w:rPr>
          <w:rFonts w:ascii="Arial" w:eastAsiaTheme="minorHAnsi" w:hAnsi="Arial" w:cs="Arial"/>
        </w:rPr>
        <w:t>,</w:t>
      </w:r>
      <w:r w:rsidR="00370586" w:rsidRPr="00370586">
        <w:rPr>
          <w:rFonts w:ascii="Arial" w:eastAsiaTheme="minorHAnsi" w:hAnsi="Arial" w:cs="Arial"/>
        </w:rPr>
        <w:t xml:space="preserve"> </w:t>
      </w:r>
      <w:r w:rsidR="00D75E5F" w:rsidRPr="00370586">
        <w:rPr>
          <w:rFonts w:ascii="Arial" w:eastAsiaTheme="minorHAnsi" w:hAnsi="Arial" w:cs="Arial"/>
        </w:rPr>
        <w:t>th</w:t>
      </w:r>
      <w:r w:rsidR="00D75E5F">
        <w:rPr>
          <w:rFonts w:ascii="Arial" w:eastAsiaTheme="minorHAnsi" w:hAnsi="Arial" w:cs="Arial"/>
        </w:rPr>
        <w:t>e</w:t>
      </w:r>
      <w:r w:rsidR="00D75E5F" w:rsidRPr="00370586">
        <w:rPr>
          <w:rFonts w:ascii="Arial" w:eastAsiaTheme="minorHAnsi" w:hAnsi="Arial" w:cs="Arial"/>
        </w:rPr>
        <w:t xml:space="preserve"> </w:t>
      </w:r>
      <w:r w:rsidR="00370586" w:rsidRPr="00370586">
        <w:rPr>
          <w:rFonts w:ascii="Arial" w:eastAsiaTheme="minorHAnsi" w:hAnsi="Arial" w:cs="Arial"/>
        </w:rPr>
        <w:t>application should be determined before the expiry of the original TO</w:t>
      </w:r>
      <w:r w:rsidR="00370586" w:rsidRPr="00370586">
        <w:rPr>
          <w:rFonts w:ascii="Arial" w:eastAsiaTheme="minorHAnsi" w:hAnsi="Arial" w:cs="Arial"/>
          <w:vertAlign w:val="superscript"/>
        </w:rPr>
        <w:footnoteReference w:id="5"/>
      </w:r>
      <w:r w:rsidR="00D75E5F">
        <w:rPr>
          <w:rFonts w:ascii="Arial" w:eastAsiaTheme="minorHAnsi" w:hAnsi="Arial" w:cs="Arial"/>
        </w:rPr>
        <w:t>;</w:t>
      </w:r>
    </w:p>
    <w:p w14:paraId="458644D0" w14:textId="77777777" w:rsidR="00370586" w:rsidRPr="00370586" w:rsidRDefault="00370586" w:rsidP="00370586">
      <w:pPr>
        <w:spacing w:before="240"/>
        <w:ind w:left="720"/>
        <w:contextualSpacing/>
        <w:jc w:val="both"/>
        <w:rPr>
          <w:rFonts w:ascii="Arial" w:eastAsiaTheme="minorHAnsi" w:hAnsi="Arial" w:cs="Arial"/>
        </w:rPr>
      </w:pPr>
    </w:p>
    <w:p w14:paraId="4B0AB49B" w14:textId="4C6B08C2" w:rsidR="00370586" w:rsidRPr="00370586" w:rsidRDefault="00FD7974" w:rsidP="00370586">
      <w:pPr>
        <w:numPr>
          <w:ilvl w:val="0"/>
          <w:numId w:val="19"/>
        </w:numPr>
        <w:spacing w:before="240"/>
        <w:contextualSpacing/>
        <w:jc w:val="both"/>
        <w:rPr>
          <w:rFonts w:ascii="Arial" w:eastAsiaTheme="minorHAnsi" w:hAnsi="Arial" w:cs="Arial"/>
        </w:rPr>
      </w:pPr>
      <w:r>
        <w:rPr>
          <w:rFonts w:ascii="Arial" w:eastAsiaTheme="minorHAnsi" w:hAnsi="Arial" w:cs="Arial"/>
        </w:rPr>
        <w:t>a</w:t>
      </w:r>
      <w:r w:rsidR="00370586" w:rsidRPr="00370586">
        <w:rPr>
          <w:rFonts w:ascii="Arial" w:eastAsiaTheme="minorHAnsi" w:hAnsi="Arial" w:cs="Arial"/>
        </w:rPr>
        <w:t xml:space="preserve"> person who is subject to a TTO or TO can at any time make an application for the Order to be revoked, the hearing of the application needs to occur as soon as practicable.  There is no limit on the number of applications that can be made</w:t>
      </w:r>
      <w:r w:rsidR="00370586" w:rsidRPr="00370586">
        <w:rPr>
          <w:rFonts w:ascii="Arial" w:eastAsiaTheme="minorHAnsi" w:hAnsi="Arial" w:cs="Arial"/>
          <w:vertAlign w:val="superscript"/>
        </w:rPr>
        <w:footnoteReference w:id="6"/>
      </w:r>
      <w:r w:rsidR="00D75E5F">
        <w:rPr>
          <w:rFonts w:ascii="Arial" w:eastAsiaTheme="minorHAnsi" w:hAnsi="Arial" w:cs="Arial"/>
        </w:rPr>
        <w:t>; or</w:t>
      </w:r>
    </w:p>
    <w:p w14:paraId="74BF7E5D" w14:textId="77777777" w:rsidR="00370586" w:rsidRPr="00370586" w:rsidRDefault="00370586" w:rsidP="00370586">
      <w:pPr>
        <w:spacing w:before="240"/>
        <w:ind w:left="720"/>
        <w:contextualSpacing/>
        <w:jc w:val="both"/>
        <w:rPr>
          <w:rFonts w:ascii="Arial" w:eastAsiaTheme="minorHAnsi" w:hAnsi="Arial" w:cs="Arial"/>
        </w:rPr>
      </w:pPr>
    </w:p>
    <w:p w14:paraId="715FB0BD" w14:textId="759E7B69" w:rsidR="00370586" w:rsidRDefault="00FD7974" w:rsidP="00370586">
      <w:pPr>
        <w:numPr>
          <w:ilvl w:val="0"/>
          <w:numId w:val="19"/>
        </w:numPr>
        <w:spacing w:before="240"/>
        <w:contextualSpacing/>
        <w:jc w:val="both"/>
        <w:rPr>
          <w:rFonts w:ascii="Arial" w:eastAsiaTheme="minorHAnsi" w:hAnsi="Arial" w:cs="Arial"/>
        </w:rPr>
      </w:pPr>
      <w:r>
        <w:rPr>
          <w:rFonts w:ascii="Arial" w:eastAsiaTheme="minorHAnsi" w:hAnsi="Arial" w:cs="Arial"/>
        </w:rPr>
        <w:t>i</w:t>
      </w:r>
      <w:r w:rsidR="00370586" w:rsidRPr="00370586">
        <w:rPr>
          <w:rFonts w:ascii="Arial" w:eastAsiaTheme="minorHAnsi" w:hAnsi="Arial" w:cs="Arial"/>
        </w:rPr>
        <w:t xml:space="preserve">f a person on a TO who has been receiving treatment while living in the community is brought into hospital to receive treatment as an inpatient for an extended period, the Tribunal must conduct a hearing to determine whether a TO should remain in place.  </w:t>
      </w:r>
      <w:r w:rsidR="00FC3960">
        <w:rPr>
          <w:rFonts w:ascii="Arial" w:eastAsiaTheme="minorHAnsi" w:hAnsi="Arial" w:cs="Arial"/>
        </w:rPr>
        <w:t>A</w:t>
      </w:r>
      <w:r w:rsidR="00370586" w:rsidRPr="00370586">
        <w:rPr>
          <w:rFonts w:ascii="Arial" w:eastAsiaTheme="minorHAnsi" w:hAnsi="Arial" w:cs="Arial"/>
        </w:rPr>
        <w:t xml:space="preserve"> </w:t>
      </w:r>
      <w:r w:rsidR="00370586" w:rsidRPr="00370586">
        <w:rPr>
          <w:rFonts w:ascii="Arial" w:eastAsiaTheme="minorHAnsi" w:hAnsi="Arial" w:cs="Arial"/>
        </w:rPr>
        <w:lastRenderedPageBreak/>
        <w:t xml:space="preserve">hearing is listed </w:t>
      </w:r>
      <w:r w:rsidR="00FC3960">
        <w:rPr>
          <w:rFonts w:ascii="Arial" w:eastAsiaTheme="minorHAnsi" w:hAnsi="Arial" w:cs="Arial"/>
        </w:rPr>
        <w:t>and</w:t>
      </w:r>
      <w:r w:rsidR="00370586" w:rsidRPr="00370586">
        <w:rPr>
          <w:rFonts w:ascii="Arial" w:eastAsiaTheme="minorHAnsi" w:hAnsi="Arial" w:cs="Arial"/>
        </w:rPr>
        <w:t xml:space="preserve"> finalised within 28 days of their admission</w:t>
      </w:r>
      <w:r w:rsidR="00063E77">
        <w:rPr>
          <w:rFonts w:ascii="Arial" w:eastAsiaTheme="minorHAnsi" w:hAnsi="Arial" w:cs="Arial"/>
        </w:rPr>
        <w:t xml:space="preserve"> but is not required (and therefore does not proceed) if they are discharged from hospital beforehand</w:t>
      </w:r>
      <w:r w:rsidR="00370586" w:rsidRPr="00370586">
        <w:rPr>
          <w:rFonts w:ascii="Arial" w:eastAsiaTheme="minorHAnsi" w:hAnsi="Arial" w:cs="Arial"/>
        </w:rPr>
        <w:t>.</w:t>
      </w:r>
      <w:r w:rsidR="00370586" w:rsidRPr="00370586">
        <w:rPr>
          <w:rFonts w:ascii="Arial" w:eastAsiaTheme="minorHAnsi" w:hAnsi="Arial" w:cs="Arial"/>
          <w:vertAlign w:val="superscript"/>
        </w:rPr>
        <w:footnoteReference w:id="7"/>
      </w:r>
    </w:p>
    <w:p w14:paraId="34B7C72B" w14:textId="77777777" w:rsidR="00543059" w:rsidRPr="00370586" w:rsidRDefault="00543059" w:rsidP="00543059">
      <w:pPr>
        <w:spacing w:before="240"/>
        <w:contextualSpacing/>
        <w:jc w:val="both"/>
        <w:rPr>
          <w:rFonts w:ascii="Arial" w:eastAsiaTheme="minorHAnsi" w:hAnsi="Arial" w:cs="Arial"/>
        </w:rPr>
      </w:pPr>
    </w:p>
    <w:p w14:paraId="7F0C45B5" w14:textId="77777777" w:rsidR="00370586" w:rsidRPr="00370586" w:rsidRDefault="00370586" w:rsidP="00370586">
      <w:pPr>
        <w:spacing w:before="240"/>
        <w:contextualSpacing/>
        <w:jc w:val="both"/>
        <w:rPr>
          <w:rFonts w:ascii="Arial" w:eastAsiaTheme="minorHAnsi" w:hAnsi="Arial" w:cs="Arial"/>
          <w:b/>
          <w:sz w:val="24"/>
          <w:szCs w:val="24"/>
        </w:rPr>
      </w:pPr>
      <w:r w:rsidRPr="00370586">
        <w:rPr>
          <w:rFonts w:ascii="Arial" w:eastAsiaTheme="minorHAnsi" w:hAnsi="Arial" w:cs="Arial"/>
          <w:b/>
          <w:sz w:val="24"/>
          <w:szCs w:val="24"/>
        </w:rPr>
        <w:t>4.1  Criteria for compulsory treatment</w:t>
      </w:r>
    </w:p>
    <w:p w14:paraId="14DB251F" w14:textId="77777777" w:rsidR="00370586" w:rsidRPr="00370586" w:rsidRDefault="00370586" w:rsidP="00370586">
      <w:pPr>
        <w:spacing w:before="240" w:after="120"/>
        <w:contextualSpacing/>
        <w:jc w:val="both"/>
        <w:rPr>
          <w:rFonts w:ascii="Arial" w:eastAsiaTheme="minorHAnsi" w:hAnsi="Arial" w:cs="Arial"/>
        </w:rPr>
      </w:pPr>
    </w:p>
    <w:p w14:paraId="362BCD2F" w14:textId="5A37B938" w:rsidR="00370586" w:rsidRPr="00370586" w:rsidRDefault="00370586" w:rsidP="00370586">
      <w:pPr>
        <w:spacing w:before="240" w:after="120"/>
        <w:contextualSpacing/>
        <w:jc w:val="both"/>
        <w:rPr>
          <w:rFonts w:ascii="Arial" w:eastAsiaTheme="minorHAnsi" w:hAnsi="Arial" w:cs="Arial"/>
        </w:rPr>
      </w:pPr>
      <w:r w:rsidRPr="00370586">
        <w:rPr>
          <w:rFonts w:ascii="Arial" w:eastAsiaTheme="minorHAnsi" w:hAnsi="Arial" w:cs="Arial"/>
        </w:rPr>
        <w:t>In any hearing regarding a TTO or TO the Tribunal’s role is to determine whether the criteria for compulsory mental health treatment set out in the Act apply to a person.  If the criteria do apply the Tribunal must make a TO</w:t>
      </w:r>
      <w:r w:rsidR="00AB4458">
        <w:rPr>
          <w:rFonts w:ascii="Arial" w:eastAsiaTheme="minorHAnsi" w:hAnsi="Arial" w:cs="Arial"/>
        </w:rPr>
        <w:t>.</w:t>
      </w:r>
      <w:r w:rsidRPr="00370586">
        <w:rPr>
          <w:rFonts w:ascii="Arial" w:eastAsiaTheme="minorHAnsi" w:hAnsi="Arial" w:cs="Arial"/>
        </w:rPr>
        <w:t xml:space="preserve"> </w:t>
      </w:r>
      <w:r w:rsidR="00A5218A">
        <w:rPr>
          <w:rFonts w:ascii="Arial" w:eastAsiaTheme="minorHAnsi" w:hAnsi="Arial" w:cs="Arial"/>
        </w:rPr>
        <w:t xml:space="preserve"> </w:t>
      </w:r>
      <w:r w:rsidR="00AB4458">
        <w:rPr>
          <w:rFonts w:ascii="Arial" w:eastAsiaTheme="minorHAnsi" w:hAnsi="Arial" w:cs="Arial"/>
        </w:rPr>
        <w:t>I</w:t>
      </w:r>
      <w:r w:rsidRPr="00370586">
        <w:rPr>
          <w:rFonts w:ascii="Arial" w:eastAsiaTheme="minorHAnsi" w:hAnsi="Arial" w:cs="Arial"/>
        </w:rPr>
        <w:t>f the</w:t>
      </w:r>
      <w:r w:rsidR="00AB4458">
        <w:rPr>
          <w:rFonts w:ascii="Arial" w:eastAsiaTheme="minorHAnsi" w:hAnsi="Arial" w:cs="Arial"/>
        </w:rPr>
        <w:t xml:space="preserve"> criteria</w:t>
      </w:r>
      <w:r w:rsidRPr="00370586">
        <w:rPr>
          <w:rFonts w:ascii="Arial" w:eastAsiaTheme="minorHAnsi" w:hAnsi="Arial" w:cs="Arial"/>
        </w:rPr>
        <w:t xml:space="preserve"> do not apply the Tribunal must revoke the current Order and the person immediately becomes a voluntary patient, meaning they have full liberty to decide whether to have treatment.  The criteria for compulsory mental health treatment are set out in section 5 of the Act and are:</w:t>
      </w:r>
    </w:p>
    <w:p w14:paraId="496B6362" w14:textId="77777777" w:rsidR="00370586" w:rsidRPr="00370586" w:rsidRDefault="00370586" w:rsidP="00370586">
      <w:pPr>
        <w:spacing w:before="240" w:after="120"/>
        <w:contextualSpacing/>
        <w:jc w:val="both"/>
        <w:rPr>
          <w:rFonts w:ascii="Arial" w:eastAsiaTheme="minorHAnsi" w:hAnsi="Arial" w:cs="Arial"/>
        </w:rPr>
      </w:pPr>
    </w:p>
    <w:p w14:paraId="37D0823D" w14:textId="26C96ED7" w:rsidR="00370586" w:rsidRPr="00370586" w:rsidRDefault="00370586" w:rsidP="00370586">
      <w:pPr>
        <w:numPr>
          <w:ilvl w:val="0"/>
          <w:numId w:val="10"/>
        </w:numPr>
        <w:spacing w:before="240" w:after="120"/>
        <w:ind w:left="714" w:hanging="357"/>
        <w:contextualSpacing/>
        <w:jc w:val="both"/>
        <w:rPr>
          <w:rFonts w:ascii="Arial" w:eastAsiaTheme="minorHAnsi" w:hAnsi="Arial" w:cs="Arial"/>
        </w:rPr>
      </w:pPr>
      <w:r w:rsidRPr="00370586">
        <w:rPr>
          <w:rFonts w:ascii="Arial" w:eastAsiaTheme="minorHAnsi" w:hAnsi="Arial" w:cs="Arial"/>
        </w:rPr>
        <w:t>the person has mental illness;</w:t>
      </w:r>
    </w:p>
    <w:p w14:paraId="55213D9E" w14:textId="18ADEB40" w:rsidR="00370586" w:rsidRPr="00370586" w:rsidRDefault="00370586" w:rsidP="00370586">
      <w:pPr>
        <w:numPr>
          <w:ilvl w:val="0"/>
          <w:numId w:val="10"/>
        </w:numPr>
        <w:spacing w:before="240" w:after="120"/>
        <w:contextualSpacing/>
        <w:jc w:val="both"/>
        <w:rPr>
          <w:rFonts w:ascii="Arial" w:eastAsiaTheme="minorHAnsi" w:hAnsi="Arial" w:cs="Arial"/>
        </w:rPr>
      </w:pPr>
      <w:r w:rsidRPr="00370586">
        <w:rPr>
          <w:rFonts w:ascii="Arial" w:eastAsiaTheme="minorHAnsi" w:hAnsi="Arial" w:cs="Arial"/>
        </w:rPr>
        <w:t>because the person has mental illness, the person needs immediate treatment to prevent serious deterioration in the person’s mental or physical health, or serious harm to the person or another person;</w:t>
      </w:r>
    </w:p>
    <w:p w14:paraId="7745BFF8" w14:textId="6326B21E" w:rsidR="00370586" w:rsidRPr="00370586" w:rsidRDefault="00370586" w:rsidP="00370586">
      <w:pPr>
        <w:numPr>
          <w:ilvl w:val="0"/>
          <w:numId w:val="10"/>
        </w:numPr>
        <w:spacing w:before="240" w:after="120"/>
        <w:ind w:left="714" w:hanging="357"/>
        <w:contextualSpacing/>
        <w:jc w:val="both"/>
        <w:rPr>
          <w:rFonts w:ascii="Arial" w:eastAsiaTheme="minorHAnsi" w:hAnsi="Arial" w:cs="Arial"/>
        </w:rPr>
      </w:pPr>
      <w:r w:rsidRPr="00370586">
        <w:rPr>
          <w:rFonts w:ascii="Arial" w:eastAsiaTheme="minorHAnsi" w:hAnsi="Arial" w:cs="Arial"/>
        </w:rPr>
        <w:t xml:space="preserve">the immediate treatment will be provided to the person if the person is subject to a </w:t>
      </w:r>
      <w:r w:rsidR="00CF69AF">
        <w:rPr>
          <w:rFonts w:ascii="Arial" w:eastAsiaTheme="minorHAnsi" w:hAnsi="Arial" w:cs="Arial"/>
        </w:rPr>
        <w:t>TO</w:t>
      </w:r>
      <w:r w:rsidRPr="00370586">
        <w:rPr>
          <w:rFonts w:ascii="Arial" w:eastAsiaTheme="minorHAnsi" w:hAnsi="Arial" w:cs="Arial"/>
        </w:rPr>
        <w:t>; and</w:t>
      </w:r>
    </w:p>
    <w:p w14:paraId="49E28AAC" w14:textId="77777777" w:rsidR="00370586" w:rsidRPr="00370586" w:rsidRDefault="00370586" w:rsidP="00370586">
      <w:pPr>
        <w:numPr>
          <w:ilvl w:val="0"/>
          <w:numId w:val="10"/>
        </w:numPr>
        <w:spacing w:before="240" w:after="120"/>
        <w:ind w:left="714" w:hanging="357"/>
        <w:contextualSpacing/>
        <w:jc w:val="both"/>
        <w:rPr>
          <w:rFonts w:ascii="Arial" w:eastAsiaTheme="minorHAnsi" w:hAnsi="Arial" w:cs="Arial"/>
        </w:rPr>
      </w:pPr>
      <w:r w:rsidRPr="00370586">
        <w:rPr>
          <w:rFonts w:ascii="Arial" w:eastAsiaTheme="minorHAnsi" w:hAnsi="Arial" w:cs="Arial"/>
        </w:rPr>
        <w:t>there is no less restrictive means reasonably available to enable the person to be immediately treated.</w:t>
      </w:r>
    </w:p>
    <w:p w14:paraId="12EED2D0" w14:textId="77777777" w:rsidR="00370586" w:rsidRPr="00370586" w:rsidRDefault="00370586" w:rsidP="00370586">
      <w:pPr>
        <w:spacing w:before="240" w:after="120"/>
        <w:contextualSpacing/>
        <w:jc w:val="both"/>
        <w:rPr>
          <w:rFonts w:ascii="Arial" w:eastAsiaTheme="minorHAnsi" w:hAnsi="Arial" w:cs="Arial"/>
        </w:rPr>
      </w:pPr>
    </w:p>
    <w:p w14:paraId="6F1A1F5F" w14:textId="77777777" w:rsidR="00370586" w:rsidRPr="00370586" w:rsidRDefault="00370586" w:rsidP="00370586">
      <w:pPr>
        <w:spacing w:before="240" w:after="120"/>
        <w:contextualSpacing/>
        <w:jc w:val="both"/>
        <w:rPr>
          <w:rFonts w:ascii="Arial" w:eastAsiaTheme="minorHAnsi" w:hAnsi="Arial" w:cs="Arial"/>
        </w:rPr>
      </w:pPr>
      <w:r w:rsidRPr="00370586">
        <w:rPr>
          <w:rFonts w:ascii="Arial" w:eastAsiaTheme="minorHAnsi" w:hAnsi="Arial" w:cs="Arial"/>
        </w:rPr>
        <w:t>For the purposes of making an Order, the Tribunal must, to the extent that is reasonable in the circumstances, have regard to several factors, including:</w:t>
      </w:r>
      <w:r w:rsidRPr="00370586">
        <w:rPr>
          <w:rFonts w:ascii="Arial" w:eastAsiaTheme="minorHAnsi" w:hAnsi="Arial" w:cs="Arial"/>
          <w:vertAlign w:val="superscript"/>
        </w:rPr>
        <w:footnoteReference w:id="8"/>
      </w:r>
    </w:p>
    <w:p w14:paraId="583266FD" w14:textId="77777777" w:rsidR="00370586" w:rsidRPr="00370586" w:rsidRDefault="00370586" w:rsidP="00370586">
      <w:pPr>
        <w:spacing w:before="240" w:after="120"/>
        <w:contextualSpacing/>
        <w:jc w:val="both"/>
        <w:rPr>
          <w:rFonts w:ascii="Arial" w:eastAsiaTheme="minorHAnsi" w:hAnsi="Arial" w:cs="Arial"/>
        </w:rPr>
      </w:pPr>
    </w:p>
    <w:p w14:paraId="20A5CBE8" w14:textId="77777777" w:rsidR="00370586" w:rsidRPr="00370586" w:rsidRDefault="00370586" w:rsidP="00370586">
      <w:pPr>
        <w:numPr>
          <w:ilvl w:val="0"/>
          <w:numId w:val="20"/>
        </w:numPr>
        <w:spacing w:before="240" w:after="120"/>
        <w:contextualSpacing/>
        <w:jc w:val="both"/>
        <w:rPr>
          <w:rFonts w:ascii="Arial" w:eastAsiaTheme="minorHAnsi" w:hAnsi="Arial" w:cs="Arial"/>
        </w:rPr>
      </w:pPr>
      <w:r w:rsidRPr="00370586">
        <w:rPr>
          <w:rFonts w:ascii="Arial" w:eastAsiaTheme="minorHAnsi" w:hAnsi="Arial" w:cs="Arial"/>
        </w:rPr>
        <w:t>the person’s views and preferences (including those expressed in an advance statement) about the treatment of his or her mental illness and the reasons for those views and preferences, including any recovery outcomes that the person would like to achieve;</w:t>
      </w:r>
    </w:p>
    <w:p w14:paraId="138C4E83" w14:textId="77777777" w:rsidR="00370586" w:rsidRPr="00370586" w:rsidRDefault="00370586" w:rsidP="00370586">
      <w:pPr>
        <w:numPr>
          <w:ilvl w:val="0"/>
          <w:numId w:val="20"/>
        </w:numPr>
        <w:spacing w:before="240" w:after="120"/>
        <w:contextualSpacing/>
        <w:jc w:val="both"/>
        <w:rPr>
          <w:rFonts w:ascii="Arial" w:eastAsiaTheme="minorHAnsi" w:hAnsi="Arial" w:cs="Arial"/>
        </w:rPr>
      </w:pPr>
      <w:r w:rsidRPr="00370586">
        <w:rPr>
          <w:rFonts w:ascii="Arial" w:eastAsiaTheme="minorHAnsi" w:hAnsi="Arial" w:cs="Arial"/>
        </w:rPr>
        <w:t>if they have one, the views of the person’s nominated person or their guardian;</w:t>
      </w:r>
    </w:p>
    <w:p w14:paraId="08ACB928" w14:textId="77777777" w:rsidR="00370586" w:rsidRPr="00370586" w:rsidRDefault="00370586" w:rsidP="00370586">
      <w:pPr>
        <w:numPr>
          <w:ilvl w:val="0"/>
          <w:numId w:val="20"/>
        </w:numPr>
        <w:spacing w:before="240" w:after="120"/>
        <w:contextualSpacing/>
        <w:jc w:val="both"/>
        <w:rPr>
          <w:rFonts w:ascii="Arial" w:eastAsiaTheme="minorHAnsi" w:hAnsi="Arial" w:cs="Arial"/>
        </w:rPr>
      </w:pPr>
      <w:r w:rsidRPr="00370586">
        <w:rPr>
          <w:rFonts w:ascii="Arial" w:eastAsiaTheme="minorHAnsi" w:hAnsi="Arial" w:cs="Arial"/>
        </w:rPr>
        <w:t>the views of the person’s carer, if the Tribunal is satisfied that making the Order will directly affect the carer and the care relationship;</w:t>
      </w:r>
    </w:p>
    <w:p w14:paraId="6547E488" w14:textId="77777777" w:rsidR="00370586" w:rsidRPr="00370586" w:rsidRDefault="00370586" w:rsidP="00370586">
      <w:pPr>
        <w:numPr>
          <w:ilvl w:val="0"/>
          <w:numId w:val="20"/>
        </w:numPr>
        <w:spacing w:before="240" w:after="120"/>
        <w:contextualSpacing/>
        <w:jc w:val="both"/>
        <w:rPr>
          <w:rFonts w:ascii="Arial" w:eastAsiaTheme="minorHAnsi" w:hAnsi="Arial" w:cs="Arial"/>
        </w:rPr>
      </w:pPr>
      <w:r w:rsidRPr="00370586">
        <w:rPr>
          <w:rFonts w:ascii="Arial" w:eastAsiaTheme="minorHAnsi" w:hAnsi="Arial" w:cs="Arial"/>
        </w:rPr>
        <w:t>the views of a parent if the person is under the age of 16 years;</w:t>
      </w:r>
    </w:p>
    <w:p w14:paraId="12172DAB" w14:textId="1D4C7DD9" w:rsidR="00370586" w:rsidRPr="00370586" w:rsidRDefault="00370586" w:rsidP="00370586">
      <w:pPr>
        <w:numPr>
          <w:ilvl w:val="0"/>
          <w:numId w:val="20"/>
        </w:numPr>
        <w:spacing w:before="240" w:after="120"/>
        <w:contextualSpacing/>
        <w:jc w:val="both"/>
        <w:rPr>
          <w:rFonts w:ascii="Arial" w:eastAsiaTheme="minorHAnsi" w:hAnsi="Arial" w:cs="Arial"/>
        </w:rPr>
      </w:pPr>
      <w:r w:rsidRPr="00370586">
        <w:rPr>
          <w:rFonts w:ascii="Arial" w:eastAsiaTheme="minorHAnsi" w:hAnsi="Arial" w:cs="Arial"/>
        </w:rPr>
        <w:t>the views of the Secretary</w:t>
      </w:r>
      <w:r w:rsidR="00E524F6">
        <w:rPr>
          <w:rFonts w:ascii="Arial" w:eastAsiaTheme="minorHAnsi" w:hAnsi="Arial" w:cs="Arial"/>
        </w:rPr>
        <w:t xml:space="preserve"> of the Department of Health and Human Services (Secretary)</w:t>
      </w:r>
      <w:r w:rsidRPr="00370586">
        <w:rPr>
          <w:rFonts w:ascii="Arial" w:eastAsiaTheme="minorHAnsi" w:hAnsi="Arial" w:cs="Arial"/>
        </w:rPr>
        <w:t xml:space="preserve"> if the person is the subject of a custody to Secretary order or a guardianship to Secretary Order.</w:t>
      </w:r>
    </w:p>
    <w:p w14:paraId="1E3FC10E" w14:textId="77777777" w:rsidR="00370586" w:rsidRPr="00370586" w:rsidRDefault="00370586" w:rsidP="00370586">
      <w:pPr>
        <w:spacing w:before="240"/>
        <w:contextualSpacing/>
        <w:jc w:val="both"/>
        <w:rPr>
          <w:rFonts w:ascii="Arial" w:eastAsiaTheme="minorHAnsi" w:hAnsi="Arial" w:cs="Arial"/>
          <w:b/>
        </w:rPr>
      </w:pPr>
    </w:p>
    <w:p w14:paraId="0EDDF7F4" w14:textId="56D223BC" w:rsidR="00370586" w:rsidRPr="00370586" w:rsidRDefault="00370586" w:rsidP="00370586">
      <w:pPr>
        <w:spacing w:before="240"/>
        <w:contextualSpacing/>
        <w:jc w:val="both"/>
        <w:rPr>
          <w:rFonts w:ascii="Arial" w:eastAsiaTheme="minorHAnsi" w:hAnsi="Arial" w:cs="Arial"/>
          <w:b/>
          <w:sz w:val="24"/>
          <w:szCs w:val="24"/>
        </w:rPr>
      </w:pPr>
      <w:r w:rsidRPr="00370586">
        <w:rPr>
          <w:rFonts w:ascii="Arial" w:eastAsiaTheme="minorHAnsi" w:hAnsi="Arial" w:cs="Arial"/>
          <w:b/>
          <w:sz w:val="24"/>
          <w:szCs w:val="24"/>
        </w:rPr>
        <w:t>4.2  Determination of the setting and duration of a T</w:t>
      </w:r>
      <w:r w:rsidR="00E421AF">
        <w:rPr>
          <w:rFonts w:ascii="Arial" w:eastAsiaTheme="minorHAnsi" w:hAnsi="Arial" w:cs="Arial"/>
          <w:b/>
          <w:sz w:val="24"/>
          <w:szCs w:val="24"/>
        </w:rPr>
        <w:t xml:space="preserve">reatment </w:t>
      </w:r>
      <w:r w:rsidRPr="00370586">
        <w:rPr>
          <w:rFonts w:ascii="Arial" w:eastAsiaTheme="minorHAnsi" w:hAnsi="Arial" w:cs="Arial"/>
          <w:b/>
          <w:sz w:val="24"/>
          <w:szCs w:val="24"/>
        </w:rPr>
        <w:t>O</w:t>
      </w:r>
      <w:r w:rsidR="00E421AF">
        <w:rPr>
          <w:rFonts w:ascii="Arial" w:eastAsiaTheme="minorHAnsi" w:hAnsi="Arial" w:cs="Arial"/>
          <w:b/>
          <w:sz w:val="24"/>
          <w:szCs w:val="24"/>
        </w:rPr>
        <w:t>rder</w:t>
      </w:r>
    </w:p>
    <w:p w14:paraId="747DF227" w14:textId="77777777" w:rsidR="00370586" w:rsidRPr="00370586" w:rsidRDefault="00370586" w:rsidP="00370586">
      <w:pPr>
        <w:spacing w:before="240"/>
        <w:contextualSpacing/>
        <w:jc w:val="both"/>
        <w:rPr>
          <w:rFonts w:ascii="Arial" w:eastAsiaTheme="minorHAnsi" w:hAnsi="Arial" w:cs="Arial"/>
        </w:rPr>
      </w:pPr>
    </w:p>
    <w:p w14:paraId="1EBFA9F2" w14:textId="77777777" w:rsidR="00370586" w:rsidRPr="00370586" w:rsidRDefault="00370586" w:rsidP="00370586">
      <w:pPr>
        <w:spacing w:before="240"/>
        <w:contextualSpacing/>
        <w:jc w:val="both"/>
        <w:rPr>
          <w:rFonts w:ascii="Arial" w:eastAsiaTheme="minorHAnsi" w:hAnsi="Arial" w:cs="Arial"/>
        </w:rPr>
      </w:pPr>
      <w:r w:rsidRPr="00370586">
        <w:rPr>
          <w:rFonts w:ascii="Arial" w:eastAsiaTheme="minorHAnsi" w:hAnsi="Arial" w:cs="Arial"/>
        </w:rPr>
        <w:t>When the Tribunal makes a TO it must also determine the setting of the Order, that is whether it is a Community Treatment Order (CTO) or an Inpatient Treatment Order (ITO), and the duration of the TO.</w:t>
      </w:r>
      <w:r w:rsidRPr="00370586">
        <w:rPr>
          <w:rFonts w:ascii="Arial" w:eastAsiaTheme="minorHAnsi" w:hAnsi="Arial" w:cs="Arial"/>
          <w:vertAlign w:val="superscript"/>
        </w:rPr>
        <w:footnoteReference w:id="9"/>
      </w:r>
    </w:p>
    <w:p w14:paraId="39E7726B" w14:textId="77777777" w:rsidR="00370586" w:rsidRPr="00370586" w:rsidRDefault="00370586" w:rsidP="00370586">
      <w:pPr>
        <w:spacing w:before="240"/>
        <w:contextualSpacing/>
        <w:jc w:val="both"/>
        <w:rPr>
          <w:rFonts w:ascii="Arial" w:eastAsiaTheme="minorHAnsi" w:hAnsi="Arial" w:cs="Arial"/>
        </w:rPr>
      </w:pPr>
    </w:p>
    <w:p w14:paraId="7F1D53FA" w14:textId="5E8C07C2" w:rsidR="00370586" w:rsidRPr="00370586" w:rsidRDefault="00370586" w:rsidP="00370586">
      <w:pPr>
        <w:spacing w:before="240"/>
        <w:contextualSpacing/>
        <w:jc w:val="both"/>
        <w:rPr>
          <w:rFonts w:ascii="Arial" w:eastAsiaTheme="minorHAnsi" w:hAnsi="Arial" w:cs="Arial"/>
        </w:rPr>
      </w:pPr>
      <w:r w:rsidRPr="00370586">
        <w:rPr>
          <w:rFonts w:ascii="Arial" w:eastAsiaTheme="minorHAnsi" w:hAnsi="Arial" w:cs="Arial"/>
        </w:rPr>
        <w:t>The Tribunal may only make a person subject to an ITO if the Tribunal is satisfied that treatment of the person cannot occur within the community.</w:t>
      </w:r>
      <w:r w:rsidRPr="00370586">
        <w:rPr>
          <w:rFonts w:ascii="Arial" w:eastAsiaTheme="minorHAnsi" w:hAnsi="Arial" w:cstheme="minorBidi"/>
        </w:rPr>
        <w:t xml:space="preserve">  </w:t>
      </w:r>
      <w:r w:rsidR="00A13B3E">
        <w:rPr>
          <w:rFonts w:ascii="Arial" w:eastAsiaTheme="minorHAnsi" w:hAnsi="Arial" w:cstheme="minorBidi"/>
        </w:rPr>
        <w:t>Any TO for a person under 18 years old can have a maximum duration of three months; however, for adults a</w:t>
      </w:r>
      <w:r w:rsidRPr="00370586">
        <w:rPr>
          <w:rFonts w:ascii="Arial" w:eastAsiaTheme="minorHAnsi" w:hAnsi="Arial" w:cstheme="minorBidi"/>
        </w:rPr>
        <w:t>n ITO can have a maximum duration of six months, while the maximum duration of a CTO is 12 months.</w:t>
      </w:r>
      <w:r w:rsidRPr="00370586">
        <w:rPr>
          <w:rFonts w:ascii="Arial" w:eastAsiaTheme="minorHAnsi" w:hAnsi="Arial" w:cstheme="minorBidi"/>
          <w:vertAlign w:val="superscript"/>
        </w:rPr>
        <w:footnoteReference w:id="10"/>
      </w:r>
      <w:r w:rsidRPr="00370586">
        <w:rPr>
          <w:rFonts w:ascii="Arial" w:eastAsiaTheme="minorHAnsi" w:hAnsi="Arial" w:cstheme="minorBidi"/>
        </w:rPr>
        <w:t xml:space="preserve">  </w:t>
      </w:r>
      <w:r w:rsidRPr="00370586">
        <w:rPr>
          <w:rFonts w:ascii="Arial" w:eastAsiaTheme="minorHAnsi" w:hAnsi="Arial" w:cs="Arial"/>
        </w:rPr>
        <w:t>The Tribunal has always been very clear that the maximum durations of TOs set out in the Act are not default durations but rather the duration of an Order must reflect the circumstances of the individual patient.</w:t>
      </w:r>
    </w:p>
    <w:p w14:paraId="232B873F" w14:textId="77777777" w:rsidR="00370586" w:rsidRPr="00370586" w:rsidRDefault="00370586" w:rsidP="00370586">
      <w:pPr>
        <w:spacing w:before="240"/>
        <w:contextualSpacing/>
        <w:jc w:val="both"/>
        <w:rPr>
          <w:rFonts w:ascii="Arial" w:eastAsiaTheme="minorHAnsi" w:hAnsi="Arial" w:cs="Arial"/>
        </w:rPr>
      </w:pPr>
    </w:p>
    <w:p w14:paraId="57F0453E" w14:textId="71A05C48" w:rsidR="00370586" w:rsidRPr="00370586" w:rsidRDefault="00370586" w:rsidP="00370586">
      <w:pPr>
        <w:spacing w:before="240" w:after="120"/>
        <w:contextualSpacing/>
        <w:jc w:val="both"/>
        <w:rPr>
          <w:rFonts w:ascii="Arial" w:eastAsiaTheme="minorHAnsi" w:hAnsi="Arial" w:cs="Arial"/>
          <w:b/>
          <w:sz w:val="24"/>
          <w:szCs w:val="24"/>
        </w:rPr>
      </w:pPr>
      <w:r w:rsidRPr="00370586">
        <w:rPr>
          <w:rFonts w:ascii="Arial" w:eastAsiaTheme="minorHAnsi" w:hAnsi="Arial" w:cs="Arial"/>
          <w:b/>
          <w:sz w:val="24"/>
          <w:szCs w:val="24"/>
        </w:rPr>
        <w:t>4.3  Decisions regarding the specific treatment/s that will be provided pursuant to a T</w:t>
      </w:r>
      <w:r w:rsidR="00E421AF">
        <w:rPr>
          <w:rFonts w:ascii="Arial" w:eastAsiaTheme="minorHAnsi" w:hAnsi="Arial" w:cs="Arial"/>
          <w:b/>
          <w:sz w:val="24"/>
          <w:szCs w:val="24"/>
        </w:rPr>
        <w:t xml:space="preserve">reatment </w:t>
      </w:r>
      <w:r w:rsidRPr="00370586">
        <w:rPr>
          <w:rFonts w:ascii="Arial" w:eastAsiaTheme="minorHAnsi" w:hAnsi="Arial" w:cs="Arial"/>
          <w:b/>
          <w:sz w:val="24"/>
          <w:szCs w:val="24"/>
        </w:rPr>
        <w:t>O</w:t>
      </w:r>
      <w:r w:rsidR="00E421AF">
        <w:rPr>
          <w:rFonts w:ascii="Arial" w:eastAsiaTheme="minorHAnsi" w:hAnsi="Arial" w:cs="Arial"/>
          <w:b/>
          <w:sz w:val="24"/>
          <w:szCs w:val="24"/>
        </w:rPr>
        <w:t>rder</w:t>
      </w:r>
    </w:p>
    <w:p w14:paraId="379D2EB2" w14:textId="77777777" w:rsidR="00370586" w:rsidRPr="00370586" w:rsidRDefault="00370586" w:rsidP="00370586">
      <w:pPr>
        <w:spacing w:before="240" w:after="120"/>
        <w:contextualSpacing/>
        <w:jc w:val="both"/>
        <w:rPr>
          <w:rFonts w:ascii="Arial" w:eastAsiaTheme="minorHAnsi" w:hAnsi="Arial" w:cs="Arial"/>
        </w:rPr>
      </w:pPr>
    </w:p>
    <w:p w14:paraId="24152DF8" w14:textId="674CFAC5" w:rsidR="00370586" w:rsidRPr="00370586" w:rsidRDefault="00370586" w:rsidP="00370586">
      <w:pPr>
        <w:spacing w:before="240" w:after="120"/>
        <w:contextualSpacing/>
        <w:jc w:val="both"/>
        <w:rPr>
          <w:rFonts w:ascii="Arial" w:eastAsiaTheme="minorHAnsi" w:hAnsi="Arial" w:cs="Arial"/>
        </w:rPr>
      </w:pPr>
      <w:r w:rsidRPr="00370586">
        <w:rPr>
          <w:rFonts w:ascii="Arial" w:eastAsiaTheme="minorHAnsi" w:hAnsi="Arial" w:cs="Arial"/>
        </w:rPr>
        <w:t>Apart from ECT that is being proposed for a person who is unable to provide informed consent or is under 18 years of age, the Tribunal does not decide what treatment will be provided to a patient (such as the type of medication or dosage levels).  In relation to treatment decisions</w:t>
      </w:r>
      <w:r w:rsidR="009F15A6">
        <w:rPr>
          <w:rFonts w:ascii="Arial" w:eastAsiaTheme="minorHAnsi" w:hAnsi="Arial" w:cs="Arial"/>
        </w:rPr>
        <w:t>,</w:t>
      </w:r>
      <w:r w:rsidRPr="00370586">
        <w:rPr>
          <w:rFonts w:ascii="Arial" w:eastAsiaTheme="minorHAnsi" w:hAnsi="Arial" w:cs="Arial"/>
        </w:rPr>
        <w:t xml:space="preserve"> the Act envisages </w:t>
      </w:r>
      <w:r w:rsidR="00AF05AC">
        <w:rPr>
          <w:rFonts w:ascii="Arial" w:eastAsiaTheme="minorHAnsi" w:hAnsi="Arial" w:cs="Arial"/>
        </w:rPr>
        <w:t>an ongoing dialogue</w:t>
      </w:r>
      <w:r w:rsidRPr="00370586">
        <w:rPr>
          <w:rFonts w:ascii="Arial" w:eastAsiaTheme="minorHAnsi" w:hAnsi="Arial" w:cs="Arial"/>
        </w:rPr>
        <w:t xml:space="preserve"> between a patient and their treating team; however, a patient’s treating psychiatrist can direct treatment pursuant to an Order.</w:t>
      </w:r>
      <w:r w:rsidRPr="00370586">
        <w:rPr>
          <w:rFonts w:ascii="Arial" w:eastAsiaTheme="minorHAnsi" w:hAnsi="Arial" w:cs="Arial"/>
          <w:vertAlign w:val="superscript"/>
        </w:rPr>
        <w:footnoteReference w:id="11"/>
      </w:r>
    </w:p>
    <w:p w14:paraId="5B914B9F" w14:textId="77777777" w:rsidR="00370586" w:rsidRPr="00370586" w:rsidRDefault="00370586" w:rsidP="00370586">
      <w:pPr>
        <w:spacing w:before="240" w:after="120"/>
        <w:contextualSpacing/>
        <w:jc w:val="both"/>
        <w:rPr>
          <w:rFonts w:ascii="Arial" w:eastAsiaTheme="minorHAnsi" w:hAnsi="Arial" w:cs="Arial"/>
        </w:rPr>
      </w:pPr>
    </w:p>
    <w:p w14:paraId="0FF9D2A9" w14:textId="1162E24F" w:rsidR="009F15A6" w:rsidRDefault="00370586" w:rsidP="00370586">
      <w:pPr>
        <w:spacing w:before="240" w:after="120"/>
        <w:contextualSpacing/>
        <w:jc w:val="both"/>
        <w:rPr>
          <w:rFonts w:ascii="Arial" w:eastAsiaTheme="minorHAnsi" w:hAnsi="Arial" w:cs="Arial"/>
        </w:rPr>
      </w:pPr>
      <w:r w:rsidRPr="00370586">
        <w:rPr>
          <w:rFonts w:ascii="Arial" w:eastAsiaTheme="minorHAnsi" w:hAnsi="Arial" w:cs="Arial"/>
        </w:rPr>
        <w:t>This does not mean the Tribunal does</w:t>
      </w:r>
      <w:r w:rsidR="00AF05AC">
        <w:rPr>
          <w:rFonts w:ascii="Arial" w:eastAsiaTheme="minorHAnsi" w:hAnsi="Arial" w:cs="Arial"/>
        </w:rPr>
        <w:t xml:space="preserve"> </w:t>
      </w:r>
      <w:r w:rsidRPr="00370586">
        <w:rPr>
          <w:rFonts w:ascii="Arial" w:eastAsiaTheme="minorHAnsi" w:hAnsi="Arial" w:cs="Arial"/>
        </w:rPr>
        <w:t>n</w:t>
      </w:r>
      <w:r w:rsidR="00AF05AC">
        <w:rPr>
          <w:rFonts w:ascii="Arial" w:eastAsiaTheme="minorHAnsi" w:hAnsi="Arial" w:cs="Arial"/>
        </w:rPr>
        <w:t>o</w:t>
      </w:r>
      <w:r w:rsidRPr="00370586">
        <w:rPr>
          <w:rFonts w:ascii="Arial" w:eastAsiaTheme="minorHAnsi" w:hAnsi="Arial" w:cs="Arial"/>
        </w:rPr>
        <w:t>t have an interest in or avoids discussion about treatment, on the contrary there will be significant discussion about these issues in hearings.  In</w:t>
      </w:r>
      <w:r w:rsidR="000A5B9A">
        <w:rPr>
          <w:rFonts w:ascii="Arial" w:eastAsiaTheme="minorHAnsi" w:hAnsi="Arial" w:cs="Arial"/>
        </w:rPr>
        <w:t xml:space="preserve"> </w:t>
      </w:r>
      <w:r w:rsidRPr="00370586">
        <w:rPr>
          <w:rFonts w:ascii="Arial" w:eastAsiaTheme="minorHAnsi" w:hAnsi="Arial" w:cs="Arial"/>
        </w:rPr>
        <w:t>the context of solution-focused hearings the Tribunal frames its role or interest in treatment as being one of constructive inquiry and clarification:</w:t>
      </w:r>
    </w:p>
    <w:p w14:paraId="0DBDCB2F" w14:textId="77777777" w:rsidR="00543059" w:rsidRPr="00370586" w:rsidRDefault="00543059" w:rsidP="00370586">
      <w:pPr>
        <w:spacing w:before="240" w:after="120"/>
        <w:contextualSpacing/>
        <w:jc w:val="both"/>
        <w:rPr>
          <w:rFonts w:ascii="Arial" w:eastAsiaTheme="minorHAnsi" w:hAnsi="Arial" w:cs="Arial"/>
        </w:rPr>
      </w:pPr>
    </w:p>
    <w:p w14:paraId="0C5A6AC9" w14:textId="42DAFDC6" w:rsidR="00370586" w:rsidRPr="00370586" w:rsidRDefault="00370586" w:rsidP="00A5218A">
      <w:pPr>
        <w:numPr>
          <w:ilvl w:val="0"/>
          <w:numId w:val="21"/>
        </w:numPr>
        <w:spacing w:before="240" w:after="120"/>
        <w:contextualSpacing/>
        <w:jc w:val="both"/>
        <w:rPr>
          <w:rFonts w:ascii="Arial" w:eastAsiaTheme="minorHAnsi" w:hAnsi="Arial" w:cs="Arial"/>
        </w:rPr>
      </w:pPr>
      <w:r w:rsidRPr="00370586">
        <w:rPr>
          <w:rFonts w:ascii="Arial" w:eastAsiaTheme="minorHAnsi" w:hAnsi="Arial" w:cs="Arial"/>
        </w:rPr>
        <w:t xml:space="preserve">given the Tribunal is the entity that makes the TO that compels a person to have treatment we have a legitimate interest in </w:t>
      </w:r>
      <w:r w:rsidRPr="00370586">
        <w:rPr>
          <w:rFonts w:ascii="Arial" w:eastAsiaTheme="minorHAnsi" w:hAnsi="Arial" w:cs="Arial"/>
          <w:bCs/>
        </w:rPr>
        <w:t>what treatment is proposed, and where appropriate exploring treatment challenges or gaps;</w:t>
      </w:r>
    </w:p>
    <w:p w14:paraId="03BF6595" w14:textId="75184F12" w:rsidR="00370586" w:rsidRPr="00370586" w:rsidRDefault="009F15A6" w:rsidP="00370586">
      <w:pPr>
        <w:numPr>
          <w:ilvl w:val="0"/>
          <w:numId w:val="21"/>
        </w:numPr>
        <w:spacing w:before="240" w:after="120"/>
        <w:contextualSpacing/>
        <w:jc w:val="both"/>
        <w:rPr>
          <w:rFonts w:ascii="Arial" w:eastAsiaTheme="minorHAnsi" w:hAnsi="Arial" w:cs="Arial"/>
        </w:rPr>
      </w:pPr>
      <w:r>
        <w:rPr>
          <w:rFonts w:ascii="Arial" w:eastAsiaTheme="minorHAnsi" w:hAnsi="Arial" w:cs="Arial"/>
        </w:rPr>
        <w:t xml:space="preserve">the </w:t>
      </w:r>
      <w:r w:rsidR="00370586" w:rsidRPr="00370586">
        <w:rPr>
          <w:rFonts w:ascii="Arial" w:eastAsiaTheme="minorHAnsi" w:hAnsi="Arial" w:cs="Arial"/>
        </w:rPr>
        <w:t>meaningful incorporation of the mental health principles in Tribunal hearings necessitates the exploration of treatment issues; and</w:t>
      </w:r>
    </w:p>
    <w:p w14:paraId="60A8C052" w14:textId="452887AA" w:rsidR="00370586" w:rsidRPr="00543059" w:rsidRDefault="00370586" w:rsidP="00370586">
      <w:pPr>
        <w:numPr>
          <w:ilvl w:val="0"/>
          <w:numId w:val="21"/>
        </w:numPr>
        <w:spacing w:before="240" w:after="120"/>
        <w:contextualSpacing/>
        <w:jc w:val="both"/>
        <w:rPr>
          <w:rFonts w:ascii="Arial" w:eastAsiaTheme="minorHAnsi" w:hAnsi="Arial" w:cs="Arial"/>
        </w:rPr>
      </w:pPr>
      <w:r w:rsidRPr="00370586">
        <w:rPr>
          <w:rFonts w:ascii="Arial" w:eastAsiaTheme="minorHAnsi" w:hAnsi="Arial" w:cs="Arial"/>
        </w:rPr>
        <w:t xml:space="preserve">a </w:t>
      </w:r>
      <w:r w:rsidRPr="00370586">
        <w:rPr>
          <w:rFonts w:ascii="Arial" w:eastAsiaTheme="minorHAnsi" w:hAnsi="Arial" w:cs="Arial"/>
          <w:bCs/>
        </w:rPr>
        <w:t xml:space="preserve">person’s views </w:t>
      </w:r>
      <w:r w:rsidRPr="00370586">
        <w:rPr>
          <w:rFonts w:ascii="Arial" w:eastAsiaTheme="minorHAnsi" w:hAnsi="Arial" w:cs="Arial"/>
        </w:rPr>
        <w:t xml:space="preserve">about medication, the method of administration and side effects will be relevant to </w:t>
      </w:r>
      <w:r w:rsidRPr="00370586">
        <w:rPr>
          <w:rFonts w:ascii="Arial" w:eastAsiaTheme="minorHAnsi" w:hAnsi="Arial" w:cs="Arial"/>
          <w:bCs/>
        </w:rPr>
        <w:t>whether the criteria for making a TO are satisfied.</w:t>
      </w:r>
    </w:p>
    <w:p w14:paraId="3EE96A70" w14:textId="77777777" w:rsidR="00543059" w:rsidRPr="00370586" w:rsidRDefault="00543059" w:rsidP="00543059">
      <w:pPr>
        <w:spacing w:before="240" w:after="120"/>
        <w:contextualSpacing/>
        <w:jc w:val="both"/>
        <w:rPr>
          <w:rFonts w:ascii="Arial" w:eastAsiaTheme="minorHAnsi" w:hAnsi="Arial" w:cs="Arial"/>
        </w:rPr>
      </w:pPr>
    </w:p>
    <w:p w14:paraId="44E6F6A9" w14:textId="77777777" w:rsidR="00370586" w:rsidRPr="00370586" w:rsidRDefault="00370586" w:rsidP="00370586">
      <w:pPr>
        <w:keepNext/>
        <w:keepLines/>
        <w:spacing w:before="240" w:after="90"/>
        <w:contextualSpacing/>
        <w:jc w:val="both"/>
        <w:outlineLvl w:val="1"/>
        <w:rPr>
          <w:rFonts w:ascii="Arial" w:hAnsi="Arial"/>
          <w:b/>
          <w:sz w:val="24"/>
          <w:szCs w:val="24"/>
        </w:rPr>
      </w:pPr>
      <w:r w:rsidRPr="00370586">
        <w:rPr>
          <w:rFonts w:ascii="Arial" w:hAnsi="Arial"/>
          <w:b/>
          <w:sz w:val="24"/>
          <w:szCs w:val="24"/>
        </w:rPr>
        <w:t>4.4  Compulsory treatment for prisoners and people on remand</w:t>
      </w:r>
    </w:p>
    <w:p w14:paraId="6B91884F" w14:textId="77777777" w:rsidR="00370586" w:rsidRPr="00370586" w:rsidRDefault="00370586" w:rsidP="00370586">
      <w:pPr>
        <w:spacing w:after="120"/>
        <w:contextualSpacing/>
        <w:jc w:val="both"/>
        <w:rPr>
          <w:rFonts w:ascii="Arial" w:eastAsia="Times" w:hAnsi="Arial"/>
        </w:rPr>
      </w:pPr>
    </w:p>
    <w:p w14:paraId="49273383" w14:textId="6251ED22" w:rsidR="00370586" w:rsidRPr="00370586" w:rsidRDefault="00370586" w:rsidP="00370586">
      <w:pPr>
        <w:spacing w:after="120"/>
        <w:contextualSpacing/>
        <w:jc w:val="both"/>
        <w:rPr>
          <w:rFonts w:ascii="Arial" w:eastAsia="Times" w:hAnsi="Arial"/>
        </w:rPr>
      </w:pPr>
      <w:r w:rsidRPr="00370586">
        <w:rPr>
          <w:rFonts w:ascii="Arial" w:eastAsia="Times" w:hAnsi="Arial"/>
        </w:rPr>
        <w:t>The Secretary to the Department of Justice and Community Safety can, on the recommendation of an authorised psychiatrist, place a prisoner or remandee on a STO which means they will receive compulsory treatment for a mental illness.</w:t>
      </w:r>
      <w:r w:rsidRPr="00370586">
        <w:rPr>
          <w:rFonts w:ascii="Arial" w:eastAsia="Times" w:hAnsi="Arial"/>
          <w:vertAlign w:val="superscript"/>
        </w:rPr>
        <w:footnoteReference w:id="12"/>
      </w:r>
      <w:r w:rsidRPr="00370586">
        <w:rPr>
          <w:rFonts w:ascii="Arial" w:eastAsia="Times" w:hAnsi="Arial"/>
        </w:rPr>
        <w:t xml:space="preserve">  Under current arrangements this can only be provided on an inpatient basis at Thomas Embling Hospital.</w:t>
      </w:r>
    </w:p>
    <w:p w14:paraId="7FF00952" w14:textId="77777777" w:rsidR="00370586" w:rsidRPr="00370586" w:rsidRDefault="00370586" w:rsidP="00370586">
      <w:pPr>
        <w:spacing w:after="120"/>
        <w:contextualSpacing/>
        <w:jc w:val="both"/>
        <w:rPr>
          <w:rFonts w:ascii="Arial" w:eastAsia="Times" w:hAnsi="Arial"/>
        </w:rPr>
      </w:pPr>
    </w:p>
    <w:p w14:paraId="36A27BBC" w14:textId="0033A3B7" w:rsidR="00370586" w:rsidRPr="00370586" w:rsidRDefault="00370586" w:rsidP="00370586">
      <w:pPr>
        <w:spacing w:after="120"/>
        <w:contextualSpacing/>
        <w:jc w:val="both"/>
        <w:rPr>
          <w:rFonts w:ascii="Arial" w:eastAsia="Times" w:hAnsi="Arial"/>
        </w:rPr>
      </w:pPr>
      <w:r w:rsidRPr="00370586">
        <w:rPr>
          <w:rFonts w:ascii="Arial" w:eastAsia="Times" w:hAnsi="Arial"/>
        </w:rPr>
        <w:t>In contrast to its role as a primary decision maker regarding TOs, the Tribunal performs a review function in relation to STOs.  Within 28 days of a person being admitted to Thomas Embling Hospital on an STO the Tribunal must conduct a hearing to review whether the criteria for an STO still apply to that person</w:t>
      </w:r>
      <w:r w:rsidR="00AF05AC">
        <w:rPr>
          <w:rFonts w:ascii="Arial" w:eastAsia="Times" w:hAnsi="Arial"/>
        </w:rPr>
        <w:t xml:space="preserve">. </w:t>
      </w:r>
      <w:r w:rsidRPr="00370586">
        <w:rPr>
          <w:rFonts w:ascii="Arial" w:eastAsia="Times" w:hAnsi="Arial"/>
        </w:rPr>
        <w:t xml:space="preserve"> </w:t>
      </w:r>
      <w:r w:rsidR="00AF05AC">
        <w:rPr>
          <w:rFonts w:ascii="Arial" w:eastAsia="Times" w:hAnsi="Arial"/>
        </w:rPr>
        <w:t>T</w:t>
      </w:r>
      <w:r w:rsidRPr="00370586">
        <w:rPr>
          <w:rFonts w:ascii="Arial" w:eastAsia="Times" w:hAnsi="Arial"/>
        </w:rPr>
        <w:t>hese criteria are set down in section 276(1)(b) of the Act and are identical to the criteria for compulsory treatment in section 5 of the Act.</w:t>
      </w:r>
    </w:p>
    <w:p w14:paraId="1271B956" w14:textId="77777777" w:rsidR="00370586" w:rsidRPr="00370586" w:rsidRDefault="00370586" w:rsidP="00370586">
      <w:pPr>
        <w:spacing w:after="120"/>
        <w:contextualSpacing/>
        <w:jc w:val="both"/>
        <w:rPr>
          <w:rFonts w:ascii="Arial" w:eastAsia="Times" w:hAnsi="Arial"/>
        </w:rPr>
      </w:pPr>
    </w:p>
    <w:p w14:paraId="2FDFCA25" w14:textId="047C8D96" w:rsidR="00370586" w:rsidRDefault="00370586" w:rsidP="00370586">
      <w:pPr>
        <w:spacing w:after="120"/>
        <w:contextualSpacing/>
        <w:jc w:val="both"/>
        <w:rPr>
          <w:rFonts w:ascii="Arial" w:eastAsia="Times" w:hAnsi="Arial"/>
        </w:rPr>
      </w:pPr>
      <w:r w:rsidRPr="00370586">
        <w:rPr>
          <w:rFonts w:ascii="Arial" w:eastAsia="Times" w:hAnsi="Arial"/>
        </w:rPr>
        <w:t>If the Tribunal decides the criteria do apply it confirms the STO and the person remains at Thomas Embling Hospital and will continue to receive compulsory treatment.  The Tribunal must continue to conduct periodic reviews at intervals of no more than six months for as long as the STO remains in place.</w:t>
      </w:r>
      <w:r w:rsidRPr="00370586">
        <w:rPr>
          <w:rFonts w:ascii="Arial" w:eastAsia="Times" w:hAnsi="Arial"/>
          <w:vertAlign w:val="superscript"/>
        </w:rPr>
        <w:footnoteReference w:id="13"/>
      </w:r>
      <w:r w:rsidRPr="00370586">
        <w:rPr>
          <w:rFonts w:ascii="Arial" w:eastAsia="Times" w:hAnsi="Arial"/>
        </w:rPr>
        <w:t xml:space="preserve">  If at any point the Tribunal or the person’s treating psychiatrist decides the criteria no longer apply to the person, they will return to the corrections system and any further treatment will be on a voluntary basis.</w:t>
      </w:r>
      <w:r w:rsidRPr="00370586">
        <w:rPr>
          <w:rFonts w:ascii="Arial" w:eastAsia="Times" w:hAnsi="Arial"/>
          <w:vertAlign w:val="superscript"/>
        </w:rPr>
        <w:footnoteReference w:id="14"/>
      </w:r>
      <w:r w:rsidRPr="00370586">
        <w:rPr>
          <w:rFonts w:ascii="Arial" w:eastAsia="Times" w:hAnsi="Arial"/>
        </w:rPr>
        <w:t xml:space="preserve">  A person subject to an STO can at any time make an application to the Tribunal for the Order to be revoked</w:t>
      </w:r>
      <w:r w:rsidR="00AF05AC">
        <w:rPr>
          <w:rFonts w:ascii="Arial" w:eastAsia="Times" w:hAnsi="Arial"/>
        </w:rPr>
        <w:t xml:space="preserve"> and</w:t>
      </w:r>
      <w:r w:rsidRPr="00370586">
        <w:rPr>
          <w:rFonts w:ascii="Arial" w:eastAsia="Times" w:hAnsi="Arial"/>
        </w:rPr>
        <w:t xml:space="preserve"> there is no limit on the number of applications that can be made.</w:t>
      </w:r>
      <w:r w:rsidRPr="00370586">
        <w:rPr>
          <w:rFonts w:ascii="Arial" w:eastAsia="Times" w:hAnsi="Arial"/>
          <w:vertAlign w:val="superscript"/>
        </w:rPr>
        <w:footnoteReference w:id="15"/>
      </w:r>
    </w:p>
    <w:p w14:paraId="268322BB" w14:textId="77777777" w:rsidR="00543059" w:rsidRPr="00370586" w:rsidRDefault="00543059" w:rsidP="00370586">
      <w:pPr>
        <w:spacing w:after="120"/>
        <w:contextualSpacing/>
        <w:jc w:val="both"/>
        <w:rPr>
          <w:rFonts w:ascii="Arial" w:eastAsia="Times" w:hAnsi="Arial"/>
        </w:rPr>
      </w:pPr>
    </w:p>
    <w:p w14:paraId="2C3D503E" w14:textId="77777777" w:rsidR="00543059" w:rsidRPr="00543059" w:rsidRDefault="00543059" w:rsidP="00543059">
      <w:pPr>
        <w:spacing w:after="120"/>
        <w:contextualSpacing/>
        <w:jc w:val="both"/>
        <w:rPr>
          <w:rFonts w:ascii="Arial" w:eastAsia="Times" w:hAnsi="Arial"/>
        </w:rPr>
      </w:pPr>
    </w:p>
    <w:p w14:paraId="601961EF" w14:textId="09747D7A" w:rsidR="00370586" w:rsidRPr="00370586" w:rsidRDefault="0093540F" w:rsidP="0093540F">
      <w:pPr>
        <w:keepNext/>
        <w:keepLines/>
        <w:spacing w:before="240" w:after="90"/>
        <w:contextualSpacing/>
        <w:jc w:val="both"/>
        <w:outlineLvl w:val="1"/>
        <w:rPr>
          <w:rFonts w:ascii="Arial" w:hAnsi="Arial"/>
          <w:b/>
          <w:sz w:val="28"/>
          <w:szCs w:val="28"/>
        </w:rPr>
      </w:pPr>
      <w:r>
        <w:rPr>
          <w:rFonts w:ascii="Arial" w:hAnsi="Arial"/>
          <w:b/>
          <w:sz w:val="28"/>
          <w:szCs w:val="28"/>
        </w:rPr>
        <w:t xml:space="preserve">5. </w:t>
      </w:r>
      <w:r w:rsidR="00370586" w:rsidRPr="00370586">
        <w:rPr>
          <w:rFonts w:ascii="Arial" w:hAnsi="Arial"/>
          <w:b/>
          <w:sz w:val="28"/>
          <w:szCs w:val="28"/>
        </w:rPr>
        <w:t>The Legal Framework Applicable to E</w:t>
      </w:r>
      <w:r w:rsidR="00E421AF">
        <w:rPr>
          <w:rFonts w:ascii="Arial" w:hAnsi="Arial"/>
          <w:b/>
          <w:sz w:val="28"/>
          <w:szCs w:val="28"/>
        </w:rPr>
        <w:t xml:space="preserve">lectroconvulsive </w:t>
      </w:r>
      <w:r w:rsidR="00370586" w:rsidRPr="00370586">
        <w:rPr>
          <w:rFonts w:ascii="Arial" w:hAnsi="Arial"/>
          <w:b/>
          <w:sz w:val="28"/>
          <w:szCs w:val="28"/>
        </w:rPr>
        <w:t>T</w:t>
      </w:r>
      <w:r w:rsidR="00E421AF">
        <w:rPr>
          <w:rFonts w:ascii="Arial" w:hAnsi="Arial"/>
          <w:b/>
          <w:sz w:val="28"/>
          <w:szCs w:val="28"/>
        </w:rPr>
        <w:t>reatment</w:t>
      </w:r>
    </w:p>
    <w:p w14:paraId="48CEFD2B" w14:textId="77777777" w:rsidR="00370586" w:rsidRPr="00370586" w:rsidRDefault="00370586" w:rsidP="00370586">
      <w:pPr>
        <w:spacing w:after="120"/>
        <w:contextualSpacing/>
        <w:jc w:val="both"/>
        <w:rPr>
          <w:rFonts w:ascii="Arial" w:eastAsia="Times" w:hAnsi="Arial"/>
        </w:rPr>
      </w:pPr>
    </w:p>
    <w:p w14:paraId="47D33150" w14:textId="2F9068A1" w:rsidR="00370586" w:rsidRPr="00370586" w:rsidRDefault="00370586" w:rsidP="00370586">
      <w:pPr>
        <w:spacing w:after="120"/>
        <w:contextualSpacing/>
        <w:jc w:val="both"/>
        <w:rPr>
          <w:rFonts w:ascii="Arial" w:eastAsia="Times" w:hAnsi="Arial"/>
        </w:rPr>
      </w:pPr>
      <w:r w:rsidRPr="00370586">
        <w:rPr>
          <w:rFonts w:ascii="Arial" w:eastAsia="Times" w:hAnsi="Arial"/>
        </w:rPr>
        <w:t>The second reading speech for the Act referred to the ongoing debate and controversy related to ECT.</w:t>
      </w:r>
      <w:r w:rsidR="00AF05AC">
        <w:rPr>
          <w:rStyle w:val="FootnoteReference"/>
          <w:rFonts w:ascii="Arial" w:eastAsia="Times" w:hAnsi="Arial"/>
        </w:rPr>
        <w:footnoteReference w:id="16"/>
      </w:r>
      <w:r w:rsidRPr="00370586">
        <w:rPr>
          <w:rFonts w:ascii="Arial" w:eastAsia="Times" w:hAnsi="Arial"/>
        </w:rPr>
        <w:t xml:space="preserve">  This is a key reason for ECT being subject to specific regulation</w:t>
      </w:r>
      <w:r w:rsidRPr="00370586">
        <w:rPr>
          <w:rFonts w:ascii="Arial" w:eastAsia="Times" w:hAnsi="Arial"/>
          <w:vertAlign w:val="superscript"/>
        </w:rPr>
        <w:footnoteReference w:id="17"/>
      </w:r>
      <w:r w:rsidRPr="00370586">
        <w:rPr>
          <w:rFonts w:ascii="Arial" w:eastAsia="Times" w:hAnsi="Arial"/>
        </w:rPr>
        <w:t xml:space="preserve"> and, in contrast to the former Board which had no role in relation to ECT,</w:t>
      </w:r>
      <w:r w:rsidR="00D6597A">
        <w:rPr>
          <w:rStyle w:val="FootnoteReference"/>
          <w:rFonts w:ascii="Arial" w:eastAsia="Times" w:hAnsi="Arial"/>
        </w:rPr>
        <w:footnoteReference w:id="18"/>
      </w:r>
      <w:r w:rsidRPr="00370586">
        <w:rPr>
          <w:rFonts w:ascii="Arial" w:eastAsia="Times" w:hAnsi="Arial"/>
        </w:rPr>
        <w:t xml:space="preserve"> the Tribunal was vested with a range of </w:t>
      </w:r>
      <w:r w:rsidRPr="00370586">
        <w:rPr>
          <w:rFonts w:ascii="Arial" w:eastAsia="Times" w:hAnsi="Arial"/>
        </w:rPr>
        <w:lastRenderedPageBreak/>
        <w:t>responsibilities.  Any adult who is receiving treatment for a mental illness, whether on a voluntary basis or pursuant to an Order, and who has decision making capacity, can consent to ECT and this can proceed without any involvement of the Tribunal.  However, the Act requires the Tribunal to determine whether ECT can be used as part of the treatment provided to:</w:t>
      </w:r>
    </w:p>
    <w:p w14:paraId="0C17A9F9" w14:textId="77777777" w:rsidR="00370586" w:rsidRPr="00370586" w:rsidRDefault="00370586" w:rsidP="00370586">
      <w:pPr>
        <w:spacing w:after="120"/>
        <w:contextualSpacing/>
        <w:jc w:val="both"/>
        <w:rPr>
          <w:rFonts w:ascii="Arial" w:eastAsia="Times" w:hAnsi="Arial"/>
        </w:rPr>
      </w:pPr>
    </w:p>
    <w:p w14:paraId="02E07C1E" w14:textId="581C45DF" w:rsidR="00370586" w:rsidRPr="00370586" w:rsidRDefault="00370586" w:rsidP="00370586">
      <w:pPr>
        <w:numPr>
          <w:ilvl w:val="0"/>
          <w:numId w:val="22"/>
        </w:numPr>
        <w:spacing w:after="120"/>
        <w:contextualSpacing/>
        <w:jc w:val="both"/>
        <w:rPr>
          <w:rFonts w:ascii="Arial" w:eastAsia="Times" w:hAnsi="Arial"/>
        </w:rPr>
      </w:pPr>
      <w:r w:rsidRPr="00370586">
        <w:rPr>
          <w:rFonts w:ascii="Arial" w:eastAsia="Times" w:hAnsi="Arial"/>
        </w:rPr>
        <w:t>compulsory, security or forensic patients if their authorised psychiatrist considers they do not have capacity to give informed consent</w:t>
      </w:r>
      <w:r w:rsidRPr="00370586">
        <w:rPr>
          <w:rFonts w:ascii="Arial" w:eastAsia="Times" w:hAnsi="Arial"/>
          <w:vertAlign w:val="superscript"/>
        </w:rPr>
        <w:footnoteReference w:id="19"/>
      </w:r>
      <w:r w:rsidR="001F437E">
        <w:rPr>
          <w:rFonts w:ascii="Arial" w:eastAsia="Times" w:hAnsi="Arial"/>
        </w:rPr>
        <w:t>;</w:t>
      </w:r>
    </w:p>
    <w:p w14:paraId="79064963" w14:textId="0219BF42" w:rsidR="00370586" w:rsidRPr="00370586" w:rsidRDefault="00370586" w:rsidP="00370586">
      <w:pPr>
        <w:numPr>
          <w:ilvl w:val="0"/>
          <w:numId w:val="22"/>
        </w:numPr>
        <w:spacing w:after="120"/>
        <w:contextualSpacing/>
        <w:jc w:val="both"/>
        <w:rPr>
          <w:rFonts w:ascii="Arial" w:eastAsia="Times" w:hAnsi="Arial"/>
        </w:rPr>
      </w:pPr>
      <w:r w:rsidRPr="00370586">
        <w:rPr>
          <w:rFonts w:ascii="Arial" w:eastAsia="Times" w:hAnsi="Arial"/>
        </w:rPr>
        <w:t>voluntary adults if their psychiatrist considers they do not have capacity to give informed consent</w:t>
      </w:r>
      <w:r w:rsidRPr="00370586">
        <w:rPr>
          <w:rFonts w:ascii="Arial" w:eastAsia="Times" w:hAnsi="Arial"/>
          <w:vertAlign w:val="superscript"/>
        </w:rPr>
        <w:footnoteReference w:id="20"/>
      </w:r>
      <w:r w:rsidR="001F437E">
        <w:rPr>
          <w:rFonts w:ascii="Arial" w:eastAsia="Times" w:hAnsi="Arial"/>
        </w:rPr>
        <w:t>; or</w:t>
      </w:r>
    </w:p>
    <w:p w14:paraId="013A478B" w14:textId="77777777" w:rsidR="00370586" w:rsidRPr="00370586" w:rsidRDefault="00370586" w:rsidP="00370586">
      <w:pPr>
        <w:numPr>
          <w:ilvl w:val="0"/>
          <w:numId w:val="22"/>
        </w:numPr>
        <w:spacing w:after="120"/>
        <w:contextualSpacing/>
        <w:jc w:val="both"/>
        <w:rPr>
          <w:rFonts w:ascii="Arial" w:eastAsia="Times" w:hAnsi="Arial"/>
        </w:rPr>
      </w:pPr>
      <w:r w:rsidRPr="00370586">
        <w:rPr>
          <w:rFonts w:ascii="Arial" w:eastAsia="Times" w:hAnsi="Arial"/>
        </w:rPr>
        <w:t>any person under the age of 18 (whether they are a patient or receiving treatment on a voluntary basis).</w:t>
      </w:r>
      <w:r w:rsidRPr="00370586">
        <w:rPr>
          <w:rFonts w:ascii="Arial" w:eastAsia="Times" w:hAnsi="Arial"/>
          <w:vertAlign w:val="superscript"/>
        </w:rPr>
        <w:footnoteReference w:id="21"/>
      </w:r>
    </w:p>
    <w:p w14:paraId="33D74B2E" w14:textId="77777777" w:rsidR="00370586" w:rsidRPr="00370586" w:rsidRDefault="00370586" w:rsidP="00370586">
      <w:pPr>
        <w:spacing w:after="120"/>
        <w:contextualSpacing/>
        <w:jc w:val="both"/>
        <w:rPr>
          <w:rFonts w:ascii="Arial" w:eastAsia="Times" w:hAnsi="Arial"/>
        </w:rPr>
      </w:pPr>
    </w:p>
    <w:p w14:paraId="656BF994" w14:textId="221304A0" w:rsidR="00370586" w:rsidRPr="00370586" w:rsidRDefault="00370586" w:rsidP="00370586">
      <w:pPr>
        <w:spacing w:after="120"/>
        <w:contextualSpacing/>
        <w:jc w:val="both"/>
        <w:rPr>
          <w:rFonts w:ascii="Arial" w:eastAsia="Times" w:hAnsi="Arial"/>
        </w:rPr>
      </w:pPr>
      <w:r w:rsidRPr="00370586">
        <w:rPr>
          <w:rFonts w:ascii="Arial" w:eastAsia="Times" w:hAnsi="Arial"/>
        </w:rPr>
        <w:t>Applications to the Tribunal for an ECT Order must be finalised within five business days, the Act also makes provision for applicant psychiatrists to request an urgent hearing.</w:t>
      </w:r>
      <w:r w:rsidRPr="00370586">
        <w:rPr>
          <w:rFonts w:ascii="Arial" w:eastAsia="Times" w:hAnsi="Arial"/>
          <w:vertAlign w:val="superscript"/>
        </w:rPr>
        <w:footnoteReference w:id="22"/>
      </w:r>
      <w:r w:rsidRPr="00370586">
        <w:rPr>
          <w:rFonts w:ascii="Arial" w:eastAsia="Times" w:hAnsi="Arial"/>
        </w:rPr>
        <w:t xml:space="preserve">  If the Tribunal decides to make an ECT Order it must also determine an authorised number of treatments (up to a maximum of 12), and the duration of the Order (up to six months).</w:t>
      </w:r>
      <w:r w:rsidRPr="00370586">
        <w:rPr>
          <w:rFonts w:ascii="Arial" w:eastAsia="Times" w:hAnsi="Arial"/>
          <w:vertAlign w:val="superscript"/>
        </w:rPr>
        <w:footnoteReference w:id="23"/>
      </w:r>
      <w:r w:rsidRPr="00370586">
        <w:rPr>
          <w:rFonts w:ascii="Arial" w:eastAsia="Times" w:hAnsi="Arial"/>
        </w:rPr>
        <w:t xml:space="preserve">  Whether or not all the authorised treatments are administered, and the frequency of administration </w:t>
      </w:r>
      <w:r w:rsidR="00E87AF4">
        <w:rPr>
          <w:rFonts w:ascii="Arial" w:eastAsia="Times" w:hAnsi="Arial"/>
        </w:rPr>
        <w:t xml:space="preserve">are </w:t>
      </w:r>
      <w:r w:rsidRPr="00370586">
        <w:rPr>
          <w:rFonts w:ascii="Arial" w:eastAsia="Times" w:hAnsi="Arial"/>
        </w:rPr>
        <w:t>clinical decision</w:t>
      </w:r>
      <w:r w:rsidR="00E87AF4">
        <w:rPr>
          <w:rFonts w:ascii="Arial" w:eastAsia="Times" w:hAnsi="Arial"/>
        </w:rPr>
        <w:t>s</w:t>
      </w:r>
      <w:r w:rsidRPr="00370586">
        <w:rPr>
          <w:rFonts w:ascii="Arial" w:eastAsia="Times" w:hAnsi="Arial"/>
        </w:rPr>
        <w:t>.  If an Order expires or the authorised number of treatments are used, and the person’s treating psychiatrist is of the view that further ECT is needed (and the person still lacks capacity or is under 18 years old) a further application can be made to the Tribunal.</w:t>
      </w:r>
    </w:p>
    <w:p w14:paraId="7A528E3F" w14:textId="77777777" w:rsidR="00370586" w:rsidRPr="00370586" w:rsidRDefault="00370586" w:rsidP="00370586">
      <w:pPr>
        <w:spacing w:after="120"/>
        <w:contextualSpacing/>
        <w:jc w:val="both"/>
        <w:rPr>
          <w:rFonts w:ascii="Arial" w:eastAsia="Times" w:hAnsi="Arial"/>
        </w:rPr>
      </w:pPr>
    </w:p>
    <w:p w14:paraId="4C280990"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While slightly different provisions apply in each of the case types referred to above, when deciding on any application for an ECT Order the Tribunal is required to focus on two key questions:</w:t>
      </w:r>
    </w:p>
    <w:p w14:paraId="3703AAC3" w14:textId="77777777" w:rsidR="00370586" w:rsidRPr="00370586" w:rsidRDefault="00370586" w:rsidP="00370586">
      <w:pPr>
        <w:spacing w:after="120"/>
        <w:contextualSpacing/>
        <w:jc w:val="both"/>
        <w:rPr>
          <w:rFonts w:ascii="Arial" w:eastAsia="Times" w:hAnsi="Arial"/>
        </w:rPr>
      </w:pPr>
    </w:p>
    <w:p w14:paraId="22BABF54" w14:textId="42903813" w:rsidR="00370586" w:rsidRPr="00370586" w:rsidRDefault="00370586" w:rsidP="00370586">
      <w:pPr>
        <w:numPr>
          <w:ilvl w:val="0"/>
          <w:numId w:val="23"/>
        </w:numPr>
        <w:spacing w:after="120"/>
        <w:contextualSpacing/>
        <w:jc w:val="both"/>
        <w:rPr>
          <w:rFonts w:ascii="Arial" w:eastAsia="Times" w:hAnsi="Arial"/>
        </w:rPr>
      </w:pPr>
      <w:r w:rsidRPr="00370586">
        <w:rPr>
          <w:rFonts w:ascii="Arial" w:eastAsia="Times" w:hAnsi="Arial"/>
        </w:rPr>
        <w:t>whether the person has capacity to provide informed consent</w:t>
      </w:r>
      <w:r w:rsidR="00E87AF4">
        <w:rPr>
          <w:rFonts w:ascii="Arial" w:eastAsia="Times" w:hAnsi="Arial"/>
        </w:rPr>
        <w:t xml:space="preserve"> to ECT</w:t>
      </w:r>
      <w:r w:rsidRPr="00370586">
        <w:rPr>
          <w:rFonts w:ascii="Arial" w:eastAsia="Times" w:hAnsi="Arial"/>
        </w:rPr>
        <w:t>; and</w:t>
      </w:r>
    </w:p>
    <w:p w14:paraId="714AADBD" w14:textId="77777777" w:rsidR="00370586" w:rsidRPr="00370586" w:rsidRDefault="00370586" w:rsidP="00370586">
      <w:pPr>
        <w:numPr>
          <w:ilvl w:val="0"/>
          <w:numId w:val="23"/>
        </w:numPr>
        <w:spacing w:after="120"/>
        <w:contextualSpacing/>
        <w:jc w:val="both"/>
        <w:rPr>
          <w:rFonts w:ascii="Arial" w:eastAsia="Times" w:hAnsi="Arial"/>
        </w:rPr>
      </w:pPr>
      <w:r w:rsidRPr="00370586">
        <w:rPr>
          <w:rFonts w:ascii="Arial" w:eastAsia="Times" w:hAnsi="Arial"/>
        </w:rPr>
        <w:t>whether there is no less restrictive way for the person to be treated.</w:t>
      </w:r>
    </w:p>
    <w:p w14:paraId="58F81CA7" w14:textId="77777777" w:rsidR="00370586" w:rsidRPr="00370586" w:rsidRDefault="00370586" w:rsidP="00370586">
      <w:pPr>
        <w:spacing w:after="120"/>
        <w:contextualSpacing/>
        <w:jc w:val="both"/>
        <w:rPr>
          <w:rFonts w:ascii="Arial" w:eastAsia="Times" w:hAnsi="Arial"/>
          <w:b/>
        </w:rPr>
      </w:pPr>
    </w:p>
    <w:p w14:paraId="41700936" w14:textId="77777777" w:rsidR="00370586" w:rsidRPr="00370586" w:rsidRDefault="00370586" w:rsidP="00370586">
      <w:pPr>
        <w:spacing w:after="120"/>
        <w:contextualSpacing/>
        <w:jc w:val="both"/>
        <w:rPr>
          <w:rFonts w:ascii="Arial" w:eastAsia="Times" w:hAnsi="Arial"/>
          <w:b/>
          <w:sz w:val="24"/>
          <w:szCs w:val="24"/>
        </w:rPr>
      </w:pPr>
      <w:r w:rsidRPr="00370586">
        <w:rPr>
          <w:rFonts w:ascii="Arial" w:eastAsia="Times" w:hAnsi="Arial"/>
          <w:b/>
          <w:sz w:val="24"/>
          <w:szCs w:val="24"/>
        </w:rPr>
        <w:t>5.1  Capacity to provide informed consent</w:t>
      </w:r>
    </w:p>
    <w:p w14:paraId="021E2E98" w14:textId="77777777" w:rsidR="00370586" w:rsidRPr="00370586" w:rsidRDefault="00370586" w:rsidP="00370586">
      <w:pPr>
        <w:spacing w:after="120"/>
        <w:contextualSpacing/>
        <w:jc w:val="both"/>
        <w:rPr>
          <w:rFonts w:ascii="Arial" w:eastAsia="Times" w:hAnsi="Arial"/>
        </w:rPr>
      </w:pPr>
    </w:p>
    <w:p w14:paraId="5AEE25C1" w14:textId="155EF2AC" w:rsidR="00370586" w:rsidRPr="00370586" w:rsidRDefault="00370586" w:rsidP="00370586">
      <w:pPr>
        <w:spacing w:after="120"/>
        <w:contextualSpacing/>
        <w:jc w:val="both"/>
        <w:rPr>
          <w:rFonts w:ascii="Arial" w:eastAsia="Times" w:hAnsi="Arial"/>
        </w:rPr>
      </w:pPr>
      <w:r w:rsidRPr="00370586">
        <w:rPr>
          <w:rFonts w:ascii="Arial" w:eastAsia="Times" w:hAnsi="Arial"/>
        </w:rPr>
        <w:t>The Act sets down a rebuttable presumption that a person has capacity to give informed consent.</w:t>
      </w:r>
      <w:r w:rsidR="00FF25D2">
        <w:rPr>
          <w:rStyle w:val="FootnoteReference"/>
          <w:rFonts w:ascii="Arial" w:eastAsia="Times" w:hAnsi="Arial"/>
        </w:rPr>
        <w:footnoteReference w:id="24"/>
      </w:r>
      <w:r w:rsidRPr="00370586">
        <w:rPr>
          <w:rFonts w:ascii="Arial" w:eastAsia="Times" w:hAnsi="Arial"/>
        </w:rPr>
        <w:t xml:space="preserve">  Section 68 sets out the meaning of capacity to give informed consent, including four elements or domains, namely that a person has capacity to give informed consent if they:</w:t>
      </w:r>
    </w:p>
    <w:p w14:paraId="7D2B4137" w14:textId="77777777" w:rsidR="00370586" w:rsidRPr="00370586" w:rsidRDefault="00370586" w:rsidP="00370586">
      <w:pPr>
        <w:spacing w:after="120"/>
        <w:contextualSpacing/>
        <w:jc w:val="both"/>
        <w:rPr>
          <w:rFonts w:ascii="Arial" w:eastAsia="Times" w:hAnsi="Arial"/>
        </w:rPr>
      </w:pPr>
    </w:p>
    <w:p w14:paraId="7F71E598" w14:textId="42ED25A3" w:rsidR="00370586" w:rsidRPr="00370586" w:rsidRDefault="00370586" w:rsidP="00370586">
      <w:pPr>
        <w:numPr>
          <w:ilvl w:val="0"/>
          <w:numId w:val="24"/>
        </w:numPr>
        <w:spacing w:after="120"/>
        <w:contextualSpacing/>
        <w:jc w:val="both"/>
        <w:rPr>
          <w:rFonts w:ascii="Arial" w:eastAsia="Times" w:hAnsi="Arial"/>
        </w:rPr>
      </w:pPr>
      <w:r w:rsidRPr="00370586">
        <w:rPr>
          <w:rFonts w:ascii="Arial" w:eastAsia="Times" w:hAnsi="Arial"/>
        </w:rPr>
        <w:t>understand the information they are given</w:t>
      </w:r>
      <w:r w:rsidR="000A5B9A">
        <w:rPr>
          <w:rFonts w:ascii="Arial" w:eastAsia="Times" w:hAnsi="Arial"/>
        </w:rPr>
        <w:t xml:space="preserve"> that is</w:t>
      </w:r>
      <w:r w:rsidRPr="00370586">
        <w:rPr>
          <w:rFonts w:ascii="Arial" w:eastAsia="Times" w:hAnsi="Arial"/>
        </w:rPr>
        <w:t xml:space="preserve"> relevant to the decision they are making</w:t>
      </w:r>
      <w:r w:rsidR="001F437E">
        <w:rPr>
          <w:rFonts w:ascii="Arial" w:eastAsia="Times" w:hAnsi="Arial"/>
        </w:rPr>
        <w:t>;</w:t>
      </w:r>
    </w:p>
    <w:p w14:paraId="4F81F9EB" w14:textId="75F9E5AF" w:rsidR="00370586" w:rsidRPr="00370586" w:rsidRDefault="00370586" w:rsidP="00370586">
      <w:pPr>
        <w:numPr>
          <w:ilvl w:val="0"/>
          <w:numId w:val="24"/>
        </w:numPr>
        <w:spacing w:after="120"/>
        <w:contextualSpacing/>
        <w:jc w:val="both"/>
        <w:rPr>
          <w:rFonts w:ascii="Arial" w:eastAsia="Times" w:hAnsi="Arial"/>
        </w:rPr>
      </w:pPr>
      <w:r w:rsidRPr="00370586">
        <w:rPr>
          <w:rFonts w:ascii="Arial" w:eastAsia="Times" w:hAnsi="Arial"/>
        </w:rPr>
        <w:t>are able to remember the information that is relevant to the decision</w:t>
      </w:r>
      <w:r w:rsidR="001F437E">
        <w:rPr>
          <w:rFonts w:ascii="Arial" w:eastAsia="Times" w:hAnsi="Arial"/>
        </w:rPr>
        <w:t>;</w:t>
      </w:r>
    </w:p>
    <w:p w14:paraId="485D9665" w14:textId="0EED56D9" w:rsidR="00370586" w:rsidRPr="00370586" w:rsidRDefault="00370586" w:rsidP="00370586">
      <w:pPr>
        <w:numPr>
          <w:ilvl w:val="0"/>
          <w:numId w:val="24"/>
        </w:numPr>
        <w:spacing w:after="120"/>
        <w:contextualSpacing/>
        <w:jc w:val="both"/>
        <w:rPr>
          <w:rFonts w:ascii="Arial" w:eastAsia="Times" w:hAnsi="Arial"/>
        </w:rPr>
      </w:pPr>
      <w:r w:rsidRPr="00370586">
        <w:rPr>
          <w:rFonts w:ascii="Arial" w:eastAsia="Times" w:hAnsi="Arial"/>
        </w:rPr>
        <w:t>are able to use or weigh information that is relevant to the decision</w:t>
      </w:r>
      <w:r w:rsidR="001F437E">
        <w:rPr>
          <w:rFonts w:ascii="Arial" w:eastAsia="Times" w:hAnsi="Arial"/>
        </w:rPr>
        <w:t>;</w:t>
      </w:r>
      <w:r w:rsidRPr="00370586">
        <w:rPr>
          <w:rFonts w:ascii="Arial" w:eastAsia="Times" w:hAnsi="Arial"/>
        </w:rPr>
        <w:t xml:space="preserve"> and</w:t>
      </w:r>
    </w:p>
    <w:p w14:paraId="495F7B5B" w14:textId="77777777" w:rsidR="00370586" w:rsidRPr="00370586" w:rsidRDefault="00370586" w:rsidP="00370586">
      <w:pPr>
        <w:numPr>
          <w:ilvl w:val="0"/>
          <w:numId w:val="24"/>
        </w:numPr>
        <w:spacing w:after="120"/>
        <w:contextualSpacing/>
        <w:jc w:val="both"/>
        <w:rPr>
          <w:rFonts w:ascii="Arial" w:eastAsia="Times" w:hAnsi="Arial"/>
        </w:rPr>
      </w:pPr>
      <w:r w:rsidRPr="00370586">
        <w:rPr>
          <w:rFonts w:ascii="Arial" w:eastAsia="Times" w:hAnsi="Arial"/>
        </w:rPr>
        <w:t>are able to communicate the decision by speech, gestures or any other means.</w:t>
      </w:r>
    </w:p>
    <w:p w14:paraId="6F0C23A7" w14:textId="77777777" w:rsidR="00370586" w:rsidRPr="00370586" w:rsidRDefault="00370586" w:rsidP="00370586">
      <w:pPr>
        <w:spacing w:after="120"/>
        <w:contextualSpacing/>
        <w:jc w:val="both"/>
        <w:rPr>
          <w:rFonts w:ascii="Arial" w:eastAsia="Times" w:hAnsi="Arial"/>
        </w:rPr>
      </w:pPr>
    </w:p>
    <w:p w14:paraId="3FC0B674"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The Act also sets down guiding principles concerning capacity and capacity assessments:</w:t>
      </w:r>
      <w:r w:rsidRPr="00370586">
        <w:rPr>
          <w:rFonts w:ascii="Arial" w:eastAsia="Times" w:hAnsi="Arial"/>
          <w:vertAlign w:val="superscript"/>
        </w:rPr>
        <w:footnoteReference w:id="25"/>
      </w:r>
    </w:p>
    <w:p w14:paraId="5F24527C" w14:textId="77777777" w:rsidR="00370586" w:rsidRPr="00370586" w:rsidRDefault="00370586" w:rsidP="00370586">
      <w:pPr>
        <w:spacing w:after="120"/>
        <w:contextualSpacing/>
        <w:jc w:val="both"/>
        <w:rPr>
          <w:rFonts w:ascii="Arial" w:eastAsia="Times" w:hAnsi="Arial"/>
        </w:rPr>
      </w:pPr>
    </w:p>
    <w:p w14:paraId="0F7D50CB" w14:textId="4FB1642A" w:rsidR="00370586" w:rsidRPr="00370586" w:rsidRDefault="00370586" w:rsidP="00370586">
      <w:pPr>
        <w:numPr>
          <w:ilvl w:val="0"/>
          <w:numId w:val="25"/>
        </w:numPr>
        <w:spacing w:after="120"/>
        <w:contextualSpacing/>
        <w:jc w:val="both"/>
        <w:rPr>
          <w:rFonts w:ascii="Arial" w:eastAsia="Times" w:hAnsi="Arial"/>
        </w:rPr>
      </w:pPr>
      <w:r w:rsidRPr="00370586">
        <w:rPr>
          <w:rFonts w:ascii="Arial" w:eastAsia="Times" w:hAnsi="Arial"/>
        </w:rPr>
        <w:t>a person’s capacity to give informed consent is specific to the decision that the person is to make</w:t>
      </w:r>
      <w:r w:rsidR="001F437E">
        <w:rPr>
          <w:rFonts w:ascii="Arial" w:eastAsia="Times" w:hAnsi="Arial"/>
        </w:rPr>
        <w:t>;</w:t>
      </w:r>
    </w:p>
    <w:p w14:paraId="559124E1" w14:textId="4E642713" w:rsidR="00370586" w:rsidRPr="00370586" w:rsidRDefault="00370586" w:rsidP="00370586">
      <w:pPr>
        <w:numPr>
          <w:ilvl w:val="0"/>
          <w:numId w:val="25"/>
        </w:numPr>
        <w:spacing w:after="120"/>
        <w:contextualSpacing/>
        <w:jc w:val="both"/>
        <w:rPr>
          <w:rFonts w:ascii="Arial" w:eastAsia="Times" w:hAnsi="Arial"/>
        </w:rPr>
      </w:pPr>
      <w:r w:rsidRPr="00370586">
        <w:rPr>
          <w:rFonts w:ascii="Arial" w:eastAsia="Times" w:hAnsi="Arial"/>
        </w:rPr>
        <w:t>a person’s capacity to give informed consent may change over time</w:t>
      </w:r>
      <w:r w:rsidR="001F437E">
        <w:rPr>
          <w:rFonts w:ascii="Arial" w:eastAsia="Times" w:hAnsi="Arial"/>
        </w:rPr>
        <w:t>;</w:t>
      </w:r>
    </w:p>
    <w:p w14:paraId="3C40C13A" w14:textId="733BDD70" w:rsidR="00370586" w:rsidRPr="00370586" w:rsidRDefault="00370586" w:rsidP="00370586">
      <w:pPr>
        <w:numPr>
          <w:ilvl w:val="0"/>
          <w:numId w:val="25"/>
        </w:numPr>
        <w:spacing w:after="120"/>
        <w:contextualSpacing/>
        <w:jc w:val="both"/>
        <w:rPr>
          <w:rFonts w:ascii="Arial" w:eastAsia="Times" w:hAnsi="Arial"/>
        </w:rPr>
      </w:pPr>
      <w:r w:rsidRPr="00370586">
        <w:rPr>
          <w:rFonts w:ascii="Arial" w:eastAsia="Times" w:hAnsi="Arial"/>
        </w:rPr>
        <w:t>it should not be assumed that a person does not have the capacity to give informed consent based only on their age, appearance, condition or an aspect of their behaviour</w:t>
      </w:r>
      <w:r w:rsidR="001F437E">
        <w:rPr>
          <w:rFonts w:ascii="Arial" w:eastAsia="Times" w:hAnsi="Arial"/>
        </w:rPr>
        <w:t>;</w:t>
      </w:r>
    </w:p>
    <w:p w14:paraId="1B41A0B8" w14:textId="5CC91A7F" w:rsidR="00370586" w:rsidRPr="00370586" w:rsidRDefault="00370586" w:rsidP="00370586">
      <w:pPr>
        <w:numPr>
          <w:ilvl w:val="0"/>
          <w:numId w:val="25"/>
        </w:numPr>
        <w:spacing w:after="120"/>
        <w:contextualSpacing/>
        <w:jc w:val="both"/>
        <w:rPr>
          <w:rFonts w:ascii="Arial" w:eastAsia="Times" w:hAnsi="Arial"/>
        </w:rPr>
      </w:pPr>
      <w:r w:rsidRPr="00370586">
        <w:rPr>
          <w:rFonts w:ascii="Arial" w:eastAsia="Times" w:hAnsi="Arial"/>
        </w:rPr>
        <w:t>a determination that a person does not have capacity to give informed consent should not be made only because the person makes a decision that could be considered unwise</w:t>
      </w:r>
      <w:r w:rsidR="001F437E">
        <w:rPr>
          <w:rFonts w:ascii="Arial" w:eastAsia="Times" w:hAnsi="Arial"/>
        </w:rPr>
        <w:t>; and</w:t>
      </w:r>
    </w:p>
    <w:p w14:paraId="3FBF73BB" w14:textId="77777777" w:rsidR="00370586" w:rsidRPr="00370586" w:rsidRDefault="00370586" w:rsidP="00370586">
      <w:pPr>
        <w:numPr>
          <w:ilvl w:val="0"/>
          <w:numId w:val="25"/>
        </w:numPr>
        <w:spacing w:after="120"/>
        <w:contextualSpacing/>
        <w:jc w:val="both"/>
        <w:rPr>
          <w:rFonts w:ascii="Arial" w:eastAsia="Times" w:hAnsi="Arial"/>
        </w:rPr>
      </w:pPr>
      <w:r w:rsidRPr="00370586">
        <w:rPr>
          <w:rFonts w:ascii="Arial" w:eastAsia="Times" w:hAnsi="Arial"/>
        </w:rPr>
        <w:t>when assessing a person’s capacity to give informed consent, reasonable steps should be taken to conduct the assessment at a time at, and in an environment in, which the person’s capacity to give informed consent can be assessed most accurately.</w:t>
      </w:r>
    </w:p>
    <w:p w14:paraId="2EC7B250" w14:textId="77777777" w:rsidR="00370586" w:rsidRPr="00370586" w:rsidRDefault="00370586" w:rsidP="00370586">
      <w:pPr>
        <w:spacing w:after="120"/>
        <w:contextualSpacing/>
        <w:jc w:val="both"/>
        <w:rPr>
          <w:rFonts w:ascii="Arial" w:eastAsia="Times" w:hAnsi="Arial"/>
          <w:b/>
        </w:rPr>
      </w:pPr>
    </w:p>
    <w:p w14:paraId="183706B3" w14:textId="77777777" w:rsidR="002E0211" w:rsidRDefault="002E0211">
      <w:pPr>
        <w:rPr>
          <w:rFonts w:ascii="Arial" w:eastAsia="Times" w:hAnsi="Arial"/>
          <w:b/>
          <w:sz w:val="24"/>
          <w:szCs w:val="24"/>
        </w:rPr>
      </w:pPr>
      <w:r>
        <w:rPr>
          <w:rFonts w:ascii="Arial" w:eastAsia="Times" w:hAnsi="Arial"/>
          <w:b/>
          <w:sz w:val="24"/>
          <w:szCs w:val="24"/>
        </w:rPr>
        <w:br w:type="page"/>
      </w:r>
    </w:p>
    <w:p w14:paraId="3E1077B0" w14:textId="6613948E" w:rsidR="00370586" w:rsidRPr="00370586" w:rsidRDefault="00370586" w:rsidP="00370586">
      <w:pPr>
        <w:spacing w:after="120"/>
        <w:contextualSpacing/>
        <w:jc w:val="both"/>
        <w:rPr>
          <w:rFonts w:ascii="Arial" w:eastAsia="Times" w:hAnsi="Arial"/>
          <w:b/>
          <w:sz w:val="24"/>
          <w:szCs w:val="24"/>
        </w:rPr>
      </w:pPr>
      <w:r w:rsidRPr="00370586">
        <w:rPr>
          <w:rFonts w:ascii="Arial" w:eastAsia="Times" w:hAnsi="Arial"/>
          <w:b/>
          <w:sz w:val="24"/>
          <w:szCs w:val="24"/>
        </w:rPr>
        <w:lastRenderedPageBreak/>
        <w:t>5.2  Least restrictive treatment</w:t>
      </w:r>
    </w:p>
    <w:p w14:paraId="18CC5F80" w14:textId="77777777" w:rsidR="00370586" w:rsidRPr="00370586" w:rsidRDefault="00370586" w:rsidP="00370586">
      <w:pPr>
        <w:spacing w:after="120"/>
        <w:contextualSpacing/>
        <w:jc w:val="both"/>
        <w:rPr>
          <w:rFonts w:ascii="Arial" w:eastAsia="Times" w:hAnsi="Arial"/>
        </w:rPr>
      </w:pPr>
    </w:p>
    <w:p w14:paraId="73786CB1"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In determining whether there is no less restrictive way for a person to be treated, the Tribunal must, to the extent that it is reasonable in the circumstances, have regard to various factors set out in the Act. The factors listed in the Act are not exhaustive and include both subjective and objective considerations:</w:t>
      </w:r>
      <w:r w:rsidRPr="00370586">
        <w:rPr>
          <w:rFonts w:ascii="Arial" w:eastAsia="Times" w:hAnsi="Arial"/>
          <w:vertAlign w:val="superscript"/>
        </w:rPr>
        <w:footnoteReference w:id="26"/>
      </w:r>
    </w:p>
    <w:p w14:paraId="6DEEAF2B" w14:textId="77777777" w:rsidR="00370586" w:rsidRPr="00370586" w:rsidRDefault="00370586" w:rsidP="00370586">
      <w:pPr>
        <w:spacing w:after="120"/>
        <w:contextualSpacing/>
        <w:jc w:val="both"/>
        <w:rPr>
          <w:rFonts w:ascii="Arial" w:eastAsia="Times" w:hAnsi="Arial"/>
        </w:rPr>
      </w:pPr>
    </w:p>
    <w:p w14:paraId="78C301F9" w14:textId="6CC9CF52" w:rsidR="00370586" w:rsidRPr="00370586" w:rsidRDefault="001F437E" w:rsidP="00370586">
      <w:pPr>
        <w:numPr>
          <w:ilvl w:val="0"/>
          <w:numId w:val="26"/>
        </w:numPr>
        <w:spacing w:after="120"/>
        <w:contextualSpacing/>
        <w:jc w:val="both"/>
        <w:rPr>
          <w:rFonts w:ascii="Arial" w:eastAsia="Times" w:hAnsi="Arial"/>
        </w:rPr>
      </w:pPr>
      <w:r>
        <w:rPr>
          <w:rFonts w:ascii="Arial" w:eastAsia="Times" w:hAnsi="Arial"/>
        </w:rPr>
        <w:t>t</w:t>
      </w:r>
      <w:r w:rsidR="00370586" w:rsidRPr="00370586">
        <w:rPr>
          <w:rFonts w:ascii="Arial" w:eastAsia="Times" w:hAnsi="Arial"/>
        </w:rPr>
        <w:t>he views and preferences of the patient in relation to ECT, (including in any Advance Statement) and any beneficial alternative treatments that are reasonably available and the reasons for those views or preferences, including any recovery outcomes the person would like to achieve</w:t>
      </w:r>
      <w:r>
        <w:rPr>
          <w:rFonts w:ascii="Arial" w:eastAsia="Times" w:hAnsi="Arial"/>
        </w:rPr>
        <w:t>;</w:t>
      </w:r>
    </w:p>
    <w:p w14:paraId="6C2FA950" w14:textId="0D22F229" w:rsidR="00370586" w:rsidRPr="00370586" w:rsidRDefault="001F437E" w:rsidP="00370586">
      <w:pPr>
        <w:numPr>
          <w:ilvl w:val="0"/>
          <w:numId w:val="26"/>
        </w:numPr>
        <w:spacing w:after="120"/>
        <w:contextualSpacing/>
        <w:jc w:val="both"/>
        <w:rPr>
          <w:rFonts w:ascii="Arial" w:eastAsia="Times" w:hAnsi="Arial"/>
        </w:rPr>
      </w:pPr>
      <w:r>
        <w:rPr>
          <w:rFonts w:ascii="Arial" w:eastAsia="Times" w:hAnsi="Arial"/>
        </w:rPr>
        <w:t>t</w:t>
      </w:r>
      <w:r w:rsidR="00370586" w:rsidRPr="00370586">
        <w:rPr>
          <w:rFonts w:ascii="Arial" w:eastAsia="Times" w:hAnsi="Arial"/>
        </w:rPr>
        <w:t>he views of various other persons depending on whether the person is an adult patient, a voluntary adult or a young person.  Such persons include the nominated person (or medical treatment decision maker or support person in the case of voluntary adults), any guardian and carers if the Tribunal is satisfied that a decision to perform a course of ECT will directly affect the carer and the care relationship</w:t>
      </w:r>
      <w:r>
        <w:rPr>
          <w:rFonts w:ascii="Arial" w:eastAsia="Times" w:hAnsi="Arial"/>
        </w:rPr>
        <w:t>; and</w:t>
      </w:r>
    </w:p>
    <w:p w14:paraId="7B7F45A4" w14:textId="10B0D9AD" w:rsidR="00370586" w:rsidRPr="00370586" w:rsidRDefault="001F437E" w:rsidP="00370586">
      <w:pPr>
        <w:numPr>
          <w:ilvl w:val="0"/>
          <w:numId w:val="26"/>
        </w:numPr>
        <w:spacing w:after="120"/>
        <w:contextualSpacing/>
        <w:jc w:val="both"/>
        <w:rPr>
          <w:rFonts w:ascii="Arial" w:eastAsia="Times" w:hAnsi="Arial"/>
        </w:rPr>
      </w:pPr>
      <w:r>
        <w:rPr>
          <w:rFonts w:ascii="Arial" w:eastAsia="Times" w:hAnsi="Arial"/>
        </w:rPr>
        <w:t>t</w:t>
      </w:r>
      <w:r w:rsidR="00370586" w:rsidRPr="00370586">
        <w:rPr>
          <w:rFonts w:ascii="Arial" w:eastAsia="Times" w:hAnsi="Arial"/>
        </w:rPr>
        <w:t>he likely consequences for the patient if ECT is not performed and any second psychiatric opinion.</w:t>
      </w:r>
    </w:p>
    <w:p w14:paraId="0BEE3F5B" w14:textId="5004D541" w:rsidR="00370586" w:rsidRDefault="00370586" w:rsidP="00370586">
      <w:pPr>
        <w:spacing w:after="120"/>
        <w:contextualSpacing/>
        <w:jc w:val="both"/>
        <w:rPr>
          <w:rFonts w:ascii="Arial" w:eastAsia="Times" w:hAnsi="Arial"/>
        </w:rPr>
      </w:pPr>
    </w:p>
    <w:p w14:paraId="6475EFC2" w14:textId="77777777" w:rsidR="00543059" w:rsidRPr="00370586" w:rsidRDefault="00543059" w:rsidP="00370586">
      <w:pPr>
        <w:spacing w:after="120"/>
        <w:contextualSpacing/>
        <w:jc w:val="both"/>
        <w:rPr>
          <w:rFonts w:ascii="Arial" w:eastAsia="Times" w:hAnsi="Arial"/>
        </w:rPr>
      </w:pPr>
    </w:p>
    <w:p w14:paraId="38B448C4" w14:textId="77777777" w:rsidR="002422A7" w:rsidRDefault="002422A7">
      <w:pPr>
        <w:rPr>
          <w:rFonts w:ascii="Arial" w:hAnsi="Arial"/>
          <w:b/>
          <w:caps/>
          <w:sz w:val="32"/>
          <w:szCs w:val="32"/>
        </w:rPr>
      </w:pPr>
      <w:r>
        <w:rPr>
          <w:rFonts w:ascii="Arial" w:hAnsi="Arial"/>
          <w:b/>
          <w:caps/>
          <w:sz w:val="32"/>
          <w:szCs w:val="32"/>
        </w:rPr>
        <w:br w:type="page"/>
      </w:r>
    </w:p>
    <w:p w14:paraId="4E012F58" w14:textId="648E0DCC" w:rsidR="00370586" w:rsidRPr="00370586" w:rsidRDefault="00370586" w:rsidP="00370586">
      <w:pPr>
        <w:keepNext/>
        <w:keepLines/>
        <w:spacing w:before="240" w:after="90"/>
        <w:contextualSpacing/>
        <w:outlineLvl w:val="1"/>
        <w:rPr>
          <w:rFonts w:ascii="Arial" w:hAnsi="Arial"/>
          <w:b/>
          <w:caps/>
          <w:sz w:val="32"/>
          <w:szCs w:val="32"/>
        </w:rPr>
      </w:pPr>
      <w:r w:rsidRPr="00370586">
        <w:rPr>
          <w:rFonts w:ascii="Arial" w:hAnsi="Arial"/>
          <w:b/>
          <w:caps/>
          <w:sz w:val="32"/>
          <w:szCs w:val="32"/>
        </w:rPr>
        <w:lastRenderedPageBreak/>
        <w:t>Part B:</w:t>
      </w:r>
      <w:r w:rsidRPr="00370586">
        <w:rPr>
          <w:rFonts w:ascii="Arial" w:hAnsi="Arial"/>
          <w:b/>
          <w:caps/>
          <w:sz w:val="32"/>
          <w:szCs w:val="32"/>
        </w:rPr>
        <w:tab/>
      </w:r>
      <w:r w:rsidRPr="00370586">
        <w:rPr>
          <w:rFonts w:ascii="Arial" w:hAnsi="Arial"/>
          <w:b/>
          <w:caps/>
          <w:sz w:val="32"/>
          <w:szCs w:val="32"/>
        </w:rPr>
        <w:tab/>
        <w:t>Response to Questions</w:t>
      </w:r>
    </w:p>
    <w:p w14:paraId="1E822008" w14:textId="77777777" w:rsidR="00370586" w:rsidRPr="00370586" w:rsidRDefault="00370586" w:rsidP="00370586">
      <w:pPr>
        <w:spacing w:after="120"/>
        <w:jc w:val="both"/>
        <w:rPr>
          <w:rFonts w:ascii="Arial" w:eastAsia="Times" w:hAnsi="Arial"/>
        </w:rPr>
      </w:pPr>
    </w:p>
    <w:p w14:paraId="01139D50" w14:textId="77777777" w:rsidR="00370586" w:rsidRPr="00370586" w:rsidRDefault="00370586" w:rsidP="00370586">
      <w:pPr>
        <w:keepNext/>
        <w:keepLines/>
        <w:spacing w:before="240" w:after="90"/>
        <w:contextualSpacing/>
        <w:jc w:val="both"/>
        <w:outlineLvl w:val="1"/>
        <w:rPr>
          <w:rFonts w:ascii="Arial" w:hAnsi="Arial"/>
          <w:b/>
          <w:sz w:val="28"/>
          <w:szCs w:val="28"/>
        </w:rPr>
      </w:pPr>
      <w:r w:rsidRPr="00370586">
        <w:rPr>
          <w:rFonts w:ascii="Arial" w:hAnsi="Arial"/>
          <w:b/>
          <w:sz w:val="28"/>
          <w:szCs w:val="28"/>
        </w:rPr>
        <w:t>1.  What makes it hard for people to experience good mental health and what can be done to improve this (question 4)?</w:t>
      </w:r>
    </w:p>
    <w:p w14:paraId="798648A2" w14:textId="77777777" w:rsidR="00543059" w:rsidRDefault="00543059" w:rsidP="00370586">
      <w:pPr>
        <w:keepNext/>
        <w:keepLines/>
        <w:spacing w:before="280" w:after="120"/>
        <w:contextualSpacing/>
        <w:jc w:val="both"/>
        <w:outlineLvl w:val="2"/>
        <w:rPr>
          <w:rFonts w:ascii="Arial" w:eastAsia="MS Gothic" w:hAnsi="Arial"/>
          <w:b/>
          <w:bCs/>
          <w:sz w:val="24"/>
          <w:szCs w:val="26"/>
        </w:rPr>
      </w:pPr>
    </w:p>
    <w:p w14:paraId="6886C7B3" w14:textId="1B7BDAD1" w:rsidR="00370586" w:rsidRPr="00370586" w:rsidRDefault="00370586" w:rsidP="00370586">
      <w:pPr>
        <w:keepNext/>
        <w:keepLines/>
        <w:spacing w:before="280" w:after="120"/>
        <w:contextualSpacing/>
        <w:jc w:val="both"/>
        <w:outlineLvl w:val="2"/>
        <w:rPr>
          <w:rFonts w:ascii="Arial" w:eastAsia="MS Gothic" w:hAnsi="Arial"/>
          <w:b/>
          <w:bCs/>
          <w:sz w:val="24"/>
          <w:szCs w:val="26"/>
        </w:rPr>
      </w:pPr>
      <w:r w:rsidRPr="00370586">
        <w:rPr>
          <w:rFonts w:ascii="Arial" w:eastAsia="MS Gothic" w:hAnsi="Arial"/>
          <w:b/>
          <w:bCs/>
          <w:sz w:val="24"/>
          <w:szCs w:val="26"/>
        </w:rPr>
        <w:t>1.1  There are a range of mental health services but there is not a coherent mental health system</w:t>
      </w:r>
    </w:p>
    <w:p w14:paraId="43393A99" w14:textId="77777777" w:rsidR="00543059" w:rsidRDefault="00543059" w:rsidP="00370586">
      <w:pPr>
        <w:spacing w:before="240" w:after="200"/>
        <w:contextualSpacing/>
        <w:jc w:val="both"/>
        <w:rPr>
          <w:rFonts w:ascii="Arial" w:eastAsiaTheme="minorHAnsi" w:hAnsi="Arial" w:cs="Arial"/>
        </w:rPr>
      </w:pPr>
    </w:p>
    <w:p w14:paraId="15A7FC5E" w14:textId="2F9D5E59" w:rsidR="00370586" w:rsidRPr="00370586" w:rsidRDefault="00370586" w:rsidP="00370586">
      <w:pPr>
        <w:spacing w:before="240" w:after="200"/>
        <w:contextualSpacing/>
        <w:jc w:val="both"/>
        <w:rPr>
          <w:rFonts w:ascii="Arial" w:eastAsiaTheme="minorHAnsi" w:hAnsi="Arial" w:cs="Arial"/>
        </w:rPr>
      </w:pPr>
      <w:r w:rsidRPr="00370586">
        <w:rPr>
          <w:rFonts w:ascii="Arial" w:eastAsiaTheme="minorHAnsi" w:hAnsi="Arial" w:cs="Arial"/>
        </w:rPr>
        <w:t>Whether there is in fact a mental health ‘system’ as that concept would generally be understood needs to be tested.  Whilst there is an overarching framework and Mental Health Plan, clinical service delivery is by discrete Health Services that have different approaches and do not appear to communicate effectively, giving rise to fragmentation and a lack of coherence.  This lack of coherence is replicated internally.  It is the Tribunal’s observation that within the same service different arms or branches can operate in relative isolation from each other.</w:t>
      </w:r>
    </w:p>
    <w:p w14:paraId="68895506" w14:textId="77777777" w:rsidR="00370586" w:rsidRPr="00370586" w:rsidRDefault="00370586" w:rsidP="00370586">
      <w:pPr>
        <w:spacing w:before="240" w:after="200"/>
        <w:contextualSpacing/>
        <w:jc w:val="both"/>
        <w:rPr>
          <w:rFonts w:ascii="Arial" w:eastAsiaTheme="minorHAnsi" w:hAnsi="Arial" w:cs="Arial"/>
        </w:rPr>
      </w:pPr>
    </w:p>
    <w:p w14:paraId="778FADD4" w14:textId="73F6008A" w:rsidR="00370586" w:rsidRPr="00370586" w:rsidRDefault="00370586" w:rsidP="00370586">
      <w:pPr>
        <w:spacing w:before="240" w:after="200"/>
        <w:contextualSpacing/>
        <w:jc w:val="both"/>
        <w:rPr>
          <w:rFonts w:ascii="Arial" w:eastAsiaTheme="minorHAnsi" w:hAnsi="Arial" w:cs="Arial"/>
        </w:rPr>
      </w:pPr>
      <w:r w:rsidRPr="00370586">
        <w:rPr>
          <w:rFonts w:ascii="Arial" w:eastAsiaTheme="minorHAnsi" w:hAnsi="Arial" w:cs="Arial"/>
        </w:rPr>
        <w:t xml:space="preserve">It is because of this fragmentation that the Tribunal believes that rather than initially focusing on the existing design of services, the Royal Commission’s inquiries should focus on what consumers, carers and clinicians describe as the treatments and supports needed at any or various points of the course of a mental illness.  This enables the gap between what exists and what is required to be defined more comprehensively, and then responses or solutions can be most effective and </w:t>
      </w:r>
      <w:r w:rsidRPr="00CA3E58">
        <w:rPr>
          <w:rFonts w:ascii="Arial" w:eastAsiaTheme="minorHAnsi" w:hAnsi="Arial" w:cs="Arial"/>
        </w:rPr>
        <w:t xml:space="preserve">creative.  </w:t>
      </w:r>
      <w:r w:rsidR="00CA3E58" w:rsidRPr="00CA3E58">
        <w:rPr>
          <w:rFonts w:ascii="Arial" w:eastAsiaTheme="minorHAnsi" w:hAnsi="Arial" w:cs="Arial"/>
        </w:rPr>
        <w:t>Such an approach</w:t>
      </w:r>
      <w:r w:rsidRPr="00CA3E58">
        <w:rPr>
          <w:rFonts w:ascii="Arial" w:eastAsiaTheme="minorHAnsi" w:hAnsi="Arial" w:cs="Arial"/>
        </w:rPr>
        <w:t xml:space="preserve"> invites and makes room for a re-imagining of the entire service mix and structures</w:t>
      </w:r>
      <w:r w:rsidR="00CA3E58" w:rsidRPr="00CA3E58">
        <w:rPr>
          <w:rFonts w:ascii="Arial" w:eastAsiaTheme="minorHAnsi" w:hAnsi="Arial" w:cs="Arial"/>
        </w:rPr>
        <w:t>,</w:t>
      </w:r>
      <w:r w:rsidR="00CB70F8" w:rsidRPr="00CA3E58">
        <w:rPr>
          <w:rFonts w:ascii="Arial" w:eastAsiaTheme="minorHAnsi" w:hAnsi="Arial" w:cs="Arial"/>
        </w:rPr>
        <w:t xml:space="preserve"> and recognises solutions are unlikely to </w:t>
      </w:r>
      <w:r w:rsidR="000A5B9A">
        <w:rPr>
          <w:rFonts w:ascii="Arial" w:eastAsiaTheme="minorHAnsi" w:hAnsi="Arial" w:cs="Arial"/>
        </w:rPr>
        <w:t>on</w:t>
      </w:r>
      <w:r w:rsidR="00CB70F8" w:rsidRPr="00CA3E58">
        <w:rPr>
          <w:rFonts w:ascii="Arial" w:eastAsiaTheme="minorHAnsi" w:hAnsi="Arial" w:cs="Arial"/>
        </w:rPr>
        <w:t xml:space="preserve">ly be about increasing the quantum of available services, but also the type of supports </w:t>
      </w:r>
      <w:r w:rsidR="00CA3E58" w:rsidRPr="00CA3E58">
        <w:rPr>
          <w:rFonts w:ascii="Arial" w:eastAsiaTheme="minorHAnsi" w:hAnsi="Arial" w:cs="Arial"/>
        </w:rPr>
        <w:t xml:space="preserve">that are </w:t>
      </w:r>
      <w:r w:rsidR="00CB70F8" w:rsidRPr="00CA3E58">
        <w:rPr>
          <w:rFonts w:ascii="Arial" w:eastAsiaTheme="minorHAnsi" w:hAnsi="Arial" w:cs="Arial"/>
        </w:rPr>
        <w:t>available</w:t>
      </w:r>
      <w:r w:rsidR="00CA3E58" w:rsidRPr="00CA3E58">
        <w:rPr>
          <w:rFonts w:ascii="Arial" w:eastAsiaTheme="minorHAnsi" w:hAnsi="Arial" w:cs="Arial"/>
        </w:rPr>
        <w:t>.  In other words</w:t>
      </w:r>
      <w:r w:rsidR="00CA3E58">
        <w:rPr>
          <w:rFonts w:ascii="Arial" w:eastAsiaTheme="minorHAnsi" w:hAnsi="Arial" w:cs="Arial"/>
        </w:rPr>
        <w:t>,</w:t>
      </w:r>
      <w:r w:rsidR="00CB70F8" w:rsidRPr="00CA3E58">
        <w:rPr>
          <w:rFonts w:ascii="Arial" w:eastAsiaTheme="minorHAnsi" w:hAnsi="Arial" w:cs="Arial"/>
        </w:rPr>
        <w:t xml:space="preserve"> not just doing more, but also doing things differently.</w:t>
      </w:r>
    </w:p>
    <w:p w14:paraId="5E0C985F" w14:textId="77777777" w:rsidR="00370586" w:rsidRPr="00370586" w:rsidRDefault="00370586" w:rsidP="00370586">
      <w:pPr>
        <w:spacing w:before="240" w:after="200"/>
        <w:contextualSpacing/>
        <w:jc w:val="both"/>
        <w:rPr>
          <w:rFonts w:ascii="Arial" w:eastAsiaTheme="minorHAnsi" w:hAnsi="Arial" w:cs="Arial"/>
        </w:rPr>
      </w:pPr>
    </w:p>
    <w:p w14:paraId="243E662E" w14:textId="77777777" w:rsidR="00370586" w:rsidRPr="00370586" w:rsidRDefault="00370586" w:rsidP="00370586">
      <w:pPr>
        <w:spacing w:before="240" w:after="200"/>
        <w:contextualSpacing/>
        <w:jc w:val="both"/>
        <w:rPr>
          <w:rFonts w:ascii="Arial" w:eastAsiaTheme="minorHAnsi" w:hAnsi="Arial" w:cs="Arial"/>
          <w:b/>
        </w:rPr>
      </w:pPr>
      <w:r w:rsidRPr="00370586">
        <w:rPr>
          <w:rFonts w:ascii="Arial" w:eastAsiaTheme="minorHAnsi" w:hAnsi="Arial" w:cs="Arial"/>
          <w:b/>
        </w:rPr>
        <w:t>1.1.1  Internal silos</w:t>
      </w:r>
    </w:p>
    <w:p w14:paraId="08E2BB3F" w14:textId="77777777" w:rsidR="00370586" w:rsidRPr="00370586" w:rsidRDefault="00370586" w:rsidP="00370586">
      <w:pPr>
        <w:spacing w:before="240" w:after="200"/>
        <w:contextualSpacing/>
        <w:jc w:val="both"/>
        <w:rPr>
          <w:rFonts w:ascii="Arial" w:eastAsiaTheme="minorHAnsi" w:hAnsi="Arial" w:cs="Arial"/>
        </w:rPr>
      </w:pPr>
    </w:p>
    <w:p w14:paraId="7D360CC4" w14:textId="77777777" w:rsidR="00370586" w:rsidRPr="00370586" w:rsidRDefault="00370586" w:rsidP="00370586">
      <w:pPr>
        <w:spacing w:before="240" w:after="200"/>
        <w:contextualSpacing/>
        <w:jc w:val="both"/>
        <w:rPr>
          <w:rFonts w:ascii="Arial" w:eastAsiaTheme="minorHAnsi" w:hAnsi="Arial" w:cs="Arial"/>
        </w:rPr>
      </w:pPr>
      <w:r w:rsidRPr="00370586">
        <w:rPr>
          <w:rFonts w:ascii="Arial" w:eastAsiaTheme="minorHAnsi" w:hAnsi="Arial" w:cs="Arial"/>
        </w:rPr>
        <w:t>Consumers and carers are entitled to expect that when responsibility for a person’s care is shifting between teams or parts of a service there will be collaboration and information sharing to maximise continuity of care.  Service cohesion becomes especially important where transitions are critical to reducing and minimising any restrictive aspects of treatment.</w:t>
      </w:r>
    </w:p>
    <w:p w14:paraId="1D94B3D7" w14:textId="77777777" w:rsidR="00370586" w:rsidRPr="00370586" w:rsidRDefault="00370586" w:rsidP="00370586">
      <w:pPr>
        <w:spacing w:before="240" w:after="200"/>
        <w:contextualSpacing/>
        <w:jc w:val="both"/>
        <w:rPr>
          <w:rFonts w:ascii="Arial" w:eastAsiaTheme="minorHAnsi" w:hAnsi="Arial" w:cs="Arial"/>
        </w:rPr>
      </w:pPr>
    </w:p>
    <w:p w14:paraId="6CC403AA" w14:textId="77777777" w:rsidR="00370586" w:rsidRPr="00370586" w:rsidRDefault="00370586" w:rsidP="00370586">
      <w:pPr>
        <w:spacing w:before="240" w:after="200"/>
        <w:contextualSpacing/>
        <w:jc w:val="both"/>
        <w:rPr>
          <w:rFonts w:ascii="Arial" w:eastAsiaTheme="minorHAnsi" w:hAnsi="Arial" w:cs="Arial"/>
          <w:b/>
          <w:i/>
        </w:rPr>
      </w:pPr>
      <w:r w:rsidRPr="00370586">
        <w:rPr>
          <w:rFonts w:ascii="Arial" w:eastAsiaTheme="minorHAnsi" w:hAnsi="Arial" w:cs="Arial"/>
          <w:b/>
          <w:i/>
        </w:rPr>
        <w:t>1.1.1(a)  Collaboration between inpatient and community treating teams</w:t>
      </w:r>
    </w:p>
    <w:p w14:paraId="36CD7251" w14:textId="77777777" w:rsidR="00370586" w:rsidRPr="00370586" w:rsidRDefault="00370586" w:rsidP="00370586">
      <w:pPr>
        <w:spacing w:before="240" w:after="200"/>
        <w:contextualSpacing/>
        <w:jc w:val="both"/>
        <w:rPr>
          <w:rFonts w:ascii="Arial" w:eastAsiaTheme="minorHAnsi" w:hAnsi="Arial" w:cs="Arial"/>
        </w:rPr>
      </w:pPr>
    </w:p>
    <w:p w14:paraId="02A75416" w14:textId="4B1E1E7F" w:rsidR="00370586" w:rsidRPr="00370586" w:rsidRDefault="00370586" w:rsidP="00370586">
      <w:pPr>
        <w:spacing w:before="240" w:after="200"/>
        <w:contextualSpacing/>
        <w:jc w:val="both"/>
        <w:rPr>
          <w:rFonts w:ascii="Arial" w:eastAsiaTheme="minorHAnsi" w:hAnsi="Arial" w:cs="Arial"/>
        </w:rPr>
      </w:pPr>
      <w:r w:rsidRPr="00370586">
        <w:rPr>
          <w:rFonts w:ascii="Arial" w:eastAsiaTheme="minorHAnsi" w:hAnsi="Arial" w:cs="Arial"/>
        </w:rPr>
        <w:t>The Tribunal does observe thorough and effective collaboration between a consumer’s community-based treating team, and the treating team who has responsibility for their care when a deterioration in their mental health means they require an admission to hospital.  Some positive examples seem to be attributable to the approach of individual clinicians</w:t>
      </w:r>
      <w:r w:rsidR="00CD36DE">
        <w:rPr>
          <w:rFonts w:ascii="Arial" w:eastAsiaTheme="minorHAnsi" w:hAnsi="Arial" w:cs="Arial"/>
        </w:rPr>
        <w:t>.  T</w:t>
      </w:r>
      <w:r w:rsidRPr="00370586">
        <w:rPr>
          <w:rFonts w:ascii="Arial" w:eastAsiaTheme="minorHAnsi" w:hAnsi="Arial" w:cs="Arial"/>
        </w:rPr>
        <w:t xml:space="preserve">he Tribunal is also aware of </w:t>
      </w:r>
      <w:r w:rsidR="00CD36DE">
        <w:rPr>
          <w:rFonts w:ascii="Arial" w:eastAsiaTheme="minorHAnsi" w:hAnsi="Arial" w:cs="Arial"/>
        </w:rPr>
        <w:t>comprehensive</w:t>
      </w:r>
      <w:r w:rsidRPr="00370586">
        <w:rPr>
          <w:rFonts w:ascii="Arial" w:eastAsiaTheme="minorHAnsi" w:hAnsi="Arial" w:cs="Arial"/>
        </w:rPr>
        <w:t xml:space="preserve"> service design </w:t>
      </w:r>
      <w:r w:rsidR="00CD36DE">
        <w:rPr>
          <w:rFonts w:ascii="Arial" w:eastAsiaTheme="minorHAnsi" w:hAnsi="Arial" w:cs="Arial"/>
        </w:rPr>
        <w:t>reforms</w:t>
      </w:r>
      <w:r w:rsidRPr="00370586">
        <w:rPr>
          <w:rFonts w:ascii="Arial" w:eastAsiaTheme="minorHAnsi" w:hAnsi="Arial" w:cs="Arial"/>
        </w:rPr>
        <w:t xml:space="preserve"> </w:t>
      </w:r>
      <w:r w:rsidR="00CD36DE">
        <w:rPr>
          <w:rFonts w:ascii="Arial" w:eastAsiaTheme="minorHAnsi" w:hAnsi="Arial" w:cs="Arial"/>
        </w:rPr>
        <w:t>that some services have endeavoured to implement that are intended to ‘dismantle’ the divisions between inpatient and community treatment, but with varying levels of success.  Jess is an example of very positive practice.</w:t>
      </w:r>
    </w:p>
    <w:p w14:paraId="68518E7B" w14:textId="2EC1A567" w:rsidR="00370586" w:rsidRDefault="00370586" w:rsidP="00370586">
      <w:pPr>
        <w:spacing w:before="240" w:after="200"/>
        <w:contextualSpacing/>
        <w:jc w:val="both"/>
        <w:rPr>
          <w:rFonts w:ascii="Arial" w:eastAsiaTheme="minorHAns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D547D" w:rsidRPr="00ED547D" w14:paraId="3B4EC51E" w14:textId="77777777" w:rsidTr="00ED547D">
        <w:tc>
          <w:tcPr>
            <w:tcW w:w="8522" w:type="dxa"/>
            <w:shd w:val="clear" w:color="auto" w:fill="EAF1DD" w:themeFill="accent3" w:themeFillTint="33"/>
          </w:tcPr>
          <w:p w14:paraId="2EEA51B8" w14:textId="5F10275E" w:rsidR="00ED547D" w:rsidRPr="00ED547D" w:rsidRDefault="00ED547D" w:rsidP="00701EEB">
            <w:pPr>
              <w:keepNext/>
              <w:keepLines/>
              <w:spacing w:before="40"/>
              <w:jc w:val="center"/>
              <w:outlineLvl w:val="1"/>
              <w:rPr>
                <w:rFonts w:ascii="Arial" w:eastAsia="Calibri" w:hAnsi="Arial" w:cs="Arial"/>
                <w:b/>
                <w:color w:val="365F91" w:themeColor="accent1" w:themeShade="BF"/>
              </w:rPr>
            </w:pPr>
            <w:bookmarkStart w:id="4" w:name="_Toc12267345"/>
            <w:bookmarkStart w:id="5" w:name="_Hlk12348646"/>
            <w:r w:rsidRPr="00ED547D">
              <w:rPr>
                <w:rFonts w:ascii="Arial" w:eastAsia="Calibri" w:hAnsi="Arial" w:cs="Arial"/>
                <w:b/>
                <w:color w:val="365F91" w:themeColor="accent1" w:themeShade="BF"/>
              </w:rPr>
              <w:t>‘Jess’</w:t>
            </w:r>
            <w:bookmarkEnd w:id="4"/>
          </w:p>
          <w:p w14:paraId="6E4DD928" w14:textId="52D70EE6" w:rsidR="00ED547D" w:rsidRPr="00ED547D" w:rsidRDefault="00ED547D" w:rsidP="00701EEB">
            <w:pPr>
              <w:numPr>
                <w:ilvl w:val="6"/>
                <w:numId w:val="2"/>
              </w:numPr>
              <w:spacing w:before="80" w:after="120"/>
              <w:ind w:left="227" w:hanging="227"/>
              <w:jc w:val="both"/>
              <w:rPr>
                <w:rFonts w:ascii="Arial" w:hAnsi="Arial" w:cs="Arial"/>
                <w:bCs/>
              </w:rPr>
            </w:pPr>
            <w:r w:rsidRPr="00ED547D">
              <w:rPr>
                <w:rFonts w:ascii="Arial" w:hAnsi="Arial" w:cs="Arial"/>
                <w:bCs/>
              </w:rPr>
              <w:t xml:space="preserve">The Tribunal’s hearing was conducted 10 days after Jess was discharged from hospital. She had a 20-day admission following a relapse of </w:t>
            </w:r>
            <w:r w:rsidR="00701EEB">
              <w:rPr>
                <w:rFonts w:ascii="Arial" w:hAnsi="Arial" w:cs="Arial"/>
                <w:bCs/>
              </w:rPr>
              <w:t xml:space="preserve">her mental illness. </w:t>
            </w:r>
            <w:r w:rsidRPr="00ED547D">
              <w:rPr>
                <w:rFonts w:ascii="Arial" w:hAnsi="Arial" w:cs="Arial"/>
                <w:bCs/>
              </w:rPr>
              <w:t xml:space="preserve"> Prior to the admission she had not been engaging with her community mental health service. </w:t>
            </w:r>
          </w:p>
          <w:p w14:paraId="3B90C127" w14:textId="2DF94CA4" w:rsidR="00ED547D" w:rsidRPr="00ED547D" w:rsidRDefault="00ED547D" w:rsidP="00701EEB">
            <w:pPr>
              <w:numPr>
                <w:ilvl w:val="6"/>
                <w:numId w:val="2"/>
              </w:numPr>
              <w:spacing w:before="80" w:after="120"/>
              <w:ind w:left="227" w:hanging="227"/>
              <w:jc w:val="both"/>
              <w:rPr>
                <w:rFonts w:ascii="Arial" w:hAnsi="Arial"/>
                <w:bCs/>
                <w:sz w:val="24"/>
                <w:szCs w:val="24"/>
              </w:rPr>
            </w:pPr>
            <w:r w:rsidRPr="00ED547D">
              <w:rPr>
                <w:rFonts w:ascii="Arial" w:hAnsi="Arial" w:cs="Arial"/>
                <w:bCs/>
              </w:rPr>
              <w:t xml:space="preserve">During Jess’s admission the community team was in regular contact with the inpatient clinicians to obtain updates and Jess’s community </w:t>
            </w:r>
            <w:r w:rsidR="00053B9F">
              <w:rPr>
                <w:rFonts w:ascii="Arial" w:hAnsi="Arial" w:cs="Arial"/>
                <w:bCs/>
              </w:rPr>
              <w:t>case manager</w:t>
            </w:r>
            <w:r w:rsidRPr="00ED547D">
              <w:rPr>
                <w:rFonts w:ascii="Arial" w:hAnsi="Arial" w:cs="Arial"/>
                <w:bCs/>
              </w:rPr>
              <w:t xml:space="preserve"> visited her in hospital before discharge.</w:t>
            </w:r>
            <w:r w:rsidR="00701EEB">
              <w:rPr>
                <w:rFonts w:ascii="Arial" w:hAnsi="Arial" w:cs="Arial"/>
                <w:bCs/>
              </w:rPr>
              <w:t xml:space="preserve"> </w:t>
            </w:r>
            <w:r w:rsidRPr="00ED547D">
              <w:rPr>
                <w:rFonts w:ascii="Arial" w:hAnsi="Arial" w:cs="Arial"/>
                <w:bCs/>
              </w:rPr>
              <w:t xml:space="preserve"> There were documented discussions between the inpatient and community teams prior to discharge. These interactions provided information for the community team which allowed them to respond to Jess’s circumstances and preferences. Jess </w:t>
            </w:r>
            <w:r w:rsidR="00053B9F">
              <w:rPr>
                <w:rFonts w:ascii="Arial" w:hAnsi="Arial" w:cs="Arial"/>
                <w:bCs/>
              </w:rPr>
              <w:t>met with her</w:t>
            </w:r>
            <w:r w:rsidRPr="00ED547D">
              <w:rPr>
                <w:rFonts w:ascii="Arial" w:hAnsi="Arial" w:cs="Arial"/>
                <w:bCs/>
              </w:rPr>
              <w:t xml:space="preserve"> community psychiatrist two days after discharge where they discussed her medication, side effects, her rights, supports she needed and her future aims.  </w:t>
            </w:r>
            <w:bookmarkEnd w:id="5"/>
          </w:p>
        </w:tc>
      </w:tr>
    </w:tbl>
    <w:p w14:paraId="55F32F17" w14:textId="68F064A0" w:rsidR="00ED547D" w:rsidRDefault="00ED547D" w:rsidP="00370586">
      <w:pPr>
        <w:spacing w:before="240" w:after="200"/>
        <w:contextualSpacing/>
        <w:jc w:val="both"/>
        <w:rPr>
          <w:rFonts w:ascii="Arial" w:eastAsiaTheme="minorHAnsi" w:hAnsi="Arial" w:cs="Arial"/>
        </w:rPr>
      </w:pPr>
    </w:p>
    <w:p w14:paraId="72A7130B" w14:textId="68BF1542" w:rsidR="00370586" w:rsidRPr="00370586" w:rsidRDefault="00370586" w:rsidP="00370586">
      <w:pPr>
        <w:spacing w:before="240" w:after="200"/>
        <w:contextualSpacing/>
        <w:jc w:val="both"/>
        <w:rPr>
          <w:rFonts w:ascii="Arial" w:eastAsiaTheme="minorHAnsi" w:hAnsi="Arial" w:cs="Arial"/>
        </w:rPr>
      </w:pPr>
      <w:r w:rsidRPr="00370586">
        <w:rPr>
          <w:rFonts w:ascii="Arial" w:eastAsiaTheme="minorHAnsi" w:hAnsi="Arial" w:cs="Arial"/>
        </w:rPr>
        <w:t xml:space="preserve">However, a ‘joined up’ approach to service delivery is often absent.  Even where a consumer has an extended period of engagement with a service, when admitted to an inpatient unit it can sometimes appear as if they arrive as an unknown person from a far-off place.  This can impede effective treatment and make the experience of care frustrating for consumers and carers (including, amongst other things, creating yet another occasion on which an often-told history </w:t>
      </w:r>
      <w:r w:rsidRPr="00370586">
        <w:rPr>
          <w:rFonts w:ascii="Arial" w:eastAsiaTheme="minorHAnsi" w:hAnsi="Arial" w:cs="Arial"/>
        </w:rPr>
        <w:lastRenderedPageBreak/>
        <w:t>needs to be repeated).  The dislocation can also be replicated following a person’s discharge from hospital if there is</w:t>
      </w:r>
      <w:r w:rsidR="000E659B">
        <w:rPr>
          <w:rFonts w:ascii="Arial" w:eastAsiaTheme="minorHAnsi" w:hAnsi="Arial" w:cs="Arial"/>
        </w:rPr>
        <w:t xml:space="preserve"> not</w:t>
      </w:r>
      <w:r w:rsidRPr="00370586">
        <w:rPr>
          <w:rFonts w:ascii="Arial" w:eastAsiaTheme="minorHAnsi" w:hAnsi="Arial" w:cs="Arial"/>
        </w:rPr>
        <w:t xml:space="preserve"> an effective transfer back to their community treating team.</w:t>
      </w:r>
    </w:p>
    <w:p w14:paraId="0E929359" w14:textId="77777777" w:rsidR="00370586" w:rsidRPr="00370586" w:rsidRDefault="00370586" w:rsidP="00370586">
      <w:pPr>
        <w:spacing w:before="240" w:after="200"/>
        <w:contextualSpacing/>
        <w:jc w:val="both"/>
        <w:rPr>
          <w:rFonts w:ascii="Arial" w:eastAsiaTheme="minorHAns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F941B2" w:rsidRPr="00F941B2" w14:paraId="4AA7E243" w14:textId="77777777" w:rsidTr="00A027CF">
        <w:tc>
          <w:tcPr>
            <w:tcW w:w="8522" w:type="dxa"/>
            <w:shd w:val="clear" w:color="auto" w:fill="EAF1DD" w:themeFill="accent3" w:themeFillTint="33"/>
          </w:tcPr>
          <w:p w14:paraId="6EB83948" w14:textId="77777777" w:rsidR="00F941B2" w:rsidRPr="00F941B2" w:rsidRDefault="00F941B2" w:rsidP="00F941B2">
            <w:pPr>
              <w:keepNext/>
              <w:keepLines/>
              <w:spacing w:before="40"/>
              <w:contextualSpacing/>
              <w:jc w:val="center"/>
              <w:outlineLvl w:val="1"/>
              <w:rPr>
                <w:rFonts w:ascii="Arial" w:eastAsia="Calibri" w:hAnsi="Arial" w:cs="Arial"/>
                <w:b/>
                <w:color w:val="365F91" w:themeColor="accent1" w:themeShade="BF"/>
              </w:rPr>
            </w:pPr>
            <w:bookmarkStart w:id="6" w:name="_Toc12267343"/>
            <w:r w:rsidRPr="00F941B2">
              <w:rPr>
                <w:rFonts w:ascii="Arial" w:eastAsia="Calibri" w:hAnsi="Arial" w:cs="Arial"/>
                <w:b/>
                <w:color w:val="365F91" w:themeColor="accent1" w:themeShade="BF"/>
              </w:rPr>
              <w:t>‘Greg’</w:t>
            </w:r>
            <w:bookmarkEnd w:id="6"/>
          </w:p>
          <w:p w14:paraId="2C7A7D0A" w14:textId="453D0B72" w:rsidR="00F941B2" w:rsidRPr="00AF4644" w:rsidRDefault="00F941B2" w:rsidP="00F941B2">
            <w:pPr>
              <w:numPr>
                <w:ilvl w:val="6"/>
                <w:numId w:val="2"/>
              </w:numPr>
              <w:spacing w:before="80" w:after="120"/>
              <w:ind w:left="227" w:hanging="227"/>
              <w:contextualSpacing/>
              <w:jc w:val="both"/>
              <w:rPr>
                <w:rFonts w:ascii="Arial" w:hAnsi="Arial" w:cs="Arial"/>
                <w:bCs/>
              </w:rPr>
            </w:pPr>
            <w:r w:rsidRPr="00F941B2">
              <w:rPr>
                <w:rFonts w:ascii="Arial" w:hAnsi="Arial" w:cs="Arial"/>
                <w:bCs/>
              </w:rPr>
              <w:t>Greg, who is in his twenties, was admitted to hospital as a voluntary patient following a relapse of his bipolar affective disorder. Greg, his partner and parents had worked extensively with his community team on a voluntary basis for three years prior to this admission.  Greg had an Advance Statement stating that his preference for first line treatment following a relapse was ECT. Greg had provided informed consent to ECT in the past and his views were well known to his community-based treating team. At the time of his admission to hospital, Greg’s family alerted the inpatient treating team to Greg’s preference for ECT, as outlined in his Advance Statement, and his previous successful treatment with ECT</w:t>
            </w:r>
            <w:r w:rsidRPr="00AF4644">
              <w:rPr>
                <w:rFonts w:ascii="Arial" w:hAnsi="Arial" w:cs="Arial"/>
                <w:bCs/>
              </w:rPr>
              <w:t xml:space="preserve">. </w:t>
            </w:r>
          </w:p>
          <w:p w14:paraId="721BA21A" w14:textId="77777777" w:rsidR="00F941B2" w:rsidRPr="00F941B2" w:rsidRDefault="00F941B2" w:rsidP="00F941B2">
            <w:pPr>
              <w:numPr>
                <w:ilvl w:val="6"/>
                <w:numId w:val="2"/>
              </w:numPr>
              <w:spacing w:before="80" w:after="120"/>
              <w:ind w:left="227" w:hanging="227"/>
              <w:contextualSpacing/>
              <w:jc w:val="both"/>
              <w:rPr>
                <w:rFonts w:ascii="Arial" w:hAnsi="Arial" w:cs="Arial"/>
                <w:bCs/>
              </w:rPr>
            </w:pPr>
          </w:p>
          <w:p w14:paraId="2926A580" w14:textId="77777777" w:rsidR="00F941B2" w:rsidRPr="00F941B2" w:rsidRDefault="00F941B2" w:rsidP="00F941B2">
            <w:pPr>
              <w:numPr>
                <w:ilvl w:val="6"/>
                <w:numId w:val="2"/>
              </w:numPr>
              <w:spacing w:before="80" w:after="120"/>
              <w:ind w:left="227" w:hanging="227"/>
              <w:contextualSpacing/>
              <w:jc w:val="both"/>
              <w:rPr>
                <w:rFonts w:ascii="Arial" w:hAnsi="Arial" w:cs="Arial"/>
                <w:bCs/>
              </w:rPr>
            </w:pPr>
            <w:r w:rsidRPr="00F941B2">
              <w:rPr>
                <w:rFonts w:ascii="Arial" w:hAnsi="Arial" w:cs="Arial"/>
                <w:bCs/>
              </w:rPr>
              <w:t>However, from Greg’s family’s perspective these plans were ignored. The inpatient treating team did not follow up with the community-based treating team who knew about Greg’s history and his plans to deal with future relapses. As a consequence, they did not administer ECT when Greg was admitted, at which time he could have provided informed consent himself. Instead, they waited nearly ten days before determining that his mental health had deteriorated to the extent that he no longer had capacity to provide informed consent. At this point they placed him on an Inpatient Temporary Treatment Order and made an urgent application to the Mental Health Tribunal for compulsory ECT.</w:t>
            </w:r>
          </w:p>
        </w:tc>
      </w:tr>
    </w:tbl>
    <w:p w14:paraId="23C1DBD3" w14:textId="36FDD730" w:rsidR="00370586" w:rsidRDefault="00370586" w:rsidP="00370586">
      <w:pPr>
        <w:spacing w:before="240" w:after="200"/>
        <w:contextualSpacing/>
        <w:jc w:val="both"/>
        <w:rPr>
          <w:rFonts w:ascii="Arial" w:eastAsiaTheme="minorHAnsi" w:hAnsi="Arial" w:cs="Arial"/>
        </w:rPr>
      </w:pPr>
    </w:p>
    <w:p w14:paraId="5F1AF01D" w14:textId="77777777" w:rsidR="00370586" w:rsidRPr="00370586" w:rsidRDefault="00370586" w:rsidP="00370586">
      <w:pPr>
        <w:spacing w:before="240" w:after="200"/>
        <w:contextualSpacing/>
        <w:jc w:val="both"/>
        <w:rPr>
          <w:rFonts w:ascii="Arial" w:eastAsiaTheme="minorHAnsi" w:hAnsi="Arial" w:cs="Arial"/>
          <w:b/>
          <w:i/>
        </w:rPr>
      </w:pPr>
      <w:r w:rsidRPr="00370586">
        <w:rPr>
          <w:rFonts w:ascii="Arial" w:eastAsiaTheme="minorHAnsi" w:hAnsi="Arial" w:cs="Arial"/>
          <w:b/>
          <w:i/>
        </w:rPr>
        <w:t>1.1.1(b)  Moving between different levels of care</w:t>
      </w:r>
    </w:p>
    <w:p w14:paraId="277A66CC" w14:textId="77777777" w:rsidR="00370586" w:rsidRPr="00370586" w:rsidRDefault="00370586" w:rsidP="00370586">
      <w:pPr>
        <w:spacing w:before="240" w:after="200"/>
        <w:contextualSpacing/>
        <w:jc w:val="both"/>
        <w:rPr>
          <w:rFonts w:ascii="Arial" w:eastAsiaTheme="minorHAnsi" w:hAnsi="Arial" w:cs="Arial"/>
        </w:rPr>
      </w:pPr>
    </w:p>
    <w:p w14:paraId="1DC666EB" w14:textId="78C23BAD" w:rsidR="00370586" w:rsidRPr="00370586" w:rsidRDefault="00370586" w:rsidP="00370586">
      <w:pPr>
        <w:spacing w:before="240" w:after="200"/>
        <w:contextualSpacing/>
        <w:jc w:val="both"/>
        <w:rPr>
          <w:rFonts w:ascii="Arial" w:eastAsiaTheme="minorHAnsi" w:hAnsi="Arial" w:cs="Arial"/>
        </w:rPr>
      </w:pPr>
      <w:r w:rsidRPr="00370586">
        <w:rPr>
          <w:rFonts w:ascii="Arial" w:eastAsiaTheme="minorHAnsi" w:hAnsi="Arial" w:cs="Arial"/>
        </w:rPr>
        <w:t>The treatment and support provided to individuals with a severe mental illness can involve very high levels of restriction (this is addressed in more detail below at</w:t>
      </w:r>
      <w:r w:rsidR="000A5B9A">
        <w:rPr>
          <w:rFonts w:ascii="Arial" w:eastAsiaTheme="minorHAnsi" w:hAnsi="Arial" w:cs="Arial"/>
        </w:rPr>
        <w:t xml:space="preserve"> 1.4</w:t>
      </w:r>
      <w:r w:rsidRPr="00370586">
        <w:rPr>
          <w:rFonts w:ascii="Arial" w:eastAsiaTheme="minorHAnsi" w:hAnsi="Arial" w:cs="Arial"/>
        </w:rPr>
        <w:t>).  Accordingly, it is vital that services operate in such a way that there is a clear step-down pathway to less restrictive treatment.  While this is reflected in service design (i.e. it appears to be the case ‘on-paper’) it is not always so in actual service delivery.</w:t>
      </w:r>
    </w:p>
    <w:p w14:paraId="5F6711CC" w14:textId="070F57AE" w:rsidR="00370586" w:rsidRDefault="00370586" w:rsidP="00370586">
      <w:pPr>
        <w:spacing w:before="240" w:after="200"/>
        <w:contextualSpacing/>
        <w:jc w:val="both"/>
        <w:rPr>
          <w:rFonts w:ascii="Arial" w:eastAsiaTheme="minorHAns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415DB" w:rsidRPr="001415DB" w14:paraId="62E34760" w14:textId="77777777" w:rsidTr="00A027CF">
        <w:tc>
          <w:tcPr>
            <w:tcW w:w="8522" w:type="dxa"/>
            <w:shd w:val="clear" w:color="auto" w:fill="EAF1DD" w:themeFill="accent3" w:themeFillTint="33"/>
          </w:tcPr>
          <w:p w14:paraId="74AAA179" w14:textId="77777777" w:rsidR="001415DB" w:rsidRPr="001415DB" w:rsidRDefault="001415DB" w:rsidP="00EF2AD7">
            <w:pPr>
              <w:keepNext/>
              <w:keepLines/>
              <w:spacing w:before="40"/>
              <w:contextualSpacing/>
              <w:jc w:val="center"/>
              <w:outlineLvl w:val="1"/>
              <w:rPr>
                <w:rFonts w:ascii="Arial" w:eastAsia="Calibri" w:hAnsi="Arial" w:cs="Arial"/>
                <w:b/>
                <w:color w:val="365F91" w:themeColor="accent1" w:themeShade="BF"/>
              </w:rPr>
            </w:pPr>
            <w:bookmarkStart w:id="7" w:name="_Toc12267341"/>
            <w:r w:rsidRPr="001415DB">
              <w:rPr>
                <w:rFonts w:ascii="Arial" w:eastAsia="Calibri" w:hAnsi="Arial" w:cs="Arial"/>
                <w:b/>
                <w:color w:val="365F91" w:themeColor="accent1" w:themeShade="BF"/>
              </w:rPr>
              <w:t>‘Ali’</w:t>
            </w:r>
            <w:bookmarkEnd w:id="7"/>
          </w:p>
          <w:p w14:paraId="51018A67" w14:textId="059F7659" w:rsidR="001415DB" w:rsidRPr="001415DB" w:rsidRDefault="001415DB" w:rsidP="00EF2AD7">
            <w:pPr>
              <w:numPr>
                <w:ilvl w:val="6"/>
                <w:numId w:val="2"/>
              </w:numPr>
              <w:spacing w:before="80" w:after="120"/>
              <w:ind w:left="227" w:hanging="227"/>
              <w:contextualSpacing/>
              <w:jc w:val="both"/>
              <w:rPr>
                <w:rFonts w:ascii="Arial" w:hAnsi="Arial" w:cs="Arial"/>
                <w:bCs/>
              </w:rPr>
            </w:pPr>
            <w:r w:rsidRPr="001415DB">
              <w:rPr>
                <w:rFonts w:ascii="Arial" w:hAnsi="Arial" w:cs="Arial"/>
                <w:bCs/>
              </w:rPr>
              <w:t xml:space="preserve">Ali, in his mid-forties, has been in hospital for three consecutive years – initially </w:t>
            </w:r>
            <w:r w:rsidR="00FD17BE">
              <w:rPr>
                <w:rFonts w:ascii="Arial" w:hAnsi="Arial" w:cs="Arial"/>
                <w:bCs/>
              </w:rPr>
              <w:t>six</w:t>
            </w:r>
            <w:r w:rsidRPr="001415DB">
              <w:rPr>
                <w:rFonts w:ascii="Arial" w:hAnsi="Arial" w:cs="Arial"/>
                <w:bCs/>
              </w:rPr>
              <w:t xml:space="preserve"> months in an acute inpatient unit and then in a Secure Extended Care Unit (SECU) for two and a half years. Ali has limited English, no family and very little support in Australia. </w:t>
            </w:r>
            <w:r w:rsidR="003A299B">
              <w:rPr>
                <w:rFonts w:ascii="Arial" w:hAnsi="Arial" w:cs="Arial"/>
                <w:bCs/>
              </w:rPr>
              <w:t xml:space="preserve">Despite </w:t>
            </w:r>
            <w:r w:rsidR="00786B3A">
              <w:rPr>
                <w:rFonts w:ascii="Arial" w:hAnsi="Arial" w:cs="Arial"/>
                <w:bCs/>
              </w:rPr>
              <w:t>treatment with medication he experiences</w:t>
            </w:r>
            <w:r w:rsidRPr="001415DB">
              <w:rPr>
                <w:rFonts w:ascii="Arial" w:hAnsi="Arial" w:cs="Arial"/>
                <w:bCs/>
              </w:rPr>
              <w:t xml:space="preserve"> ongoing symptoms </w:t>
            </w:r>
            <w:r w:rsidR="00786B3A">
              <w:rPr>
                <w:rFonts w:ascii="Arial" w:hAnsi="Arial" w:cs="Arial"/>
                <w:bCs/>
              </w:rPr>
              <w:t>of his mental illness</w:t>
            </w:r>
            <w:r w:rsidRPr="001415DB">
              <w:rPr>
                <w:rFonts w:ascii="Arial" w:hAnsi="Arial" w:cs="Arial"/>
                <w:bCs/>
              </w:rPr>
              <w:t>. He also has a number of physical health problems. Ali does</w:t>
            </w:r>
            <w:r w:rsidR="000E659B">
              <w:rPr>
                <w:rFonts w:ascii="Arial" w:hAnsi="Arial" w:cs="Arial"/>
                <w:bCs/>
              </w:rPr>
              <w:t xml:space="preserve"> not</w:t>
            </w:r>
            <w:r w:rsidRPr="001415DB">
              <w:rPr>
                <w:rFonts w:ascii="Arial" w:hAnsi="Arial" w:cs="Arial"/>
                <w:bCs/>
              </w:rPr>
              <w:t xml:space="preserve"> believe he has any problems with his mental or physical health but passively accepts medication.</w:t>
            </w:r>
          </w:p>
          <w:p w14:paraId="43277D8A" w14:textId="77777777" w:rsidR="001415DB" w:rsidRPr="001415DB" w:rsidRDefault="001415DB" w:rsidP="00EF2AD7">
            <w:pPr>
              <w:numPr>
                <w:ilvl w:val="6"/>
                <w:numId w:val="2"/>
              </w:numPr>
              <w:spacing w:before="80" w:after="120"/>
              <w:ind w:left="227" w:hanging="227"/>
              <w:contextualSpacing/>
              <w:jc w:val="both"/>
              <w:rPr>
                <w:rFonts w:ascii="Arial" w:hAnsi="Arial" w:cs="Arial"/>
                <w:bCs/>
              </w:rPr>
            </w:pPr>
          </w:p>
          <w:p w14:paraId="5D07F517" w14:textId="77777777" w:rsidR="001415DB" w:rsidRPr="001415DB" w:rsidRDefault="001415DB" w:rsidP="00EF2AD7">
            <w:pPr>
              <w:numPr>
                <w:ilvl w:val="6"/>
                <w:numId w:val="2"/>
              </w:numPr>
              <w:spacing w:before="80" w:after="120"/>
              <w:ind w:left="227" w:hanging="227"/>
              <w:contextualSpacing/>
              <w:jc w:val="both"/>
              <w:rPr>
                <w:rFonts w:ascii="Arial" w:hAnsi="Arial" w:cs="Arial"/>
                <w:bCs/>
              </w:rPr>
            </w:pPr>
            <w:r w:rsidRPr="001415DB">
              <w:rPr>
                <w:rFonts w:ascii="Arial" w:hAnsi="Arial" w:cs="Arial"/>
                <w:bCs/>
              </w:rPr>
              <w:t>Initially, the plan was that Ali would stay in the SECU unit for six months to stabilise his mental state, monitor adherence to medication, minimise the opportunity for illicit drug use and assess his independent living skills and any risks. However, he has been there for two-and-a-half years due to the lack of any ‘step-down’ options. Ali is frustrated about his protracted hospital admission and has asked on numerous occasions to be discharged and to be allowed to return to his home country.</w:t>
            </w:r>
          </w:p>
          <w:p w14:paraId="15526B05" w14:textId="77777777" w:rsidR="001415DB" w:rsidRPr="001415DB" w:rsidRDefault="001415DB" w:rsidP="00EF2AD7">
            <w:pPr>
              <w:numPr>
                <w:ilvl w:val="6"/>
                <w:numId w:val="2"/>
              </w:numPr>
              <w:spacing w:before="80" w:after="120"/>
              <w:ind w:left="227" w:hanging="227"/>
              <w:contextualSpacing/>
              <w:jc w:val="both"/>
              <w:rPr>
                <w:rFonts w:ascii="Arial" w:hAnsi="Arial" w:cs="Arial"/>
                <w:bCs/>
              </w:rPr>
            </w:pPr>
          </w:p>
          <w:p w14:paraId="15E0555E" w14:textId="77777777" w:rsidR="001415DB" w:rsidRPr="001415DB" w:rsidRDefault="001415DB" w:rsidP="00EF2AD7">
            <w:pPr>
              <w:numPr>
                <w:ilvl w:val="6"/>
                <w:numId w:val="2"/>
              </w:numPr>
              <w:spacing w:before="80" w:after="120"/>
              <w:ind w:left="227" w:hanging="227"/>
              <w:contextualSpacing/>
              <w:jc w:val="both"/>
              <w:rPr>
                <w:rFonts w:ascii="Arial" w:hAnsi="Arial" w:cs="Arial"/>
                <w:bCs/>
              </w:rPr>
            </w:pPr>
            <w:r w:rsidRPr="001415DB">
              <w:rPr>
                <w:rFonts w:ascii="Arial" w:hAnsi="Arial" w:cs="Arial"/>
                <w:bCs/>
              </w:rPr>
              <w:t xml:space="preserve">In the hearing, the SECU treating team acknowledged to the Tribunal that there was nothing further to be gained by Ali remaining in SECU.  While he had ongoing symptoms he could go about his daily routine, including leave from the SECU without issues. In short, they said Ali had reached his baseline mental state and was unlikely to improve any further by staying in the restrictive inpatient environment of the SECU. </w:t>
            </w:r>
          </w:p>
          <w:p w14:paraId="5A37B39D" w14:textId="77777777" w:rsidR="001415DB" w:rsidRPr="001415DB" w:rsidRDefault="001415DB" w:rsidP="00EF2AD7">
            <w:pPr>
              <w:numPr>
                <w:ilvl w:val="6"/>
                <w:numId w:val="2"/>
              </w:numPr>
              <w:spacing w:before="80" w:after="120"/>
              <w:ind w:left="227" w:hanging="227"/>
              <w:contextualSpacing/>
              <w:jc w:val="both"/>
              <w:rPr>
                <w:rFonts w:ascii="Arial" w:hAnsi="Arial" w:cs="Arial"/>
                <w:bCs/>
              </w:rPr>
            </w:pPr>
          </w:p>
          <w:p w14:paraId="25F27E48" w14:textId="336AFB0A" w:rsidR="001415DB" w:rsidRPr="001415DB" w:rsidRDefault="001415DB" w:rsidP="00EF2AD7">
            <w:pPr>
              <w:spacing w:before="80" w:after="120"/>
              <w:ind w:left="227"/>
              <w:contextualSpacing/>
              <w:jc w:val="both"/>
              <w:rPr>
                <w:rFonts w:ascii="Arial" w:hAnsi="Arial"/>
                <w:bCs/>
                <w:sz w:val="24"/>
                <w:szCs w:val="24"/>
              </w:rPr>
            </w:pPr>
            <w:r w:rsidRPr="001415DB">
              <w:rPr>
                <w:rFonts w:ascii="Arial" w:hAnsi="Arial" w:cs="Arial"/>
                <w:bCs/>
              </w:rPr>
              <w:t>Instead, the treating team told the Tribunal that Ali needs a gradual transition to appropriate supervised and supported accommodation in the community. They have been exploring step-down services with Ali’s guardian and have made referrals to a number of services that could be the next steps in Ali’s treatment including a Community Care Unit</w:t>
            </w:r>
            <w:r w:rsidR="00FD17BE">
              <w:rPr>
                <w:rFonts w:ascii="Arial" w:hAnsi="Arial" w:cs="Arial"/>
                <w:bCs/>
              </w:rPr>
              <w:t xml:space="preserve"> (CCU)</w:t>
            </w:r>
            <w:r w:rsidRPr="001415DB">
              <w:rPr>
                <w:rFonts w:ascii="Arial" w:hAnsi="Arial" w:cs="Arial"/>
                <w:bCs/>
              </w:rPr>
              <w:t xml:space="preserve"> and Supported Residential Service. However, none of the services are willing to accept Ali. The</w:t>
            </w:r>
            <w:r w:rsidR="00A5218A">
              <w:rPr>
                <w:rFonts w:ascii="Arial" w:hAnsi="Arial" w:cs="Arial"/>
                <w:bCs/>
              </w:rPr>
              <w:t xml:space="preserve"> </w:t>
            </w:r>
            <w:r w:rsidRPr="001415DB">
              <w:rPr>
                <w:rFonts w:ascii="Arial" w:hAnsi="Arial" w:cs="Arial"/>
                <w:bCs/>
              </w:rPr>
              <w:t>CCU said he did</w:t>
            </w:r>
            <w:r w:rsidR="000E659B">
              <w:rPr>
                <w:rFonts w:ascii="Arial" w:hAnsi="Arial" w:cs="Arial"/>
                <w:bCs/>
              </w:rPr>
              <w:t xml:space="preserve"> not</w:t>
            </w:r>
            <w:r w:rsidRPr="001415DB">
              <w:rPr>
                <w:rFonts w:ascii="Arial" w:hAnsi="Arial" w:cs="Arial"/>
                <w:bCs/>
              </w:rPr>
              <w:t xml:space="preserve"> meet their admission criteria. Another service rejected Ali because he does</w:t>
            </w:r>
            <w:r w:rsidR="000E659B">
              <w:rPr>
                <w:rFonts w:ascii="Arial" w:hAnsi="Arial" w:cs="Arial"/>
                <w:bCs/>
              </w:rPr>
              <w:t xml:space="preserve"> not</w:t>
            </w:r>
            <w:r w:rsidRPr="001415DB">
              <w:rPr>
                <w:rFonts w:ascii="Arial" w:hAnsi="Arial" w:cs="Arial"/>
                <w:bCs/>
              </w:rPr>
              <w:t xml:space="preserve"> have an intellectual disability</w:t>
            </w:r>
            <w:r w:rsidR="000A5B9A">
              <w:rPr>
                <w:rFonts w:ascii="Arial" w:hAnsi="Arial" w:cs="Arial"/>
                <w:bCs/>
              </w:rPr>
              <w:t>.  This</w:t>
            </w:r>
            <w:r w:rsidR="00CD36DE">
              <w:rPr>
                <w:rFonts w:ascii="Arial" w:hAnsi="Arial" w:cs="Arial"/>
                <w:bCs/>
              </w:rPr>
              <w:t xml:space="preserve"> raises a question about the transparency of these </w:t>
            </w:r>
            <w:r w:rsidR="000A5B9A">
              <w:rPr>
                <w:rFonts w:ascii="Arial" w:hAnsi="Arial" w:cs="Arial"/>
                <w:bCs/>
              </w:rPr>
              <w:t xml:space="preserve">admission </w:t>
            </w:r>
            <w:r w:rsidR="00CD36DE">
              <w:rPr>
                <w:rFonts w:ascii="Arial" w:hAnsi="Arial" w:cs="Arial"/>
                <w:bCs/>
              </w:rPr>
              <w:t xml:space="preserve">criteria, for if they are clear why was </w:t>
            </w:r>
            <w:r w:rsidR="000A5B9A">
              <w:rPr>
                <w:rFonts w:ascii="Arial" w:hAnsi="Arial" w:cs="Arial"/>
                <w:bCs/>
              </w:rPr>
              <w:t>Ali</w:t>
            </w:r>
            <w:r w:rsidR="00CD36DE">
              <w:rPr>
                <w:rFonts w:ascii="Arial" w:hAnsi="Arial" w:cs="Arial"/>
                <w:bCs/>
              </w:rPr>
              <w:t xml:space="preserve"> even referred? </w:t>
            </w:r>
            <w:r w:rsidRPr="001415DB">
              <w:rPr>
                <w:rFonts w:ascii="Arial" w:hAnsi="Arial" w:cs="Arial"/>
                <w:bCs/>
              </w:rPr>
              <w:t xml:space="preserve"> At the moment there appears to be nowhere for Ali to go.</w:t>
            </w:r>
          </w:p>
        </w:tc>
      </w:tr>
    </w:tbl>
    <w:p w14:paraId="1BE4E1D9" w14:textId="77777777" w:rsidR="00370586" w:rsidRPr="00370586" w:rsidRDefault="00370586" w:rsidP="00370586">
      <w:pPr>
        <w:spacing w:before="240" w:after="200"/>
        <w:contextualSpacing/>
        <w:jc w:val="both"/>
        <w:rPr>
          <w:rFonts w:ascii="Arial" w:eastAsiaTheme="minorHAnsi" w:hAnsi="Arial" w:cs="Arial"/>
        </w:rPr>
      </w:pPr>
    </w:p>
    <w:p w14:paraId="40760BCF" w14:textId="77777777" w:rsidR="001D2082" w:rsidRDefault="001D2082">
      <w:pPr>
        <w:rPr>
          <w:rFonts w:ascii="Arial" w:eastAsiaTheme="minorHAnsi" w:hAnsi="Arial" w:cs="Arial"/>
          <w:b/>
        </w:rPr>
      </w:pPr>
      <w:r>
        <w:rPr>
          <w:rFonts w:ascii="Arial" w:eastAsiaTheme="minorHAnsi" w:hAnsi="Arial" w:cs="Arial"/>
          <w:b/>
        </w:rPr>
        <w:br w:type="page"/>
      </w:r>
    </w:p>
    <w:p w14:paraId="36B8F35C" w14:textId="46798F2A" w:rsidR="00370586" w:rsidRPr="00370586" w:rsidRDefault="00370586" w:rsidP="00370586">
      <w:pPr>
        <w:spacing w:before="240" w:after="200"/>
        <w:contextualSpacing/>
        <w:jc w:val="both"/>
        <w:rPr>
          <w:rFonts w:ascii="Arial" w:eastAsiaTheme="minorHAnsi" w:hAnsi="Arial" w:cs="Arial"/>
          <w:b/>
        </w:rPr>
      </w:pPr>
      <w:r w:rsidRPr="00370586">
        <w:rPr>
          <w:rFonts w:ascii="Arial" w:eastAsiaTheme="minorHAnsi" w:hAnsi="Arial" w:cs="Arial"/>
          <w:b/>
        </w:rPr>
        <w:lastRenderedPageBreak/>
        <w:t>1.1.2  External silos</w:t>
      </w:r>
    </w:p>
    <w:p w14:paraId="705CECBB" w14:textId="77777777" w:rsidR="00370586" w:rsidRPr="00370586" w:rsidRDefault="00370586" w:rsidP="00370586">
      <w:pPr>
        <w:spacing w:before="240" w:after="200"/>
        <w:contextualSpacing/>
        <w:jc w:val="both"/>
        <w:rPr>
          <w:rFonts w:ascii="Arial" w:eastAsiaTheme="minorHAnsi" w:hAnsi="Arial" w:cs="Arial"/>
        </w:rPr>
      </w:pPr>
    </w:p>
    <w:p w14:paraId="37F2B9BF" w14:textId="77777777" w:rsidR="00370586" w:rsidRPr="00370586" w:rsidRDefault="00370586" w:rsidP="00370586">
      <w:pPr>
        <w:spacing w:before="240" w:after="200"/>
        <w:contextualSpacing/>
        <w:jc w:val="both"/>
        <w:rPr>
          <w:rFonts w:ascii="Arial" w:eastAsiaTheme="minorHAnsi" w:hAnsi="Arial" w:cs="Arial"/>
          <w:b/>
          <w:i/>
        </w:rPr>
      </w:pPr>
      <w:r w:rsidRPr="00370586">
        <w:rPr>
          <w:rFonts w:ascii="Arial" w:eastAsiaTheme="minorHAnsi" w:hAnsi="Arial" w:cs="Arial"/>
          <w:b/>
          <w:i/>
        </w:rPr>
        <w:t>1.1.2(a)  Lack of collaboration in relation to complex consumers</w:t>
      </w:r>
    </w:p>
    <w:p w14:paraId="75CC98F1" w14:textId="77777777" w:rsidR="00370586" w:rsidRPr="00370586" w:rsidRDefault="00370586" w:rsidP="00370586">
      <w:pPr>
        <w:spacing w:before="240" w:after="200"/>
        <w:contextualSpacing/>
        <w:jc w:val="both"/>
        <w:rPr>
          <w:rFonts w:ascii="Arial" w:eastAsiaTheme="minorHAnsi" w:hAnsi="Arial" w:cs="Arial"/>
        </w:rPr>
      </w:pPr>
    </w:p>
    <w:p w14:paraId="45145D79" w14:textId="71AF8959" w:rsidR="00370586" w:rsidRPr="00370586" w:rsidRDefault="00370586" w:rsidP="00370586">
      <w:pPr>
        <w:spacing w:before="240" w:after="200"/>
        <w:contextualSpacing/>
        <w:jc w:val="both"/>
        <w:rPr>
          <w:rFonts w:ascii="Arial" w:eastAsiaTheme="minorHAnsi" w:hAnsi="Arial" w:cs="Arial"/>
        </w:rPr>
      </w:pPr>
      <w:r w:rsidRPr="00370586">
        <w:rPr>
          <w:rFonts w:ascii="Arial" w:eastAsiaTheme="minorHAnsi" w:hAnsi="Arial" w:cs="Arial"/>
        </w:rPr>
        <w:t>The Tribunal’s concerns regarding complex consumers are covered in more detail below (at</w:t>
      </w:r>
      <w:r w:rsidR="000A5B9A">
        <w:rPr>
          <w:rFonts w:ascii="Arial" w:eastAsiaTheme="minorHAnsi" w:hAnsi="Arial" w:cs="Arial"/>
        </w:rPr>
        <w:t xml:space="preserve"> 1.4</w:t>
      </w:r>
      <w:r w:rsidRPr="00370586">
        <w:rPr>
          <w:rFonts w:ascii="Arial" w:eastAsiaTheme="minorHAnsi" w:hAnsi="Arial" w:cs="Arial"/>
        </w:rPr>
        <w:t>).  Regarding the notion of silos between the independent services that comprise the current system, complex consumers illustrate how impenetrable those barriers can be.  The Tribunal would go so far as to say that the intersection of these silos, with the severe resource shortfalls that services have to manage, means that on occasion services will proactively avoid co-operation, especially in relation to complex consumers where it can sometimes appear that the imperative is to avoid being the service that takes on responsibility for a person’s care and support.</w:t>
      </w:r>
    </w:p>
    <w:p w14:paraId="3952B19D" w14:textId="40283B7A" w:rsidR="00370586" w:rsidRDefault="00370586" w:rsidP="00370586">
      <w:pPr>
        <w:spacing w:before="240" w:after="200"/>
        <w:contextualSpacing/>
        <w:jc w:val="both"/>
        <w:rPr>
          <w:rFonts w:ascii="Arial" w:eastAsiaTheme="minorHAns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F2AD7" w:rsidRPr="00EF2AD7" w14:paraId="2E718AD4" w14:textId="77777777" w:rsidTr="00A027CF">
        <w:tc>
          <w:tcPr>
            <w:tcW w:w="8522" w:type="dxa"/>
            <w:shd w:val="clear" w:color="auto" w:fill="EAF1DD" w:themeFill="accent3" w:themeFillTint="33"/>
          </w:tcPr>
          <w:p w14:paraId="292B74A6" w14:textId="77777777" w:rsidR="00EF2AD7" w:rsidRPr="00EF2AD7" w:rsidRDefault="00EF2AD7" w:rsidP="00EF2AD7">
            <w:pPr>
              <w:keepNext/>
              <w:keepLines/>
              <w:spacing w:before="40"/>
              <w:jc w:val="center"/>
              <w:outlineLvl w:val="1"/>
              <w:rPr>
                <w:rFonts w:ascii="Arial" w:eastAsia="Calibri" w:hAnsi="Arial" w:cs="Arial"/>
                <w:b/>
                <w:color w:val="365F91" w:themeColor="accent1" w:themeShade="BF"/>
              </w:rPr>
            </w:pPr>
            <w:bookmarkStart w:id="8" w:name="_Toc12267348"/>
            <w:r w:rsidRPr="00EF2AD7">
              <w:rPr>
                <w:rFonts w:ascii="Arial" w:eastAsia="Calibri" w:hAnsi="Arial" w:cs="Arial"/>
                <w:b/>
                <w:color w:val="365F91" w:themeColor="accent1" w:themeShade="BF"/>
              </w:rPr>
              <w:t>‘Sophie’</w:t>
            </w:r>
            <w:bookmarkEnd w:id="8"/>
          </w:p>
          <w:p w14:paraId="0326DBC0" w14:textId="6DF37434" w:rsidR="00EF2AD7" w:rsidRPr="00EF2AD7" w:rsidRDefault="00EF2AD7" w:rsidP="00EF2AD7">
            <w:pPr>
              <w:numPr>
                <w:ilvl w:val="6"/>
                <w:numId w:val="2"/>
              </w:numPr>
              <w:spacing w:before="80" w:after="120"/>
              <w:ind w:left="227" w:hanging="227"/>
              <w:jc w:val="both"/>
              <w:rPr>
                <w:rFonts w:ascii="Arial" w:hAnsi="Arial" w:cs="Arial"/>
                <w:bCs/>
              </w:rPr>
            </w:pPr>
            <w:r w:rsidRPr="00EF2AD7">
              <w:rPr>
                <w:rFonts w:ascii="Arial" w:hAnsi="Arial" w:cs="Arial"/>
                <w:bCs/>
              </w:rPr>
              <w:t>Sophie was an inpatient who had been treated in a secure setting for nearly two years.  She</w:t>
            </w:r>
            <w:r w:rsidR="00A5218A">
              <w:rPr>
                <w:rFonts w:ascii="Arial" w:hAnsi="Arial" w:cs="Arial"/>
                <w:bCs/>
              </w:rPr>
              <w:t xml:space="preserve"> </w:t>
            </w:r>
            <w:r w:rsidRPr="00EF2AD7">
              <w:rPr>
                <w:rFonts w:ascii="Arial" w:hAnsi="Arial" w:cs="Arial"/>
                <w:bCs/>
              </w:rPr>
              <w:t>was receiving treatment for a psychotic illness and personality disorder. Sophie’s engagement and hard work with her multi-disciplinary team meant her recovery had progressed. She had made future goals and was regarded as having significant potential. Sophie and her treating team agreed that the time was right for her to move on and ’step-down’ accordingly a referral was made to a less restrictive residential service in the area Sophie wanted to live in order to be closer to family.</w:t>
            </w:r>
          </w:p>
          <w:p w14:paraId="04C90741" w14:textId="77777777" w:rsidR="00EF2AD7" w:rsidRPr="00EF2AD7" w:rsidRDefault="00EF2AD7" w:rsidP="00EF2AD7">
            <w:pPr>
              <w:numPr>
                <w:ilvl w:val="6"/>
                <w:numId w:val="2"/>
              </w:numPr>
              <w:spacing w:before="80" w:after="120"/>
              <w:ind w:left="227" w:hanging="227"/>
              <w:jc w:val="both"/>
              <w:rPr>
                <w:rFonts w:ascii="Arial" w:hAnsi="Arial" w:cs="Arial"/>
                <w:bCs/>
              </w:rPr>
            </w:pPr>
            <w:r w:rsidRPr="00EF2AD7">
              <w:rPr>
                <w:rFonts w:ascii="Arial" w:hAnsi="Arial" w:cs="Arial"/>
                <w:bCs/>
              </w:rPr>
              <w:t xml:space="preserve">At a Tribunal hearing, Sophie’s treating team confirmed she was ready to transition but an impediment had arisen in relation to the service that had been identified as the appropriate ‘step down’ option. Accordingly, the Tribunal joined the relevant receiving service as a party to Sophie’s next hearing. </w:t>
            </w:r>
          </w:p>
          <w:p w14:paraId="2F280C6D" w14:textId="1740FF5C" w:rsidR="00EF2AD7" w:rsidRPr="00EF2AD7" w:rsidRDefault="00EF2AD7" w:rsidP="00EF2AD7">
            <w:pPr>
              <w:numPr>
                <w:ilvl w:val="6"/>
                <w:numId w:val="2"/>
              </w:numPr>
              <w:spacing w:before="80" w:after="120"/>
              <w:ind w:left="227" w:hanging="227"/>
              <w:jc w:val="both"/>
              <w:rPr>
                <w:rFonts w:ascii="Arial" w:hAnsi="Arial"/>
                <w:bCs/>
                <w:sz w:val="24"/>
                <w:szCs w:val="24"/>
              </w:rPr>
            </w:pPr>
            <w:r w:rsidRPr="00EF2AD7">
              <w:rPr>
                <w:rFonts w:ascii="Arial" w:hAnsi="Arial" w:cs="Arial"/>
                <w:bCs/>
              </w:rPr>
              <w:t xml:space="preserve">At the hearing, the proposed receiving service confirmed that it would not be accepting Sophie.  </w:t>
            </w:r>
            <w:r w:rsidR="00053B9F">
              <w:rPr>
                <w:rFonts w:ascii="Arial" w:hAnsi="Arial" w:cs="Arial"/>
                <w:bCs/>
              </w:rPr>
              <w:t xml:space="preserve">Based on </w:t>
            </w:r>
            <w:r w:rsidRPr="00EF2AD7">
              <w:rPr>
                <w:rFonts w:ascii="Arial" w:hAnsi="Arial" w:cs="Arial"/>
                <w:bCs/>
              </w:rPr>
              <w:t>little direct contact with Sophie, and despite the treatment plan that had been being pursued for nearly two years, the position of the receiving service was that Sophie did not have a psychotic illness</w:t>
            </w:r>
            <w:r w:rsidR="00053B9F">
              <w:rPr>
                <w:rFonts w:ascii="Arial" w:hAnsi="Arial" w:cs="Arial"/>
                <w:bCs/>
              </w:rPr>
              <w:t xml:space="preserve"> and as such did not meet their admission criteria</w:t>
            </w:r>
            <w:r w:rsidRPr="00EF2AD7">
              <w:rPr>
                <w:rFonts w:ascii="Arial" w:hAnsi="Arial" w:cs="Arial"/>
                <w:bCs/>
              </w:rPr>
              <w:t>.</w:t>
            </w:r>
          </w:p>
        </w:tc>
      </w:tr>
    </w:tbl>
    <w:p w14:paraId="7CE5C908" w14:textId="469E568F" w:rsidR="00370586" w:rsidRDefault="00370586" w:rsidP="00370586">
      <w:pPr>
        <w:spacing w:before="240" w:after="200"/>
        <w:contextualSpacing/>
        <w:jc w:val="both"/>
        <w:rPr>
          <w:rFonts w:ascii="Arial" w:eastAsiaTheme="minorHAnsi" w:hAnsi="Arial" w:cs="Arial"/>
        </w:rPr>
      </w:pPr>
    </w:p>
    <w:p w14:paraId="165E3FAE" w14:textId="4661495F" w:rsidR="00370586" w:rsidRPr="00370586" w:rsidRDefault="00370586" w:rsidP="00370586">
      <w:pPr>
        <w:spacing w:before="240" w:after="200"/>
        <w:contextualSpacing/>
        <w:jc w:val="both"/>
        <w:rPr>
          <w:rFonts w:ascii="Arial" w:eastAsiaTheme="minorHAnsi" w:hAnsi="Arial" w:cs="Arial"/>
          <w:b/>
          <w:i/>
        </w:rPr>
      </w:pPr>
      <w:r w:rsidRPr="00370586">
        <w:rPr>
          <w:rFonts w:ascii="Arial" w:eastAsiaTheme="minorHAnsi" w:hAnsi="Arial" w:cs="Arial"/>
          <w:b/>
          <w:i/>
        </w:rPr>
        <w:t>1.1.2(b)  ‘Isolation’ of forensic mental health services</w:t>
      </w:r>
    </w:p>
    <w:p w14:paraId="38BDAEC8" w14:textId="73D30D96" w:rsidR="00370586" w:rsidRDefault="00370586" w:rsidP="00370586">
      <w:pPr>
        <w:spacing w:before="240" w:after="200"/>
        <w:contextualSpacing/>
        <w:jc w:val="both"/>
        <w:rPr>
          <w:rFonts w:ascii="Arial" w:eastAsiaTheme="minorHAns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B14F6" w:rsidRPr="003B14F6" w14:paraId="27CB6D0B" w14:textId="77777777" w:rsidTr="007E7BF5">
        <w:tc>
          <w:tcPr>
            <w:tcW w:w="8522" w:type="dxa"/>
            <w:shd w:val="clear" w:color="auto" w:fill="EAF1DD" w:themeFill="accent3" w:themeFillTint="33"/>
          </w:tcPr>
          <w:p w14:paraId="4CF292F8" w14:textId="77777777" w:rsidR="003B14F6" w:rsidRPr="003B14F6" w:rsidRDefault="003B14F6" w:rsidP="003B14F6">
            <w:pPr>
              <w:keepNext/>
              <w:keepLines/>
              <w:spacing w:before="40"/>
              <w:jc w:val="center"/>
              <w:outlineLvl w:val="1"/>
              <w:rPr>
                <w:rFonts w:ascii="Arial" w:eastAsia="Calibri" w:hAnsi="Arial" w:cs="Arial"/>
                <w:b/>
                <w:color w:val="365F91" w:themeColor="accent1" w:themeShade="BF"/>
              </w:rPr>
            </w:pPr>
            <w:bookmarkStart w:id="9" w:name="_Toc12267340"/>
            <w:r w:rsidRPr="003B14F6">
              <w:rPr>
                <w:rFonts w:ascii="Arial" w:eastAsia="Calibri" w:hAnsi="Arial" w:cs="Arial"/>
                <w:b/>
                <w:color w:val="365F91" w:themeColor="accent1" w:themeShade="BF"/>
              </w:rPr>
              <w:t>‘Kate’</w:t>
            </w:r>
            <w:bookmarkEnd w:id="9"/>
          </w:p>
          <w:p w14:paraId="10FD0C36" w14:textId="232D955A" w:rsidR="003B14F6" w:rsidRPr="003B14F6" w:rsidRDefault="003B14F6" w:rsidP="003B14F6">
            <w:pPr>
              <w:numPr>
                <w:ilvl w:val="6"/>
                <w:numId w:val="2"/>
              </w:numPr>
              <w:spacing w:before="80" w:after="120"/>
              <w:ind w:left="227" w:hanging="227"/>
              <w:jc w:val="both"/>
              <w:rPr>
                <w:rFonts w:ascii="Arial" w:hAnsi="Arial" w:cs="Arial"/>
                <w:bCs/>
              </w:rPr>
            </w:pPr>
            <w:r w:rsidRPr="003B14F6">
              <w:rPr>
                <w:rFonts w:ascii="Arial" w:hAnsi="Arial" w:cs="Arial"/>
                <w:bCs/>
              </w:rPr>
              <w:t xml:space="preserve">Kate, a woman in her early forties, was placed on a </w:t>
            </w:r>
            <w:r w:rsidR="00363BEA">
              <w:rPr>
                <w:rFonts w:ascii="Arial" w:hAnsi="Arial" w:cs="Arial"/>
                <w:bCs/>
              </w:rPr>
              <w:t>STO</w:t>
            </w:r>
            <w:r w:rsidRPr="003B14F6">
              <w:rPr>
                <w:rFonts w:ascii="Arial" w:hAnsi="Arial" w:cs="Arial"/>
                <w:bCs/>
              </w:rPr>
              <w:t xml:space="preserve"> because her long-standing mental illness had reached a level of acuity that needed more assertive treatment than could be provided while she was in the general prison population. Kate</w:t>
            </w:r>
            <w:r w:rsidR="00A5218A">
              <w:rPr>
                <w:rFonts w:ascii="Arial" w:hAnsi="Arial" w:cs="Arial"/>
                <w:bCs/>
              </w:rPr>
              <w:t xml:space="preserve"> </w:t>
            </w:r>
            <w:r w:rsidRPr="003B14F6">
              <w:rPr>
                <w:rFonts w:ascii="Arial" w:hAnsi="Arial" w:cs="Arial"/>
                <w:bCs/>
              </w:rPr>
              <w:t>agrees she has a mental illness and accepts treatment.</w:t>
            </w:r>
          </w:p>
          <w:p w14:paraId="56CA3E78" w14:textId="0C73353E" w:rsidR="003B14F6" w:rsidRPr="003B14F6" w:rsidRDefault="003B14F6" w:rsidP="003B14F6">
            <w:pPr>
              <w:numPr>
                <w:ilvl w:val="6"/>
                <w:numId w:val="2"/>
              </w:numPr>
              <w:spacing w:before="80" w:after="120"/>
              <w:ind w:left="227" w:hanging="227"/>
              <w:jc w:val="both"/>
              <w:rPr>
                <w:rFonts w:ascii="Arial" w:hAnsi="Arial" w:cs="Arial"/>
                <w:bCs/>
              </w:rPr>
            </w:pPr>
            <w:r w:rsidRPr="003B14F6">
              <w:rPr>
                <w:rFonts w:ascii="Arial" w:hAnsi="Arial" w:cs="Arial"/>
                <w:bCs/>
              </w:rPr>
              <w:t>At the time of the hearing, Kate’s underlying prison sentence was nearing its end. For this reason, rather than the focus being on providing immediate treatment to enable her to go back to prison, Kate’s treating team was working with her on a plan to support her transition from intensive</w:t>
            </w:r>
            <w:r w:rsidR="000A5B9A">
              <w:rPr>
                <w:rFonts w:ascii="Arial" w:hAnsi="Arial" w:cs="Arial"/>
                <w:bCs/>
              </w:rPr>
              <w:t xml:space="preserve"> inpatient</w:t>
            </w:r>
            <w:r w:rsidRPr="003B14F6">
              <w:rPr>
                <w:rFonts w:ascii="Arial" w:hAnsi="Arial" w:cs="Arial"/>
                <w:bCs/>
              </w:rPr>
              <w:t xml:space="preserve"> support to intensive support and treatment in the community.  The goal of Kate and her treating team was to prevent her from ‘falling through the cracks’ when she finished her prison sentence so as to maintain her mental health and address a potential underlying cause of re-offending.</w:t>
            </w:r>
          </w:p>
        </w:tc>
      </w:tr>
    </w:tbl>
    <w:p w14:paraId="3E09D8A0" w14:textId="6EF4A129" w:rsidR="00370586" w:rsidRDefault="00370586" w:rsidP="00370586">
      <w:pPr>
        <w:spacing w:before="240" w:after="200"/>
        <w:contextualSpacing/>
        <w:jc w:val="both"/>
        <w:rPr>
          <w:rFonts w:ascii="Arial" w:eastAsiaTheme="minorHAnsi" w:hAnsi="Arial" w:cs="Arial"/>
        </w:rPr>
      </w:pPr>
    </w:p>
    <w:p w14:paraId="1AC859D4" w14:textId="4E64A06F" w:rsidR="00370586" w:rsidRPr="00370586" w:rsidRDefault="00370586" w:rsidP="00370586">
      <w:pPr>
        <w:spacing w:before="240" w:after="200"/>
        <w:contextualSpacing/>
        <w:jc w:val="both"/>
        <w:rPr>
          <w:rFonts w:ascii="Arial" w:eastAsiaTheme="minorHAnsi" w:hAnsi="Arial" w:cs="Arial"/>
        </w:rPr>
      </w:pPr>
      <w:r w:rsidRPr="00370586">
        <w:rPr>
          <w:rFonts w:ascii="Arial" w:eastAsiaTheme="minorHAnsi" w:hAnsi="Arial" w:cs="Arial"/>
        </w:rPr>
        <w:t>The Tribunal acknowledges that it only interacts with a relatively small aspect of forensic mental health service delivery but based on that experience the positive case study of</w:t>
      </w:r>
      <w:r w:rsidR="003B14F6">
        <w:rPr>
          <w:rFonts w:ascii="Arial" w:eastAsiaTheme="minorHAnsi" w:hAnsi="Arial" w:cs="Arial"/>
        </w:rPr>
        <w:t xml:space="preserve"> ‘Kate’</w:t>
      </w:r>
      <w:r w:rsidRPr="00370586">
        <w:rPr>
          <w:rFonts w:ascii="Arial" w:eastAsiaTheme="minorHAnsi" w:hAnsi="Arial" w:cs="Arial"/>
        </w:rPr>
        <w:t xml:space="preserve"> is rare.  Regarding security patients (i.e. prisoners or remandees on an STO) the Tribunal observes a constant state of crisis management that other organisations and individuals making submissions will undoubtedly explain in far more detail.</w:t>
      </w:r>
    </w:p>
    <w:p w14:paraId="132ADC7B" w14:textId="77777777" w:rsidR="00370586" w:rsidRPr="00370586" w:rsidRDefault="00370586" w:rsidP="00370586">
      <w:pPr>
        <w:spacing w:before="240" w:after="200"/>
        <w:contextualSpacing/>
        <w:jc w:val="both"/>
        <w:rPr>
          <w:rFonts w:ascii="Arial" w:eastAsiaTheme="minorHAnsi" w:hAnsi="Arial" w:cs="Arial"/>
        </w:rPr>
      </w:pPr>
    </w:p>
    <w:p w14:paraId="6E591294" w14:textId="6C48B99D" w:rsidR="00370586" w:rsidRPr="00370586" w:rsidRDefault="00370586" w:rsidP="00370586">
      <w:pPr>
        <w:spacing w:before="240" w:after="200"/>
        <w:contextualSpacing/>
        <w:jc w:val="both"/>
        <w:rPr>
          <w:rFonts w:ascii="Arial" w:eastAsiaTheme="minorHAnsi" w:hAnsi="Arial" w:cs="Arial"/>
        </w:rPr>
      </w:pPr>
      <w:r w:rsidRPr="00370586">
        <w:rPr>
          <w:rFonts w:ascii="Arial" w:eastAsiaTheme="minorHAnsi" w:hAnsi="Arial" w:cs="Arial"/>
        </w:rPr>
        <w:t>Tribunal hearings for security patients provide a sense of how severely unwell a person needs to be before they are transferred to Thomas Embling Hospital, and then the very short length of stay that is usually possible when they are transferred.  Ideally many more individuals on an STO should have a treatment plan similar to</w:t>
      </w:r>
      <w:r w:rsidR="00CA3E58">
        <w:rPr>
          <w:rFonts w:ascii="Arial" w:eastAsiaTheme="minorHAnsi" w:hAnsi="Arial" w:cs="Arial"/>
        </w:rPr>
        <w:t xml:space="preserve"> Kate’s</w:t>
      </w:r>
      <w:r w:rsidRPr="00370586">
        <w:rPr>
          <w:rFonts w:ascii="Arial" w:eastAsiaTheme="minorHAnsi" w:hAnsi="Arial" w:cs="Arial"/>
        </w:rPr>
        <w:t xml:space="preserve">, whose treatment while in custody is being used to lay the groundwork for a planned transition to an area mental health service (AMHS), and continuity of care in the community.  This would not only promote the mental health principles, but also have the potential to advance effective reintegration of offenders in the community at the end of their sentence.  Instead treatment for security patients is often unable to aim for anything more than a reduction in the acuity of symptoms, and a hope that the person will continue with treatment in prison, or as it may be summarised in Tribunal hearings, ‘administering one more long acting injection before </w:t>
      </w:r>
      <w:r w:rsidR="001D2082">
        <w:rPr>
          <w:rFonts w:ascii="Arial" w:eastAsiaTheme="minorHAnsi" w:hAnsi="Arial" w:cs="Arial"/>
        </w:rPr>
        <w:t>[</w:t>
      </w:r>
      <w:r w:rsidR="004E102E">
        <w:rPr>
          <w:rFonts w:ascii="Arial" w:eastAsiaTheme="minorHAnsi" w:hAnsi="Arial" w:cs="Arial"/>
        </w:rPr>
        <w:t xml:space="preserve">the </w:t>
      </w:r>
      <w:r w:rsidR="001D2082">
        <w:rPr>
          <w:rFonts w:ascii="Arial" w:eastAsiaTheme="minorHAnsi" w:hAnsi="Arial" w:cs="Arial"/>
        </w:rPr>
        <w:t>patient]</w:t>
      </w:r>
      <w:r w:rsidRPr="00370586">
        <w:rPr>
          <w:rFonts w:ascii="Arial" w:eastAsiaTheme="minorHAnsi" w:hAnsi="Arial" w:cs="Arial"/>
        </w:rPr>
        <w:t xml:space="preserve"> goes back to prison’.</w:t>
      </w:r>
    </w:p>
    <w:p w14:paraId="6A2AA4EF" w14:textId="77777777" w:rsidR="00370586" w:rsidRPr="00370586" w:rsidRDefault="00370586" w:rsidP="00370586">
      <w:pPr>
        <w:spacing w:before="240" w:after="200"/>
        <w:contextualSpacing/>
        <w:jc w:val="both"/>
        <w:rPr>
          <w:rFonts w:ascii="Arial" w:eastAsiaTheme="minorHAnsi" w:hAnsi="Arial" w:cs="Arial"/>
        </w:rPr>
      </w:pPr>
    </w:p>
    <w:p w14:paraId="010657B2" w14:textId="0DA4F4E2" w:rsidR="00370586" w:rsidRPr="00370586" w:rsidRDefault="00370586" w:rsidP="00370586">
      <w:pPr>
        <w:spacing w:before="240" w:after="200"/>
        <w:contextualSpacing/>
        <w:jc w:val="both"/>
        <w:rPr>
          <w:rFonts w:ascii="Arial" w:eastAsiaTheme="minorHAnsi" w:hAnsi="Arial" w:cs="Arial"/>
        </w:rPr>
      </w:pPr>
      <w:r w:rsidRPr="00370586">
        <w:rPr>
          <w:rFonts w:ascii="Arial" w:eastAsiaTheme="minorHAnsi" w:hAnsi="Arial" w:cs="Arial"/>
        </w:rPr>
        <w:t xml:space="preserve">Even where efforts are made to develop longitudinal treatment plans for security patients, the implementation of these plans can, in the Tribunal’s view, be hampered by a reluctance on the part of </w:t>
      </w:r>
      <w:r w:rsidR="00BB4BB0">
        <w:rPr>
          <w:rFonts w:ascii="Arial" w:eastAsiaTheme="minorHAnsi" w:hAnsi="Arial" w:cs="Arial"/>
        </w:rPr>
        <w:t xml:space="preserve">the </w:t>
      </w:r>
      <w:r w:rsidR="000A5B9A">
        <w:rPr>
          <w:rFonts w:ascii="Arial" w:eastAsiaTheme="minorHAnsi" w:hAnsi="Arial" w:cs="Arial"/>
        </w:rPr>
        <w:t xml:space="preserve">relevant </w:t>
      </w:r>
      <w:r w:rsidRPr="00370586">
        <w:rPr>
          <w:rFonts w:ascii="Arial" w:eastAsiaTheme="minorHAnsi" w:hAnsi="Arial" w:cs="Arial"/>
        </w:rPr>
        <w:t>AMHS to fully collaborate on the transfer of a patient’s care from the forensic system.  One potential consequence of this is that former security patients can continue to be detained and treated at Thomas Embling Hospital as a compulsory patient on an ITO, in some cases for prolonged periods of time.</w:t>
      </w:r>
    </w:p>
    <w:p w14:paraId="6B5EE63C" w14:textId="77777777" w:rsidR="00370586" w:rsidRPr="00370586" w:rsidRDefault="00370586" w:rsidP="00370586">
      <w:pPr>
        <w:spacing w:before="240" w:after="200"/>
        <w:contextualSpacing/>
        <w:jc w:val="both"/>
        <w:rPr>
          <w:rFonts w:ascii="Arial" w:eastAsiaTheme="minorHAnsi" w:hAnsi="Arial" w:cs="Arial"/>
        </w:rPr>
      </w:pPr>
    </w:p>
    <w:p w14:paraId="32B369D6" w14:textId="4843567D" w:rsidR="00370586" w:rsidRPr="00370586" w:rsidRDefault="00370586" w:rsidP="00370586">
      <w:pPr>
        <w:spacing w:before="240" w:after="200"/>
        <w:contextualSpacing/>
        <w:jc w:val="both"/>
        <w:rPr>
          <w:rFonts w:ascii="Arial" w:eastAsiaTheme="minorHAnsi" w:hAnsi="Arial" w:cs="Arial"/>
        </w:rPr>
      </w:pPr>
      <w:r w:rsidRPr="00370586">
        <w:rPr>
          <w:rFonts w:ascii="Arial" w:eastAsiaTheme="minorHAnsi" w:hAnsi="Arial" w:cs="Arial"/>
        </w:rPr>
        <w:t xml:space="preserve">The Tribunal accepts that the circumstances of a number of these individuals are complex, require very careful planning and that progress will at times be slow.  However, similar to the point made above regarding complex consumers, there can at times appear to be an active resistance to collaboration.  This can transform forensic mental health from being a highly specialised but still integrated component of mental health service provision to an isolated branch of service delivery, and as a consequence of this an individual </w:t>
      </w:r>
      <w:r w:rsidR="001D2082">
        <w:rPr>
          <w:rFonts w:ascii="Arial" w:eastAsiaTheme="minorHAnsi" w:hAnsi="Arial" w:cs="Arial"/>
        </w:rPr>
        <w:t>patient</w:t>
      </w:r>
      <w:r w:rsidRPr="00370586">
        <w:rPr>
          <w:rFonts w:ascii="Arial" w:eastAsiaTheme="minorHAnsi" w:hAnsi="Arial" w:cs="Arial"/>
        </w:rPr>
        <w:t>’s progress can stall.  Risk will often be cited as the barrier to progress in such cases, and the Tribunal recognises that risk does need to be carefully managed.  However, from the Tribunal’s observations:</w:t>
      </w:r>
    </w:p>
    <w:p w14:paraId="27EFF443" w14:textId="77777777" w:rsidR="00370586" w:rsidRPr="00370586" w:rsidRDefault="00370586" w:rsidP="00370586">
      <w:pPr>
        <w:spacing w:before="240" w:after="200"/>
        <w:contextualSpacing/>
        <w:jc w:val="both"/>
        <w:rPr>
          <w:rFonts w:ascii="Arial" w:eastAsiaTheme="minorHAnsi" w:hAnsi="Arial" w:cs="Arial"/>
        </w:rPr>
      </w:pPr>
    </w:p>
    <w:p w14:paraId="3B7A66B0" w14:textId="150E869B" w:rsidR="00370586" w:rsidRPr="00370586" w:rsidRDefault="00370586" w:rsidP="00370586">
      <w:pPr>
        <w:numPr>
          <w:ilvl w:val="0"/>
          <w:numId w:val="30"/>
        </w:numPr>
        <w:spacing w:before="240" w:after="200"/>
        <w:contextualSpacing/>
        <w:jc w:val="both"/>
        <w:rPr>
          <w:rFonts w:ascii="Arial" w:eastAsiaTheme="minorHAnsi" w:hAnsi="Arial" w:cs="Arial"/>
        </w:rPr>
      </w:pPr>
      <w:r w:rsidRPr="00370586">
        <w:rPr>
          <w:rFonts w:ascii="Arial" w:eastAsiaTheme="minorHAnsi" w:hAnsi="Arial" w:cs="Arial"/>
        </w:rPr>
        <w:t>A near exclusive focus on risk becomes a barrier to any meaningful collaboration, i.e.</w:t>
      </w:r>
      <w:r w:rsidR="004D6791">
        <w:rPr>
          <w:rFonts w:ascii="Arial" w:eastAsiaTheme="minorHAnsi" w:hAnsi="Arial" w:cs="Arial"/>
        </w:rPr>
        <w:t xml:space="preserve"> r</w:t>
      </w:r>
      <w:r w:rsidRPr="00370586">
        <w:rPr>
          <w:rFonts w:ascii="Arial" w:eastAsiaTheme="minorHAnsi" w:hAnsi="Arial" w:cs="Arial"/>
        </w:rPr>
        <w:t>ather than being identified as a significant aspect of treatment planning that needs to be a focus of collaboration, risk becomes a justification for not engaging in collaborative treatment planning.</w:t>
      </w:r>
    </w:p>
    <w:p w14:paraId="61C23831" w14:textId="77777777" w:rsidR="00370586" w:rsidRPr="00370586" w:rsidRDefault="00370586" w:rsidP="00370586">
      <w:pPr>
        <w:spacing w:before="240" w:after="200"/>
        <w:ind w:left="720"/>
        <w:contextualSpacing/>
        <w:jc w:val="both"/>
        <w:rPr>
          <w:rFonts w:ascii="Arial" w:eastAsiaTheme="minorHAnsi" w:hAnsi="Arial" w:cs="Arial"/>
        </w:rPr>
      </w:pPr>
    </w:p>
    <w:p w14:paraId="72F289DD" w14:textId="36BC88E2" w:rsidR="00370586" w:rsidRPr="00370586" w:rsidRDefault="00370586" w:rsidP="00370586">
      <w:pPr>
        <w:numPr>
          <w:ilvl w:val="0"/>
          <w:numId w:val="30"/>
        </w:numPr>
        <w:spacing w:before="240" w:after="200"/>
        <w:contextualSpacing/>
        <w:jc w:val="both"/>
        <w:rPr>
          <w:rFonts w:ascii="Arial" w:eastAsiaTheme="minorHAnsi" w:hAnsi="Arial" w:cs="Arial"/>
        </w:rPr>
      </w:pPr>
      <w:r w:rsidRPr="00370586">
        <w:rPr>
          <w:rFonts w:ascii="Arial" w:eastAsiaTheme="minorHAnsi" w:hAnsi="Arial" w:cs="Arial"/>
        </w:rPr>
        <w:t>It is a symptom of a stretched and fragmented service system that shared responsibility for and responses to risk can seem to be beyond reach.  Rather than responsibility for risk management being viewed collectively, and therefore shared by what should be the complementary components of a mental health system, it sits solely on the shoulders of the service or treating team that has direct responsibility for a person’s treatment and support.  (Further issues related to risk and risk management are covered below at</w:t>
      </w:r>
      <w:r w:rsidR="000A5B9A">
        <w:rPr>
          <w:rFonts w:ascii="Arial" w:eastAsiaTheme="minorHAnsi" w:hAnsi="Arial" w:cs="Arial"/>
        </w:rPr>
        <w:t xml:space="preserve"> 3.1.2 and 3.1.3</w:t>
      </w:r>
      <w:r w:rsidRPr="00370586">
        <w:rPr>
          <w:rFonts w:ascii="Arial" w:eastAsiaTheme="minorHAnsi" w:hAnsi="Arial" w:cs="Arial"/>
        </w:rPr>
        <w:t>.)</w:t>
      </w:r>
    </w:p>
    <w:p w14:paraId="141379A9" w14:textId="77777777" w:rsidR="00543059" w:rsidRDefault="00543059" w:rsidP="00370586">
      <w:pPr>
        <w:keepNext/>
        <w:keepLines/>
        <w:spacing w:before="280" w:after="120"/>
        <w:contextualSpacing/>
        <w:jc w:val="both"/>
        <w:outlineLvl w:val="2"/>
        <w:rPr>
          <w:rFonts w:ascii="Arial" w:eastAsia="MS Gothic" w:hAnsi="Arial"/>
          <w:b/>
          <w:bCs/>
          <w:sz w:val="24"/>
          <w:szCs w:val="24"/>
        </w:rPr>
      </w:pPr>
    </w:p>
    <w:p w14:paraId="3C85DC48" w14:textId="6EA04319" w:rsidR="00370586" w:rsidRPr="00370586" w:rsidRDefault="00370586" w:rsidP="00370586">
      <w:pPr>
        <w:keepNext/>
        <w:keepLines/>
        <w:spacing w:before="280" w:after="120"/>
        <w:contextualSpacing/>
        <w:jc w:val="both"/>
        <w:outlineLvl w:val="2"/>
        <w:rPr>
          <w:rFonts w:ascii="Arial" w:eastAsia="MS Gothic" w:hAnsi="Arial"/>
          <w:b/>
          <w:bCs/>
          <w:sz w:val="24"/>
          <w:szCs w:val="24"/>
        </w:rPr>
      </w:pPr>
      <w:r w:rsidRPr="00370586">
        <w:rPr>
          <w:rFonts w:ascii="Arial" w:eastAsia="MS Gothic" w:hAnsi="Arial"/>
          <w:b/>
          <w:bCs/>
          <w:sz w:val="24"/>
          <w:szCs w:val="24"/>
        </w:rPr>
        <w:t xml:space="preserve">1.2  </w:t>
      </w:r>
      <w:r w:rsidR="007259EB">
        <w:rPr>
          <w:rFonts w:ascii="Arial" w:eastAsia="MS Gothic" w:hAnsi="Arial"/>
          <w:b/>
          <w:bCs/>
          <w:sz w:val="24"/>
          <w:szCs w:val="24"/>
        </w:rPr>
        <w:t>The impacts of l</w:t>
      </w:r>
      <w:r w:rsidRPr="00370586">
        <w:rPr>
          <w:rFonts w:ascii="Arial" w:eastAsia="MS Gothic" w:hAnsi="Arial"/>
          <w:b/>
          <w:bCs/>
          <w:sz w:val="24"/>
          <w:szCs w:val="24"/>
        </w:rPr>
        <w:t>imited resources / capacity</w:t>
      </w:r>
    </w:p>
    <w:p w14:paraId="0819C4D5" w14:textId="77777777" w:rsidR="00543059" w:rsidRDefault="00543059" w:rsidP="00370586">
      <w:pPr>
        <w:spacing w:after="120"/>
        <w:contextualSpacing/>
        <w:jc w:val="both"/>
        <w:rPr>
          <w:rFonts w:ascii="Arial" w:eastAsia="Times" w:hAnsi="Arial"/>
        </w:rPr>
      </w:pPr>
    </w:p>
    <w:p w14:paraId="76609995" w14:textId="35BCA535" w:rsidR="00370586" w:rsidRPr="00370586" w:rsidRDefault="00370586" w:rsidP="00370586">
      <w:pPr>
        <w:spacing w:after="120"/>
        <w:contextualSpacing/>
        <w:jc w:val="both"/>
        <w:rPr>
          <w:rFonts w:ascii="Arial" w:eastAsia="Times" w:hAnsi="Arial"/>
        </w:rPr>
      </w:pPr>
      <w:r w:rsidRPr="00370586">
        <w:rPr>
          <w:rFonts w:ascii="Arial" w:eastAsia="Times" w:hAnsi="Arial"/>
        </w:rPr>
        <w:t>Undoubtedly, many of the submissions to the Royal Commission will address the significant gap between the demand for and available supply of mental health services.  The significance of this issue might seem to give rise to a paradox regarding the Tribunal’s perspective or submission.  The functions of the Tribunal are such that it only comes into contact with people who are actually receiving mental health services, but often would prefer not to.  Despite this, the Tribunal does observe a range of consequences arising from under-resourcing and stretched capacity.  In particular the Tribunal is concerned that resourcing issues distort the intended operation of the Act – this is addressed in detail below (</w:t>
      </w:r>
      <w:r w:rsidR="000A5B9A">
        <w:rPr>
          <w:rFonts w:ascii="Arial" w:eastAsia="Times" w:hAnsi="Arial"/>
        </w:rPr>
        <w:t>at 3.1.2</w:t>
      </w:r>
      <w:r w:rsidRPr="00370586">
        <w:rPr>
          <w:rFonts w:ascii="Arial" w:eastAsia="Times" w:hAnsi="Arial"/>
        </w:rPr>
        <w:t>).  The Tribunal is also of the view that limited resources and capacity impede the realisation of the principles of the Act and restrict the breadth of services available to consumers.</w:t>
      </w:r>
    </w:p>
    <w:p w14:paraId="72F0EAC1" w14:textId="77777777" w:rsidR="00370586" w:rsidRPr="00370586" w:rsidRDefault="00370586" w:rsidP="00370586">
      <w:pPr>
        <w:spacing w:after="120"/>
        <w:contextualSpacing/>
        <w:jc w:val="both"/>
        <w:rPr>
          <w:rFonts w:ascii="Arial" w:eastAsia="Times" w:hAnsi="Arial"/>
        </w:rPr>
      </w:pPr>
    </w:p>
    <w:p w14:paraId="1F6AD13F" w14:textId="0E1948C3" w:rsidR="00370586" w:rsidRPr="00370586" w:rsidRDefault="00370586" w:rsidP="00370586">
      <w:pPr>
        <w:spacing w:after="120"/>
        <w:contextualSpacing/>
        <w:jc w:val="both"/>
        <w:rPr>
          <w:rFonts w:ascii="Arial" w:eastAsia="Times" w:hAnsi="Arial"/>
          <w:b/>
        </w:rPr>
      </w:pPr>
      <w:r w:rsidRPr="00370586">
        <w:rPr>
          <w:rFonts w:ascii="Arial" w:eastAsia="Times" w:hAnsi="Arial"/>
          <w:b/>
        </w:rPr>
        <w:t xml:space="preserve">1.2.1  </w:t>
      </w:r>
      <w:bookmarkStart w:id="10" w:name="_Hlk11946185"/>
      <w:r w:rsidR="00D10099">
        <w:rPr>
          <w:rFonts w:ascii="Arial" w:eastAsia="Times" w:hAnsi="Arial"/>
          <w:b/>
        </w:rPr>
        <w:t>Short</w:t>
      </w:r>
      <w:r w:rsidR="007259EB">
        <w:rPr>
          <w:rFonts w:ascii="Arial" w:eastAsia="Times" w:hAnsi="Arial"/>
          <w:b/>
        </w:rPr>
        <w:t>-lived therapeutic relationships – an impediment to r</w:t>
      </w:r>
      <w:r w:rsidRPr="00370586">
        <w:rPr>
          <w:rFonts w:ascii="Arial" w:eastAsia="Times" w:hAnsi="Arial"/>
          <w:b/>
        </w:rPr>
        <w:t>ealising the principles of the Act</w:t>
      </w:r>
      <w:bookmarkEnd w:id="10"/>
    </w:p>
    <w:p w14:paraId="5FEA1D59" w14:textId="77777777" w:rsidR="00370586" w:rsidRPr="00370586" w:rsidRDefault="00370586" w:rsidP="00370586">
      <w:pPr>
        <w:spacing w:after="120"/>
        <w:contextualSpacing/>
        <w:jc w:val="both"/>
        <w:rPr>
          <w:rFonts w:ascii="Arial" w:eastAsia="Times" w:hAnsi="Arial"/>
        </w:rPr>
      </w:pPr>
    </w:p>
    <w:p w14:paraId="3374D9C4"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The relevance of the mental health principles is global, i.e. they are not confined to compulsory treatment rather they articulate objectives and obligations that should guide the delivery of treatment and support to all consumers and carers.  Resourcing issues cannot fully absolve a failure to adhere to the principles of the Act, but it would be both unfair and unrealistic not to acknowledge that the scarcity of resources is a significant impediment to mental health services being able to fully engage with, and operate in a manner, that promotes the realisation of those principles.</w:t>
      </w:r>
    </w:p>
    <w:p w14:paraId="24D30667" w14:textId="77777777" w:rsidR="00370586" w:rsidRPr="00370586" w:rsidRDefault="00370586" w:rsidP="00370586">
      <w:pPr>
        <w:spacing w:after="120"/>
        <w:contextualSpacing/>
        <w:jc w:val="both"/>
        <w:rPr>
          <w:rFonts w:ascii="Arial" w:eastAsia="Times" w:hAnsi="Arial"/>
        </w:rPr>
      </w:pPr>
    </w:p>
    <w:p w14:paraId="4EA95ADC" w14:textId="1FDA9E0D" w:rsidR="00370586" w:rsidRPr="00370586" w:rsidRDefault="00CA3E58" w:rsidP="00370586">
      <w:pPr>
        <w:spacing w:after="120"/>
        <w:contextualSpacing/>
        <w:jc w:val="both"/>
        <w:rPr>
          <w:rFonts w:ascii="Arial" w:eastAsia="Times" w:hAnsi="Arial"/>
        </w:rPr>
      </w:pPr>
      <w:r w:rsidRPr="00950137">
        <w:rPr>
          <w:rFonts w:ascii="Arial" w:eastAsia="Times" w:hAnsi="Arial"/>
        </w:rPr>
        <w:t>A</w:t>
      </w:r>
      <w:r w:rsidR="00370586" w:rsidRPr="00950137">
        <w:rPr>
          <w:rFonts w:ascii="Arial" w:eastAsia="Times" w:hAnsi="Arial"/>
        </w:rPr>
        <w:t xml:space="preserve"> phenomenon observed by the Tribunal that is partly a consequence of limited resources and capacity, is the prevalence of relatively short relationships between consumers and the members of their treating team.  It would be reasonable to expect that when a person has been a compulsory patient for any length of time there would have been the opportunity for them to get to know the members of their treating team and begin to develop a therapeutic relationship.  </w:t>
      </w:r>
      <w:r w:rsidR="001E5EAA" w:rsidRPr="00950137">
        <w:rPr>
          <w:rFonts w:ascii="Arial" w:eastAsia="Times" w:hAnsi="Arial"/>
        </w:rPr>
        <w:t>T</w:t>
      </w:r>
      <w:r w:rsidR="00370586" w:rsidRPr="00950137">
        <w:rPr>
          <w:rFonts w:ascii="Arial" w:eastAsia="Times" w:hAnsi="Arial"/>
        </w:rPr>
        <w:t xml:space="preserve">his is not </w:t>
      </w:r>
      <w:r w:rsidR="001E5EAA" w:rsidRPr="00950137">
        <w:rPr>
          <w:rFonts w:ascii="Arial" w:eastAsia="Times" w:hAnsi="Arial"/>
        </w:rPr>
        <w:t>always t</w:t>
      </w:r>
      <w:r w:rsidR="00370586" w:rsidRPr="00950137">
        <w:rPr>
          <w:rFonts w:ascii="Arial" w:eastAsia="Times" w:hAnsi="Arial"/>
        </w:rPr>
        <w:t>he case.</w:t>
      </w:r>
      <w:r w:rsidR="001E5EAA" w:rsidRPr="00950137">
        <w:rPr>
          <w:rFonts w:ascii="Arial" w:eastAsia="Times" w:hAnsi="Arial"/>
        </w:rPr>
        <w:t xml:space="preserve">  </w:t>
      </w:r>
      <w:r w:rsidRPr="00950137">
        <w:rPr>
          <w:rFonts w:ascii="Arial" w:eastAsia="Times" w:hAnsi="Arial"/>
        </w:rPr>
        <w:t xml:space="preserve">The rotation of a significant number of medical staff at regular intervals (in accordance with training programs) builds in a structural impediment to longitudinal </w:t>
      </w:r>
      <w:r w:rsidRPr="00950137">
        <w:rPr>
          <w:rFonts w:ascii="Arial" w:eastAsia="Times" w:hAnsi="Arial"/>
        </w:rPr>
        <w:lastRenderedPageBreak/>
        <w:t>relationships.  This is over and above changes associated with general staff movements and changes made to arrangements for treatment and care on either an individual or broader basis.</w:t>
      </w:r>
      <w:r w:rsidR="00ED1B9B" w:rsidRPr="00950137">
        <w:rPr>
          <w:rStyle w:val="FootnoteReference"/>
          <w:rFonts w:ascii="Arial" w:eastAsia="Times" w:hAnsi="Arial"/>
        </w:rPr>
        <w:footnoteReference w:id="27"/>
      </w:r>
    </w:p>
    <w:p w14:paraId="520F81AA" w14:textId="77777777" w:rsidR="00370586" w:rsidRPr="00370586" w:rsidRDefault="00370586" w:rsidP="00370586">
      <w:pPr>
        <w:spacing w:after="120"/>
        <w:contextualSpacing/>
        <w:jc w:val="both"/>
        <w:rPr>
          <w:rFonts w:ascii="Arial" w:eastAsia="Times" w:hAnsi="Arial"/>
        </w:rPr>
      </w:pPr>
    </w:p>
    <w:p w14:paraId="70CB60BB" w14:textId="62D16653"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A level of longevity and continuity in the members of a person’s treating team is vital to </w:t>
      </w:r>
      <w:r w:rsidR="004A72C0">
        <w:rPr>
          <w:rFonts w:ascii="Arial" w:eastAsia="Times" w:hAnsi="Arial"/>
        </w:rPr>
        <w:t>the quality of care provided</w:t>
      </w:r>
      <w:r w:rsidR="007259EB">
        <w:rPr>
          <w:rFonts w:ascii="Arial" w:eastAsia="Times" w:hAnsi="Arial"/>
        </w:rPr>
        <w:t>,</w:t>
      </w:r>
      <w:r w:rsidR="004A72C0">
        <w:rPr>
          <w:rFonts w:ascii="Arial" w:eastAsia="Times" w:hAnsi="Arial"/>
        </w:rPr>
        <w:t xml:space="preserve"> and to </w:t>
      </w:r>
      <w:r w:rsidR="007259EB">
        <w:rPr>
          <w:rFonts w:ascii="Arial" w:eastAsia="Times" w:hAnsi="Arial"/>
        </w:rPr>
        <w:t xml:space="preserve">maximising the likelihood </w:t>
      </w:r>
      <w:r w:rsidRPr="00370586">
        <w:rPr>
          <w:rFonts w:ascii="Arial" w:eastAsia="Times" w:hAnsi="Arial"/>
        </w:rPr>
        <w:t>that</w:t>
      </w:r>
      <w:r w:rsidR="00567E4E">
        <w:rPr>
          <w:rFonts w:ascii="Arial" w:eastAsia="Times" w:hAnsi="Arial"/>
        </w:rPr>
        <w:t xml:space="preserve"> a</w:t>
      </w:r>
      <w:r w:rsidRPr="00370586">
        <w:rPr>
          <w:rFonts w:ascii="Arial" w:eastAsia="Times" w:hAnsi="Arial"/>
        </w:rPr>
        <w:t xml:space="preserve"> person’s experience of treatment </w:t>
      </w:r>
      <w:r w:rsidR="00567E4E">
        <w:rPr>
          <w:rFonts w:ascii="Arial" w:eastAsia="Times" w:hAnsi="Arial"/>
        </w:rPr>
        <w:t>is</w:t>
      </w:r>
      <w:r w:rsidRPr="00370586">
        <w:rPr>
          <w:rFonts w:ascii="Arial" w:eastAsia="Times" w:hAnsi="Arial"/>
        </w:rPr>
        <w:t xml:space="preserve"> one that reflects the mental health principles.  Consumers and clinicians need to know each other </w:t>
      </w:r>
      <w:r w:rsidR="00D10099">
        <w:rPr>
          <w:rFonts w:ascii="Arial" w:eastAsia="Times" w:hAnsi="Arial"/>
        </w:rPr>
        <w:t xml:space="preserve">and build a level of trust </w:t>
      </w:r>
      <w:r w:rsidRPr="00370586">
        <w:rPr>
          <w:rFonts w:ascii="Arial" w:eastAsia="Times" w:hAnsi="Arial"/>
        </w:rPr>
        <w:t>if:</w:t>
      </w:r>
    </w:p>
    <w:p w14:paraId="454AC791" w14:textId="77777777" w:rsidR="00370586" w:rsidRPr="00370586" w:rsidRDefault="00370586" w:rsidP="00370586">
      <w:pPr>
        <w:spacing w:after="120"/>
        <w:contextualSpacing/>
        <w:jc w:val="both"/>
        <w:rPr>
          <w:rFonts w:ascii="Arial" w:eastAsia="Times" w:hAnsi="Arial"/>
        </w:rPr>
      </w:pPr>
    </w:p>
    <w:p w14:paraId="60D6D33A" w14:textId="3771C7A3" w:rsidR="00370586" w:rsidRPr="00370586" w:rsidRDefault="00370586" w:rsidP="00370586">
      <w:pPr>
        <w:numPr>
          <w:ilvl w:val="0"/>
          <w:numId w:val="31"/>
        </w:numPr>
        <w:spacing w:after="120"/>
        <w:contextualSpacing/>
        <w:jc w:val="both"/>
        <w:rPr>
          <w:rFonts w:ascii="Arial" w:eastAsia="Times" w:hAnsi="Arial"/>
        </w:rPr>
      </w:pPr>
      <w:r w:rsidRPr="00370586">
        <w:rPr>
          <w:rFonts w:ascii="Arial" w:eastAsia="Times" w:hAnsi="Arial"/>
        </w:rPr>
        <w:t>treatment is to promote recovery</w:t>
      </w:r>
      <w:r w:rsidR="00567E4E">
        <w:rPr>
          <w:rFonts w:ascii="Arial" w:eastAsia="Times" w:hAnsi="Arial"/>
        </w:rPr>
        <w:t xml:space="preserve"> </w:t>
      </w:r>
      <w:r w:rsidRPr="00370586">
        <w:rPr>
          <w:rFonts w:ascii="Arial" w:eastAsia="Times" w:hAnsi="Arial"/>
        </w:rPr>
        <w:t>and community participation;</w:t>
      </w:r>
      <w:r w:rsidRPr="00370586">
        <w:rPr>
          <w:rFonts w:ascii="Arial" w:eastAsia="Times" w:hAnsi="Arial"/>
          <w:vertAlign w:val="superscript"/>
        </w:rPr>
        <w:footnoteReference w:id="28"/>
      </w:r>
    </w:p>
    <w:p w14:paraId="2C7231D6" w14:textId="77777777" w:rsidR="00370586" w:rsidRPr="00370586" w:rsidRDefault="00370586" w:rsidP="00370586">
      <w:pPr>
        <w:numPr>
          <w:ilvl w:val="0"/>
          <w:numId w:val="31"/>
        </w:numPr>
        <w:spacing w:after="120"/>
        <w:contextualSpacing/>
        <w:jc w:val="both"/>
        <w:rPr>
          <w:rFonts w:ascii="Arial" w:eastAsia="Times" w:hAnsi="Arial"/>
        </w:rPr>
      </w:pPr>
      <w:r w:rsidRPr="00370586">
        <w:rPr>
          <w:rFonts w:ascii="Arial" w:eastAsia="Times" w:hAnsi="Arial"/>
        </w:rPr>
        <w:t>there is to be supported decision making;</w:t>
      </w:r>
      <w:r w:rsidRPr="00370586">
        <w:rPr>
          <w:rFonts w:ascii="Arial" w:eastAsia="Times" w:hAnsi="Arial"/>
          <w:vertAlign w:val="superscript"/>
        </w:rPr>
        <w:footnoteReference w:id="29"/>
      </w:r>
    </w:p>
    <w:p w14:paraId="33EEA972" w14:textId="77777777" w:rsidR="00370586" w:rsidRPr="00370586" w:rsidRDefault="00370586" w:rsidP="00370586">
      <w:pPr>
        <w:numPr>
          <w:ilvl w:val="0"/>
          <w:numId w:val="31"/>
        </w:numPr>
        <w:spacing w:after="120"/>
        <w:contextualSpacing/>
        <w:jc w:val="both"/>
        <w:rPr>
          <w:rFonts w:ascii="Arial" w:eastAsia="Times" w:hAnsi="Arial"/>
        </w:rPr>
      </w:pPr>
      <w:r w:rsidRPr="00370586">
        <w:rPr>
          <w:rFonts w:ascii="Arial" w:eastAsia="Times" w:hAnsi="Arial"/>
        </w:rPr>
        <w:t>dignity of risk is to be afforded to consumers;</w:t>
      </w:r>
      <w:r w:rsidRPr="00370586">
        <w:rPr>
          <w:rFonts w:ascii="Arial" w:eastAsia="Times" w:hAnsi="Arial"/>
          <w:vertAlign w:val="superscript"/>
        </w:rPr>
        <w:footnoteReference w:id="30"/>
      </w:r>
    </w:p>
    <w:p w14:paraId="65E757EC" w14:textId="77777777" w:rsidR="00370586" w:rsidRPr="00370586" w:rsidRDefault="00370586" w:rsidP="00370586">
      <w:pPr>
        <w:numPr>
          <w:ilvl w:val="0"/>
          <w:numId w:val="31"/>
        </w:numPr>
        <w:spacing w:after="120"/>
        <w:contextualSpacing/>
        <w:jc w:val="both"/>
        <w:rPr>
          <w:rFonts w:ascii="Arial" w:eastAsia="Times" w:hAnsi="Arial"/>
        </w:rPr>
      </w:pPr>
      <w:r w:rsidRPr="00370586">
        <w:rPr>
          <w:rFonts w:ascii="Arial" w:eastAsia="Times" w:hAnsi="Arial"/>
        </w:rPr>
        <w:t>holistic care and support are to be provided;</w:t>
      </w:r>
      <w:r w:rsidRPr="00370586">
        <w:rPr>
          <w:rFonts w:ascii="Arial" w:eastAsia="Times" w:hAnsi="Arial"/>
          <w:vertAlign w:val="superscript"/>
        </w:rPr>
        <w:footnoteReference w:id="31"/>
      </w:r>
      <w:r w:rsidRPr="00370586">
        <w:rPr>
          <w:rFonts w:ascii="Arial" w:eastAsia="Times" w:hAnsi="Arial"/>
        </w:rPr>
        <w:t xml:space="preserve"> and</w:t>
      </w:r>
    </w:p>
    <w:p w14:paraId="7724ECF2" w14:textId="77777777" w:rsidR="00370586" w:rsidRPr="00370586" w:rsidRDefault="00370586" w:rsidP="00370586">
      <w:pPr>
        <w:numPr>
          <w:ilvl w:val="0"/>
          <w:numId w:val="31"/>
        </w:numPr>
        <w:spacing w:after="120"/>
        <w:contextualSpacing/>
        <w:jc w:val="both"/>
        <w:rPr>
          <w:rFonts w:ascii="Arial" w:eastAsia="Times" w:hAnsi="Arial"/>
        </w:rPr>
      </w:pPr>
      <w:r w:rsidRPr="00370586">
        <w:rPr>
          <w:rFonts w:ascii="Arial" w:eastAsia="Times" w:hAnsi="Arial"/>
        </w:rPr>
        <w:t>carers are to be meaningfully involved in treatment.</w:t>
      </w:r>
      <w:r w:rsidRPr="00370586">
        <w:rPr>
          <w:rFonts w:ascii="Arial" w:eastAsia="Times" w:hAnsi="Arial"/>
          <w:vertAlign w:val="superscript"/>
        </w:rPr>
        <w:footnoteReference w:id="32"/>
      </w:r>
    </w:p>
    <w:p w14:paraId="7814D39F" w14:textId="4E651921" w:rsidR="00567E4E" w:rsidRDefault="00567E4E" w:rsidP="00543059">
      <w:pPr>
        <w:spacing w:before="240" w:after="200"/>
        <w:contextualSpacing/>
        <w:jc w:val="both"/>
        <w:rPr>
          <w:rFonts w:ascii="Arial" w:eastAsiaTheme="minorHAnsi" w:hAnsi="Arial" w:cs="Arial"/>
        </w:rPr>
      </w:pPr>
    </w:p>
    <w:p w14:paraId="1781F390" w14:textId="07E37DE2" w:rsidR="007E26AB" w:rsidRPr="007E26AB" w:rsidRDefault="007E26AB" w:rsidP="00543059">
      <w:pPr>
        <w:spacing w:before="240" w:after="200"/>
        <w:contextualSpacing/>
        <w:jc w:val="both"/>
        <w:rPr>
          <w:rFonts w:ascii="Arial" w:eastAsiaTheme="minorHAnsi" w:hAnsi="Arial" w:cs="Arial"/>
        </w:rPr>
      </w:pPr>
      <w:r>
        <w:rPr>
          <w:rFonts w:ascii="Arial" w:eastAsiaTheme="minorHAnsi" w:hAnsi="Arial" w:cs="Arial"/>
        </w:rPr>
        <w:t xml:space="preserve">What can be achieved when a consumer and </w:t>
      </w:r>
      <w:r w:rsidR="00A60EBC">
        <w:rPr>
          <w:rFonts w:ascii="Arial" w:eastAsiaTheme="minorHAnsi" w:hAnsi="Arial" w:cs="Arial"/>
        </w:rPr>
        <w:t xml:space="preserve">his or </w:t>
      </w:r>
      <w:r>
        <w:rPr>
          <w:rFonts w:ascii="Arial" w:eastAsiaTheme="minorHAnsi" w:hAnsi="Arial" w:cs="Arial"/>
        </w:rPr>
        <w:t>her treating team get to know each other over time is demonstrated by the case of Shane.</w:t>
      </w:r>
    </w:p>
    <w:p w14:paraId="46E2488F" w14:textId="72066FA3" w:rsidR="007E26AB" w:rsidRPr="007E26AB" w:rsidRDefault="007E26AB" w:rsidP="00543059">
      <w:pPr>
        <w:spacing w:before="240" w:after="200"/>
        <w:contextualSpacing/>
        <w:jc w:val="both"/>
        <w:rPr>
          <w:rFonts w:ascii="Arial" w:eastAsiaTheme="minorHAns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E26AB" w:rsidRPr="007E26AB" w14:paraId="30141031" w14:textId="77777777" w:rsidTr="00E26742">
        <w:tc>
          <w:tcPr>
            <w:tcW w:w="8522" w:type="dxa"/>
            <w:shd w:val="clear" w:color="auto" w:fill="EAF1DD" w:themeFill="accent3" w:themeFillTint="33"/>
          </w:tcPr>
          <w:p w14:paraId="7A1D2885" w14:textId="77777777" w:rsidR="007E26AB" w:rsidRPr="007E26AB" w:rsidRDefault="007E26AB" w:rsidP="007E26AB">
            <w:pPr>
              <w:keepNext/>
              <w:keepLines/>
              <w:spacing w:before="40"/>
              <w:jc w:val="center"/>
              <w:outlineLvl w:val="1"/>
              <w:rPr>
                <w:rFonts w:ascii="Arial" w:eastAsia="Calibri" w:hAnsi="Arial" w:cs="Arial"/>
                <w:color w:val="365F91" w:themeColor="accent1" w:themeShade="BF"/>
              </w:rPr>
            </w:pPr>
            <w:bookmarkStart w:id="11" w:name="_Toc12267339"/>
            <w:r w:rsidRPr="007E26AB">
              <w:rPr>
                <w:rFonts w:ascii="Arial" w:eastAsia="Calibri" w:hAnsi="Arial" w:cs="Arial"/>
                <w:b/>
                <w:color w:val="365F91" w:themeColor="accent1" w:themeShade="BF"/>
              </w:rPr>
              <w:t>‘Shane’</w:t>
            </w:r>
            <w:bookmarkEnd w:id="11"/>
          </w:p>
          <w:p w14:paraId="4BA86223" w14:textId="0D7B90FD" w:rsidR="007E26AB" w:rsidRPr="007E26AB" w:rsidRDefault="007E26AB" w:rsidP="007E26AB">
            <w:pPr>
              <w:numPr>
                <w:ilvl w:val="6"/>
                <w:numId w:val="2"/>
              </w:numPr>
              <w:spacing w:before="80" w:after="120"/>
              <w:ind w:left="227" w:hanging="227"/>
              <w:jc w:val="both"/>
              <w:rPr>
                <w:rFonts w:ascii="Arial" w:hAnsi="Arial" w:cs="Arial"/>
                <w:bCs/>
              </w:rPr>
            </w:pPr>
            <w:r w:rsidRPr="007E26AB">
              <w:rPr>
                <w:rFonts w:ascii="Arial" w:hAnsi="Arial" w:cs="Arial"/>
                <w:bCs/>
              </w:rPr>
              <w:t>Shane, in his early forties, has a long and complex history of mental ill health and compulsory treatment and needs immediate treatment to prevent serious deterioration in his mental health as well as serious harm to himself and others. Shane also has a history of substance use and homelessness but now has permanent accommodation that provides tailored support services for people with complex needs.</w:t>
            </w:r>
          </w:p>
          <w:p w14:paraId="15C9C13E" w14:textId="4F6748F9" w:rsidR="007E26AB" w:rsidRPr="007E26AB" w:rsidRDefault="007E26AB" w:rsidP="007E26AB">
            <w:pPr>
              <w:numPr>
                <w:ilvl w:val="6"/>
                <w:numId w:val="2"/>
              </w:numPr>
              <w:spacing w:before="80" w:after="120"/>
              <w:ind w:left="227" w:hanging="227"/>
              <w:jc w:val="both"/>
              <w:rPr>
                <w:rFonts w:ascii="Arial" w:hAnsi="Arial" w:cs="Arial"/>
                <w:bCs/>
              </w:rPr>
            </w:pPr>
            <w:r w:rsidRPr="007E26AB">
              <w:rPr>
                <w:rFonts w:ascii="Arial" w:hAnsi="Arial" w:cs="Arial"/>
                <w:bCs/>
              </w:rPr>
              <w:t xml:space="preserve">Shane often disengages </w:t>
            </w:r>
            <w:r w:rsidR="000A5B9A">
              <w:rPr>
                <w:rFonts w:ascii="Arial" w:hAnsi="Arial" w:cs="Arial"/>
                <w:bCs/>
              </w:rPr>
              <w:t>from</w:t>
            </w:r>
            <w:r w:rsidRPr="007E26AB">
              <w:rPr>
                <w:rFonts w:ascii="Arial" w:hAnsi="Arial" w:cs="Arial"/>
                <w:bCs/>
              </w:rPr>
              <w:t xml:space="preserve"> treatment and when this happens his mental health deteriorates rapidly. For this reason, the treating team administers treatment via depot (long-acting injection). Shane dislikes receiving this form of treatment and administration of it has been a long-standing source of conflict between Shane and his previous treating teams. </w:t>
            </w:r>
            <w:proofErr w:type="gramStart"/>
            <w:r w:rsidRPr="007E26AB">
              <w:rPr>
                <w:rFonts w:ascii="Arial" w:hAnsi="Arial" w:cs="Arial"/>
                <w:bCs/>
              </w:rPr>
              <w:t>The end result</w:t>
            </w:r>
            <w:proofErr w:type="gramEnd"/>
            <w:r w:rsidRPr="007E26AB">
              <w:rPr>
                <w:rFonts w:ascii="Arial" w:hAnsi="Arial" w:cs="Arial"/>
                <w:bCs/>
              </w:rPr>
              <w:t xml:space="preserve"> has often been complete disengagement.</w:t>
            </w:r>
          </w:p>
          <w:p w14:paraId="780729E8" w14:textId="69C3A2D9" w:rsidR="007E26AB" w:rsidRPr="007E26AB" w:rsidRDefault="007E26AB" w:rsidP="007E26AB">
            <w:pPr>
              <w:numPr>
                <w:ilvl w:val="6"/>
                <w:numId w:val="2"/>
              </w:numPr>
              <w:spacing w:before="80" w:after="120"/>
              <w:ind w:left="227" w:hanging="227"/>
              <w:jc w:val="both"/>
              <w:rPr>
                <w:rFonts w:ascii="Arial" w:hAnsi="Arial" w:cs="Arial"/>
                <w:bCs/>
              </w:rPr>
            </w:pPr>
            <w:r w:rsidRPr="007E26AB">
              <w:rPr>
                <w:rFonts w:ascii="Arial" w:hAnsi="Arial" w:cs="Arial"/>
                <w:bCs/>
              </w:rPr>
              <w:t>In the last six months Shane’s treating team has negotiated a different approach to the arrangements for his treatment. Now Shane has one clinician who is responsible for administering his depot medication and a separate clinician who has nothing to do with medication and focuses solely on Shane’s broader goals and support needs.</w:t>
            </w:r>
          </w:p>
          <w:p w14:paraId="45DFA6F0" w14:textId="77777777" w:rsidR="007E26AB" w:rsidRPr="007E26AB" w:rsidRDefault="007E26AB" w:rsidP="007E26AB">
            <w:pPr>
              <w:numPr>
                <w:ilvl w:val="6"/>
                <w:numId w:val="2"/>
              </w:numPr>
              <w:spacing w:before="80" w:after="120"/>
              <w:ind w:left="227" w:hanging="227"/>
              <w:jc w:val="both"/>
              <w:rPr>
                <w:rFonts w:ascii="Arial" w:hAnsi="Arial"/>
                <w:bCs/>
                <w:sz w:val="24"/>
                <w:szCs w:val="24"/>
              </w:rPr>
            </w:pPr>
            <w:r w:rsidRPr="007E26AB">
              <w:rPr>
                <w:rFonts w:ascii="Arial" w:hAnsi="Arial" w:cs="Arial"/>
                <w:bCs/>
              </w:rPr>
              <w:t xml:space="preserve">This approach is working </w:t>
            </w:r>
            <w:proofErr w:type="gramStart"/>
            <w:r w:rsidRPr="007E26AB">
              <w:rPr>
                <w:rFonts w:ascii="Arial" w:hAnsi="Arial" w:cs="Arial"/>
                <w:bCs/>
              </w:rPr>
              <w:t>really well</w:t>
            </w:r>
            <w:proofErr w:type="gramEnd"/>
            <w:r w:rsidRPr="007E26AB">
              <w:rPr>
                <w:rFonts w:ascii="Arial" w:hAnsi="Arial" w:cs="Arial"/>
                <w:bCs/>
              </w:rPr>
              <w:t>; Shane maintains a distinction between his two treating clinicians and has developed what (in relative terms) is a long-standing therapeutic relationship with the key clinician focussing on his support needs that has the potential to continue. This, coupled with his stable supported accommodation, means that Shane has started focussing on his recovery goals including engaging in activities that are meaningful to him. To this end his key clinician is helping him with an NDIS application and they have started discussing the possibility of vocational training.</w:t>
            </w:r>
          </w:p>
        </w:tc>
      </w:tr>
    </w:tbl>
    <w:p w14:paraId="5990C07E" w14:textId="7EC29C4E" w:rsidR="00543059" w:rsidRDefault="00543059" w:rsidP="00543059">
      <w:pPr>
        <w:spacing w:before="240" w:after="200"/>
        <w:contextualSpacing/>
        <w:jc w:val="both"/>
        <w:rPr>
          <w:rFonts w:ascii="Arial" w:eastAsiaTheme="minorHAnsi" w:hAnsi="Arial" w:cs="Arial"/>
        </w:rPr>
      </w:pPr>
    </w:p>
    <w:p w14:paraId="2CB302F5" w14:textId="77777777" w:rsidR="00370586" w:rsidRPr="00370586" w:rsidRDefault="00370586" w:rsidP="00370586">
      <w:pPr>
        <w:spacing w:after="120"/>
        <w:contextualSpacing/>
        <w:jc w:val="both"/>
        <w:rPr>
          <w:rFonts w:ascii="Arial" w:eastAsia="Times" w:hAnsi="Arial"/>
          <w:b/>
        </w:rPr>
      </w:pPr>
      <w:r w:rsidRPr="00370586">
        <w:rPr>
          <w:rFonts w:ascii="Arial" w:eastAsia="Times" w:hAnsi="Arial"/>
          <w:b/>
        </w:rPr>
        <w:t>1.2.2  Medicalised model of treatment and service delivery</w:t>
      </w:r>
    </w:p>
    <w:p w14:paraId="6A853796" w14:textId="77777777" w:rsidR="00370586" w:rsidRPr="00370586" w:rsidRDefault="00370586" w:rsidP="00370586">
      <w:pPr>
        <w:spacing w:after="120"/>
        <w:contextualSpacing/>
        <w:jc w:val="both"/>
        <w:rPr>
          <w:rFonts w:ascii="Arial" w:eastAsia="Times" w:hAnsi="Arial"/>
        </w:rPr>
      </w:pPr>
    </w:p>
    <w:p w14:paraId="13B25361" w14:textId="7F739E5B" w:rsidR="00370586" w:rsidRPr="00370586" w:rsidRDefault="00370586" w:rsidP="00370586">
      <w:pPr>
        <w:spacing w:after="120"/>
        <w:contextualSpacing/>
        <w:jc w:val="both"/>
        <w:rPr>
          <w:rFonts w:ascii="Arial" w:eastAsia="Times" w:hAnsi="Arial"/>
        </w:rPr>
      </w:pPr>
      <w:r w:rsidRPr="00370586">
        <w:rPr>
          <w:rFonts w:ascii="Arial" w:eastAsia="Times" w:hAnsi="Arial"/>
        </w:rPr>
        <w:t>Despite the Act clearly encompassing and promoting a bio-psychosocial conceptualisation of mental health and responses to mental illness, Victoria’s mental health services are frequently criticised for being heavily dominated by a medical model of treatment and service delivery.  From the Tribunal’s perspective while part of the explanation</w:t>
      </w:r>
      <w:r w:rsidR="00D6597A">
        <w:rPr>
          <w:rFonts w:ascii="Arial" w:eastAsia="Times" w:hAnsi="Arial"/>
        </w:rPr>
        <w:t xml:space="preserve"> for this</w:t>
      </w:r>
      <w:r w:rsidRPr="00370586">
        <w:rPr>
          <w:rFonts w:ascii="Arial" w:eastAsia="Times" w:hAnsi="Arial"/>
        </w:rPr>
        <w:t xml:space="preserve"> is cultural, it is also due in large part to the under-resourcing of services vis-à-vis levels of demand.</w:t>
      </w:r>
    </w:p>
    <w:p w14:paraId="3B357A91" w14:textId="77777777" w:rsidR="00370586" w:rsidRPr="00370586" w:rsidRDefault="00370586" w:rsidP="00370586">
      <w:pPr>
        <w:spacing w:after="120"/>
        <w:contextualSpacing/>
        <w:jc w:val="both"/>
        <w:rPr>
          <w:rFonts w:ascii="Arial" w:eastAsia="Times" w:hAnsi="Arial"/>
        </w:rPr>
      </w:pPr>
    </w:p>
    <w:p w14:paraId="0DABEDB6" w14:textId="61CB74EB"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Psychosocial interventions take time and </w:t>
      </w:r>
      <w:r w:rsidR="003A1FCA">
        <w:rPr>
          <w:rFonts w:ascii="Arial" w:eastAsia="Times" w:hAnsi="Arial"/>
        </w:rPr>
        <w:t xml:space="preserve">require </w:t>
      </w:r>
      <w:r w:rsidRPr="00370586">
        <w:rPr>
          <w:rFonts w:ascii="Arial" w:eastAsia="Times" w:hAnsi="Arial"/>
        </w:rPr>
        <w:t xml:space="preserve">access to multi-disciplinary team members.  However, caseloads are relentlessly crushing, restricting the amount of time that can be allocated to individual consumers; while the availability of some supports such as psychological interventions often appears </w:t>
      </w:r>
      <w:r w:rsidR="00D6597A">
        <w:rPr>
          <w:rFonts w:ascii="Arial" w:eastAsia="Times" w:hAnsi="Arial"/>
        </w:rPr>
        <w:t xml:space="preserve">severely </w:t>
      </w:r>
      <w:r w:rsidRPr="00370586">
        <w:rPr>
          <w:rFonts w:ascii="Arial" w:eastAsia="Times" w:hAnsi="Arial"/>
        </w:rPr>
        <w:t xml:space="preserve">limited.  This has the frequent effect of reducing interactions between consumers, carers and treating teams to brief and repetitive discussions about </w:t>
      </w:r>
      <w:r w:rsidRPr="00370586">
        <w:rPr>
          <w:rFonts w:ascii="Arial" w:eastAsia="Times" w:hAnsi="Arial"/>
        </w:rPr>
        <w:lastRenderedPageBreak/>
        <w:t>medication; and because this is often the most contentious aspect of treatment, those interactions can also be conflictual rather than future or recovery focused.</w:t>
      </w:r>
    </w:p>
    <w:p w14:paraId="17CB1B36" w14:textId="77777777" w:rsidR="00370586" w:rsidRPr="00370586" w:rsidRDefault="00370586" w:rsidP="00370586">
      <w:pPr>
        <w:spacing w:after="120"/>
        <w:contextualSpacing/>
        <w:jc w:val="both"/>
        <w:rPr>
          <w:rFonts w:ascii="Arial" w:eastAsia="Times" w:hAnsi="Arial"/>
        </w:rPr>
      </w:pPr>
    </w:p>
    <w:p w14:paraId="65DFB404" w14:textId="723ABD59" w:rsidR="00370586" w:rsidRPr="00370586" w:rsidRDefault="00370586" w:rsidP="00370586">
      <w:pPr>
        <w:spacing w:after="120"/>
        <w:contextualSpacing/>
        <w:jc w:val="both"/>
        <w:rPr>
          <w:rFonts w:ascii="Arial" w:eastAsia="Times" w:hAnsi="Arial"/>
        </w:rPr>
      </w:pPr>
      <w:r w:rsidRPr="00370586">
        <w:rPr>
          <w:rFonts w:ascii="Arial" w:eastAsia="Times" w:hAnsi="Arial"/>
        </w:rPr>
        <w:t>In Tribunal hearings some consumers describe their experience of care as being constantly asked whether they want to harm themselves or someone else; whether they have been seeing things or hearing voices; and then being administered an injection.  Some do</w:t>
      </w:r>
      <w:r w:rsidR="000E659B">
        <w:rPr>
          <w:rFonts w:ascii="Arial" w:eastAsia="Times" w:hAnsi="Arial"/>
        </w:rPr>
        <w:t xml:space="preserve"> not</w:t>
      </w:r>
      <w:r w:rsidRPr="00370586">
        <w:rPr>
          <w:rFonts w:ascii="Arial" w:eastAsia="Times" w:hAnsi="Arial"/>
        </w:rPr>
        <w:t xml:space="preserve"> want any further contact with mental health services, but a number speak of wanting additional and different supports.</w:t>
      </w:r>
      <w:r w:rsidR="001542C8">
        <w:rPr>
          <w:rFonts w:ascii="Arial" w:eastAsia="Times" w:hAnsi="Arial"/>
        </w:rPr>
        <w:t xml:space="preserve">  </w:t>
      </w:r>
      <w:r w:rsidR="001542C8" w:rsidRPr="00ED1B9B">
        <w:rPr>
          <w:rFonts w:ascii="Arial" w:eastAsia="Times" w:hAnsi="Arial"/>
        </w:rPr>
        <w:t>Over the period April-May 2019, of those patients who attended their hearing 11% spoke of the need for additional supports to what they were being provided.</w:t>
      </w:r>
      <w:r w:rsidRPr="00370586">
        <w:rPr>
          <w:rFonts w:ascii="Arial" w:eastAsia="Times" w:hAnsi="Arial"/>
        </w:rPr>
        <w:t xml:space="preserve">  </w:t>
      </w:r>
    </w:p>
    <w:p w14:paraId="5209EFA5" w14:textId="77777777" w:rsidR="00370586" w:rsidRPr="00370586" w:rsidRDefault="00370586" w:rsidP="00370586">
      <w:pPr>
        <w:spacing w:after="120"/>
        <w:contextualSpacing/>
        <w:jc w:val="both"/>
        <w:rPr>
          <w:rFonts w:ascii="Arial" w:eastAsia="Times" w:hAnsi="Arial"/>
        </w:rPr>
      </w:pPr>
    </w:p>
    <w:p w14:paraId="623B5FE3"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Submissions by or on behalf of consumers, carers and clinicians will address in far more detail the specific services that need to be available in the future.</w:t>
      </w:r>
    </w:p>
    <w:p w14:paraId="1ADA643B" w14:textId="77777777" w:rsidR="00370586" w:rsidRPr="00370586" w:rsidRDefault="00370586" w:rsidP="00370586">
      <w:pPr>
        <w:spacing w:after="120"/>
        <w:contextualSpacing/>
        <w:jc w:val="both"/>
        <w:rPr>
          <w:rFonts w:ascii="Arial" w:eastAsia="Times" w:hAnsi="Arial"/>
          <w:b/>
        </w:rPr>
      </w:pPr>
    </w:p>
    <w:p w14:paraId="4743D9F7" w14:textId="77777777" w:rsidR="00370586" w:rsidRPr="00370586" w:rsidRDefault="00370586" w:rsidP="00370586">
      <w:pPr>
        <w:spacing w:after="120"/>
        <w:contextualSpacing/>
        <w:jc w:val="both"/>
        <w:rPr>
          <w:rFonts w:ascii="Arial" w:eastAsia="Times" w:hAnsi="Arial"/>
          <w:b/>
        </w:rPr>
      </w:pPr>
      <w:r w:rsidRPr="00370586">
        <w:rPr>
          <w:rFonts w:ascii="Arial" w:eastAsia="Times" w:hAnsi="Arial"/>
          <w:b/>
        </w:rPr>
        <w:t>1.2.3  Inequality of access</w:t>
      </w:r>
    </w:p>
    <w:p w14:paraId="110DAADB" w14:textId="77777777" w:rsidR="00370586" w:rsidRPr="00370586" w:rsidRDefault="00370586" w:rsidP="00370586">
      <w:pPr>
        <w:spacing w:after="120"/>
        <w:contextualSpacing/>
        <w:jc w:val="both"/>
        <w:rPr>
          <w:rFonts w:ascii="Arial" w:eastAsia="Times" w:hAnsi="Arial"/>
        </w:rPr>
      </w:pPr>
    </w:p>
    <w:p w14:paraId="54604A08" w14:textId="019BDFB9" w:rsidR="00370586" w:rsidRPr="00370586" w:rsidRDefault="00370586" w:rsidP="00370586">
      <w:pPr>
        <w:spacing w:after="120"/>
        <w:contextualSpacing/>
        <w:jc w:val="both"/>
        <w:rPr>
          <w:rFonts w:ascii="Arial" w:eastAsia="Times" w:hAnsi="Arial"/>
        </w:rPr>
      </w:pPr>
      <w:r w:rsidRPr="00370586">
        <w:rPr>
          <w:rFonts w:ascii="Arial" w:eastAsia="Times" w:hAnsi="Arial"/>
        </w:rPr>
        <w:t>A further distortion of service delivery and/or availability arising from the current gap between capacity and demand observed by the Tribunal is the inequality of access to services across compulsory patients and voluntary consumers.  The Tribunal is not s</w:t>
      </w:r>
      <w:r w:rsidR="001542C8">
        <w:rPr>
          <w:rFonts w:ascii="Arial" w:eastAsia="Times" w:hAnsi="Arial"/>
        </w:rPr>
        <w:t>aying</w:t>
      </w:r>
      <w:r w:rsidRPr="00370586">
        <w:rPr>
          <w:rFonts w:ascii="Arial" w:eastAsia="Times" w:hAnsi="Arial"/>
        </w:rPr>
        <w:t xml:space="preserve"> this is universal but based on issues frequently discussed in hearings is appears widespread.</w:t>
      </w:r>
    </w:p>
    <w:p w14:paraId="0D04F0C6" w14:textId="77777777" w:rsidR="00370586" w:rsidRPr="00370586" w:rsidRDefault="00370586" w:rsidP="00370586">
      <w:pPr>
        <w:spacing w:after="120"/>
        <w:contextualSpacing/>
        <w:jc w:val="both"/>
        <w:rPr>
          <w:rFonts w:ascii="Arial" w:eastAsia="Times" w:hAnsi="Arial"/>
        </w:rPr>
      </w:pPr>
    </w:p>
    <w:p w14:paraId="11958392" w14:textId="6D125A8F"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Every report for every hearing conducted by the Tribunal concerning a TO requires the person’s treating team to address the question </w:t>
      </w:r>
      <w:r w:rsidRPr="00370586">
        <w:rPr>
          <w:rFonts w:ascii="Arial" w:eastAsia="Times" w:hAnsi="Arial"/>
          <w:i/>
        </w:rPr>
        <w:t xml:space="preserve">Describe the changes or strategies that need to occur </w:t>
      </w:r>
      <w:proofErr w:type="gramStart"/>
      <w:r w:rsidRPr="00370586">
        <w:rPr>
          <w:rFonts w:ascii="Arial" w:eastAsia="Times" w:hAnsi="Arial"/>
          <w:i/>
        </w:rPr>
        <w:t>in order for</w:t>
      </w:r>
      <w:proofErr w:type="gramEnd"/>
      <w:r w:rsidRPr="00370586">
        <w:rPr>
          <w:rFonts w:ascii="Arial" w:eastAsia="Times" w:hAnsi="Arial"/>
          <w:i/>
        </w:rPr>
        <w:t xml:space="preserve"> the patient to be treated less restrictively</w:t>
      </w:r>
      <w:r w:rsidRPr="00370586">
        <w:rPr>
          <w:rFonts w:ascii="Arial" w:eastAsia="Times" w:hAnsi="Arial"/>
        </w:rPr>
        <w:t xml:space="preserve"> – in other words what is the pathway to voluntary treatment?  In the </w:t>
      </w:r>
      <w:proofErr w:type="gramStart"/>
      <w:r w:rsidR="001542C8">
        <w:rPr>
          <w:rFonts w:ascii="Arial" w:eastAsia="Times" w:hAnsi="Arial"/>
        </w:rPr>
        <w:t>vast</w:t>
      </w:r>
      <w:r w:rsidRPr="00370586">
        <w:rPr>
          <w:rFonts w:ascii="Arial" w:eastAsia="Times" w:hAnsi="Arial"/>
        </w:rPr>
        <w:t xml:space="preserve"> majority</w:t>
      </w:r>
      <w:proofErr w:type="gramEnd"/>
      <w:r w:rsidRPr="00370586">
        <w:rPr>
          <w:rFonts w:ascii="Arial" w:eastAsia="Times" w:hAnsi="Arial"/>
        </w:rPr>
        <w:t xml:space="preserve"> of cases the response is one-dimensional in that the onus is placed entirely on the compulsory patient to effectively do exactly as they are advised, at which point they may become a voluntary consumer.</w:t>
      </w:r>
    </w:p>
    <w:p w14:paraId="2FE52EE3" w14:textId="77777777" w:rsidR="00370586" w:rsidRPr="00370586" w:rsidRDefault="00370586" w:rsidP="00370586">
      <w:pPr>
        <w:spacing w:after="120"/>
        <w:contextualSpacing/>
        <w:jc w:val="both"/>
        <w:rPr>
          <w:rFonts w:ascii="Arial" w:eastAsia="Times" w:hAnsi="Arial"/>
        </w:rPr>
      </w:pPr>
    </w:p>
    <w:p w14:paraId="064492CF" w14:textId="1C488B44" w:rsidR="00370586" w:rsidRPr="00370586" w:rsidRDefault="00370586" w:rsidP="00370586">
      <w:pPr>
        <w:spacing w:after="120"/>
        <w:contextualSpacing/>
        <w:jc w:val="both"/>
        <w:rPr>
          <w:rFonts w:ascii="Arial" w:eastAsia="Times" w:hAnsi="Arial"/>
        </w:rPr>
      </w:pPr>
      <w:r w:rsidRPr="00370586">
        <w:rPr>
          <w:rFonts w:ascii="Arial" w:eastAsia="Times" w:hAnsi="Arial"/>
        </w:rPr>
        <w:t>Alongside this, where a TO hearing concerns a person who has received voluntary treatment in the past the Tribunal will explore what was different at that time, and what changed or led to a breakdown in the voluntary engagement between the person and their treating team.  This line of inquiry will identify a wide range of matters, but a frequently described scenario will be that “John stopped attending appointments and because he was voluntary we closed his file”.  Related to this is the less common, but not infrequent hearings in which compulsory patients ask for an Order to remain in place because they need the more structured support it facilitates.</w:t>
      </w:r>
      <w:r w:rsidR="001542C8">
        <w:rPr>
          <w:rFonts w:ascii="Arial" w:eastAsia="Times" w:hAnsi="Arial"/>
        </w:rPr>
        <w:t xml:space="preserve">  Family and support people will often support the making of Orders for similar reasons (see below</w:t>
      </w:r>
      <w:r w:rsidR="000A5B9A">
        <w:rPr>
          <w:rFonts w:ascii="Arial" w:eastAsia="Times" w:hAnsi="Arial"/>
        </w:rPr>
        <w:t xml:space="preserve"> 2.2</w:t>
      </w:r>
      <w:r w:rsidR="001542C8">
        <w:rPr>
          <w:rFonts w:ascii="Arial" w:eastAsia="Times" w:hAnsi="Arial"/>
        </w:rPr>
        <w:t>).</w:t>
      </w:r>
    </w:p>
    <w:p w14:paraId="0FC0C899" w14:textId="77777777" w:rsidR="00370586" w:rsidRPr="00370586" w:rsidRDefault="00370586" w:rsidP="00370586">
      <w:pPr>
        <w:spacing w:after="120"/>
        <w:contextualSpacing/>
        <w:jc w:val="both"/>
        <w:rPr>
          <w:rFonts w:ascii="Arial" w:eastAsia="Times" w:hAnsi="Arial"/>
        </w:rPr>
      </w:pPr>
    </w:p>
    <w:p w14:paraId="71DC4E4D" w14:textId="0B316ADC"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These scenarios all demonstrate an impoverished conceptualisation of voluntary treatment, as well as a lack of appreciation that provided treatment is not coercive it can be intensive and/or assertive and still voluntary.  Voluntary treatment based on supported-decision making and respect for autonomy </w:t>
      </w:r>
      <w:r w:rsidR="00D6597A">
        <w:rPr>
          <w:rFonts w:ascii="Arial" w:eastAsia="Times" w:hAnsi="Arial"/>
        </w:rPr>
        <w:t>should not</w:t>
      </w:r>
      <w:r w:rsidRPr="00370586">
        <w:rPr>
          <w:rFonts w:ascii="Arial" w:eastAsia="Times" w:hAnsi="Arial"/>
        </w:rPr>
        <w:t xml:space="preserve"> be confined to ‘patients following directions’, it can and should encompass periods of tension</w:t>
      </w:r>
      <w:r w:rsidR="00D6597A">
        <w:rPr>
          <w:rFonts w:ascii="Arial" w:eastAsia="Times" w:hAnsi="Arial"/>
        </w:rPr>
        <w:t xml:space="preserve"> and</w:t>
      </w:r>
      <w:r w:rsidRPr="00370586">
        <w:rPr>
          <w:rFonts w:ascii="Arial" w:eastAsia="Times" w:hAnsi="Arial"/>
        </w:rPr>
        <w:t xml:space="preserve"> particular sources of disagreement.  How these </w:t>
      </w:r>
      <w:r w:rsidR="00D6597A">
        <w:rPr>
          <w:rFonts w:ascii="Arial" w:eastAsia="Times" w:hAnsi="Arial"/>
        </w:rPr>
        <w:t xml:space="preserve">tensions and disagreements </w:t>
      </w:r>
      <w:r w:rsidRPr="00370586">
        <w:rPr>
          <w:rFonts w:ascii="Arial" w:eastAsia="Times" w:hAnsi="Arial"/>
        </w:rPr>
        <w:t>are managed will be situation specific and might include tolerating additional risk, providing more intensive support or engaging more assertively.  Neither intensive nor assertive support should be conflated with compulsory treatment.  The situation and its consequences can be portrayed diagrammatically:</w:t>
      </w:r>
    </w:p>
    <w:p w14:paraId="2BB4CD12" w14:textId="12CF8019" w:rsidR="00370586" w:rsidRDefault="00370586" w:rsidP="00370586">
      <w:pPr>
        <w:spacing w:after="120"/>
        <w:contextualSpacing/>
        <w:jc w:val="both"/>
        <w:rPr>
          <w:rFonts w:ascii="Arial" w:eastAsia="Times" w:hAnsi="Arial"/>
        </w:rPr>
      </w:pPr>
    </w:p>
    <w:p w14:paraId="3D71FA33" w14:textId="4376B74C" w:rsidR="008E5400" w:rsidRDefault="001542C8" w:rsidP="00370586">
      <w:pPr>
        <w:spacing w:after="120"/>
        <w:contextualSpacing/>
        <w:jc w:val="both"/>
        <w:rPr>
          <w:rFonts w:ascii="Arial" w:eastAsia="Times" w:hAnsi="Arial"/>
        </w:rPr>
      </w:pPr>
      <w:r w:rsidRPr="001542C8">
        <w:rPr>
          <w:rFonts w:ascii="Arial" w:eastAsia="Times" w:hAnsi="Arial"/>
          <w:noProof/>
        </w:rPr>
        <w:lastRenderedPageBreak/>
        <w:drawing>
          <wp:inline distT="0" distB="0" distL="0" distR="0" wp14:anchorId="556FF023" wp14:editId="1345345E">
            <wp:extent cx="5400040" cy="3037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37840"/>
                    </a:xfrm>
                    <a:prstGeom prst="rect">
                      <a:avLst/>
                    </a:prstGeom>
                  </pic:spPr>
                </pic:pic>
              </a:graphicData>
            </a:graphic>
          </wp:inline>
        </w:drawing>
      </w:r>
      <w:r w:rsidRPr="001542C8">
        <w:rPr>
          <w:noProof/>
        </w:rPr>
        <w:t xml:space="preserve"> </w:t>
      </w:r>
      <w:r w:rsidRPr="001542C8">
        <w:rPr>
          <w:rFonts w:ascii="Arial" w:eastAsia="Times" w:hAnsi="Arial"/>
          <w:noProof/>
        </w:rPr>
        <w:drawing>
          <wp:inline distT="0" distB="0" distL="0" distR="0" wp14:anchorId="70D3502D" wp14:editId="1CA5ADB3">
            <wp:extent cx="5400040" cy="3037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37840"/>
                    </a:xfrm>
                    <a:prstGeom prst="rect">
                      <a:avLst/>
                    </a:prstGeom>
                  </pic:spPr>
                </pic:pic>
              </a:graphicData>
            </a:graphic>
          </wp:inline>
        </w:drawing>
      </w:r>
    </w:p>
    <w:p w14:paraId="17EBE0C7" w14:textId="1C83E03D" w:rsidR="00370586" w:rsidRPr="00370586" w:rsidRDefault="00370586" w:rsidP="00370586">
      <w:pPr>
        <w:spacing w:after="120"/>
        <w:contextualSpacing/>
        <w:jc w:val="both"/>
        <w:rPr>
          <w:rFonts w:ascii="Arial" w:eastAsia="Times" w:hAnsi="Arial"/>
        </w:rPr>
      </w:pPr>
      <w:bookmarkStart w:id="12" w:name="_Hlk11765236"/>
      <w:r w:rsidRPr="00370586">
        <w:rPr>
          <w:rFonts w:ascii="Arial" w:eastAsia="Times" w:hAnsi="Arial"/>
        </w:rPr>
        <w:t>Compulsory status under the Act should only be about defining the legal relationship between a patient and her or his treating team at a point in time.  TOs, or their absence, are not intended to determine the scope or elements of care and support provided to individual consumers.  What is provided should be determined by the needs of the individual, and there should be equality of access across voluntary and compulsory patients.  Restricted autonomy should not be a hidden cost of attaining access to services, and voluntary engagement should not limit the availability of intensive, even assertive support.  However, in a system that is being constantly challenged to meet increasing demand without adequate resources these hidden costs and perverse incentives are real.</w:t>
      </w:r>
      <w:bookmarkEnd w:id="12"/>
      <w:r w:rsidRPr="00370586">
        <w:rPr>
          <w:rFonts w:ascii="Arial" w:eastAsia="Times" w:hAnsi="Arial"/>
        </w:rPr>
        <w:t xml:space="preserve">  (The related issue of how using the Act as a resource allocation tool impacts on the response to risk is examined below at</w:t>
      </w:r>
      <w:r w:rsidR="000A5B9A">
        <w:rPr>
          <w:rFonts w:ascii="Arial" w:eastAsia="Times" w:hAnsi="Arial"/>
        </w:rPr>
        <w:t xml:space="preserve"> 3.1.2</w:t>
      </w:r>
      <w:r w:rsidRPr="00370586">
        <w:rPr>
          <w:rFonts w:ascii="Arial" w:eastAsia="Times" w:hAnsi="Arial"/>
        </w:rPr>
        <w:t>.)</w:t>
      </w:r>
    </w:p>
    <w:p w14:paraId="19F20DC3" w14:textId="77777777" w:rsidR="00543059" w:rsidRPr="00716523" w:rsidRDefault="00543059" w:rsidP="00370586">
      <w:pPr>
        <w:spacing w:before="240" w:after="200"/>
        <w:contextualSpacing/>
        <w:jc w:val="both"/>
        <w:rPr>
          <w:rFonts w:ascii="Arial" w:eastAsiaTheme="minorHAnsi" w:hAnsi="Arial" w:cs="Arial"/>
        </w:rPr>
      </w:pPr>
    </w:p>
    <w:p w14:paraId="562CC564" w14:textId="77777777" w:rsidR="00370586" w:rsidRPr="00370586" w:rsidRDefault="00370586" w:rsidP="00370586">
      <w:pPr>
        <w:keepNext/>
        <w:keepLines/>
        <w:spacing w:before="280" w:after="120"/>
        <w:contextualSpacing/>
        <w:jc w:val="both"/>
        <w:outlineLvl w:val="2"/>
        <w:rPr>
          <w:rFonts w:ascii="Arial" w:eastAsia="MS Gothic" w:hAnsi="Arial"/>
          <w:b/>
          <w:bCs/>
          <w:sz w:val="24"/>
          <w:szCs w:val="26"/>
        </w:rPr>
      </w:pPr>
      <w:r w:rsidRPr="00370586">
        <w:rPr>
          <w:rFonts w:ascii="Arial" w:eastAsia="MS Gothic" w:hAnsi="Arial"/>
          <w:b/>
          <w:bCs/>
          <w:sz w:val="24"/>
          <w:szCs w:val="26"/>
        </w:rPr>
        <w:t>1.3  Lack of integrated supports and/or integration with equally stretched and limited support services.</w:t>
      </w:r>
    </w:p>
    <w:p w14:paraId="7A25ED65" w14:textId="77777777" w:rsidR="00543059" w:rsidRDefault="00543059" w:rsidP="00370586">
      <w:pPr>
        <w:spacing w:after="120"/>
        <w:contextualSpacing/>
        <w:jc w:val="both"/>
        <w:rPr>
          <w:rFonts w:ascii="Arial" w:eastAsia="Times" w:hAnsi="Arial"/>
          <w:b/>
        </w:rPr>
      </w:pPr>
    </w:p>
    <w:p w14:paraId="0E9D7F26" w14:textId="7606B3A0" w:rsidR="00370586" w:rsidRPr="00370586" w:rsidRDefault="00370586" w:rsidP="00370586">
      <w:pPr>
        <w:spacing w:after="120"/>
        <w:contextualSpacing/>
        <w:jc w:val="both"/>
        <w:rPr>
          <w:rFonts w:ascii="Arial" w:eastAsia="Times" w:hAnsi="Arial"/>
          <w:b/>
        </w:rPr>
      </w:pPr>
      <w:r w:rsidRPr="00370586">
        <w:rPr>
          <w:rFonts w:ascii="Arial" w:eastAsia="Times" w:hAnsi="Arial"/>
          <w:b/>
        </w:rPr>
        <w:t>1.3.1  Housing</w:t>
      </w:r>
    </w:p>
    <w:p w14:paraId="4B2384E9" w14:textId="77777777" w:rsidR="00370586" w:rsidRPr="00370586" w:rsidRDefault="00370586" w:rsidP="00370586">
      <w:pPr>
        <w:spacing w:after="120"/>
        <w:contextualSpacing/>
        <w:jc w:val="both"/>
        <w:rPr>
          <w:rFonts w:ascii="Arial" w:eastAsia="Times" w:hAnsi="Arial"/>
        </w:rPr>
      </w:pPr>
    </w:p>
    <w:p w14:paraId="2CAEA9A6" w14:textId="1824EBD4"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Access to stable housing is essential to good mental health, it can also be a critical consideration that impacts upon the decision made by the Tribunal in individual cases.  Whenever the Tribunal makes a TO it must also determine whether it will commence operation as an ITO or a CTO.  The Tribunal can only make an ITO if it is satisfied that the person’s treatment cannot occur in the </w:t>
      </w:r>
      <w:r w:rsidRPr="00370586">
        <w:rPr>
          <w:rFonts w:ascii="Arial" w:eastAsia="Times" w:hAnsi="Arial"/>
        </w:rPr>
        <w:lastRenderedPageBreak/>
        <w:t>community,</w:t>
      </w:r>
      <w:r w:rsidR="00562678" w:rsidRPr="00370586">
        <w:rPr>
          <w:rFonts w:ascii="Arial" w:eastAsia="Times" w:hAnsi="Arial"/>
          <w:vertAlign w:val="superscript"/>
        </w:rPr>
        <w:footnoteReference w:id="33"/>
      </w:r>
      <w:r w:rsidRPr="00370586">
        <w:rPr>
          <w:rFonts w:ascii="Arial" w:eastAsia="Times" w:hAnsi="Arial"/>
        </w:rPr>
        <w:t xml:space="preserve"> this requires the Tribunal to consider a person’s accommodation.  In some </w:t>
      </w:r>
      <w:proofErr w:type="gramStart"/>
      <w:r w:rsidRPr="00370586">
        <w:rPr>
          <w:rFonts w:ascii="Arial" w:eastAsia="Times" w:hAnsi="Arial"/>
        </w:rPr>
        <w:t>cases</w:t>
      </w:r>
      <w:proofErr w:type="gramEnd"/>
      <w:r w:rsidRPr="00370586">
        <w:rPr>
          <w:rFonts w:ascii="Arial" w:eastAsia="Times" w:hAnsi="Arial"/>
        </w:rPr>
        <w:t xml:space="preserve"> the Tribunal will make an ITO where, if appropriate housing was available</w:t>
      </w:r>
      <w:r w:rsidR="00D6597A">
        <w:rPr>
          <w:rFonts w:ascii="Arial" w:eastAsia="Times" w:hAnsi="Arial"/>
        </w:rPr>
        <w:t>,</w:t>
      </w:r>
      <w:r w:rsidRPr="00370586">
        <w:rPr>
          <w:rFonts w:ascii="Arial" w:eastAsia="Times" w:hAnsi="Arial"/>
        </w:rPr>
        <w:t xml:space="preserve"> a CTO would have been made.  In other words, lack of access to housing can mean individuals are subject to more restrictive mental health treatment.  Where this lack of access is prolonged, those restrictions can </w:t>
      </w:r>
      <w:r w:rsidRPr="00ED1B9B">
        <w:rPr>
          <w:rFonts w:ascii="Arial" w:eastAsia="Times" w:hAnsi="Arial"/>
        </w:rPr>
        <w:t>begin to become arbitrary and contrary to the Charter.</w:t>
      </w:r>
      <w:r w:rsidR="00716523" w:rsidRPr="00ED1B9B">
        <w:rPr>
          <w:rFonts w:ascii="Arial" w:eastAsia="Times" w:hAnsi="Arial"/>
        </w:rPr>
        <w:t xml:space="preserve">  During April-May 2019 the Tribunal identified accommodation as a critical consideration in 6% of hearings.</w:t>
      </w:r>
    </w:p>
    <w:p w14:paraId="43AF1853" w14:textId="77777777" w:rsidR="00370586" w:rsidRPr="00370586" w:rsidRDefault="00370586" w:rsidP="00370586">
      <w:pPr>
        <w:spacing w:after="120"/>
        <w:contextualSpacing/>
        <w:jc w:val="both"/>
        <w:rPr>
          <w:rFonts w:ascii="Arial" w:eastAsia="Times" w:hAnsi="Arial"/>
        </w:rPr>
      </w:pPr>
    </w:p>
    <w:p w14:paraId="2F450BE2" w14:textId="6C0A08EE" w:rsidR="00370586" w:rsidRPr="00370586" w:rsidRDefault="00370586" w:rsidP="00370586">
      <w:pPr>
        <w:spacing w:after="120"/>
        <w:contextualSpacing/>
        <w:jc w:val="both"/>
        <w:rPr>
          <w:rFonts w:ascii="Arial" w:eastAsia="Times" w:hAnsi="Arial"/>
        </w:rPr>
      </w:pPr>
      <w:r w:rsidRPr="00370586">
        <w:rPr>
          <w:rFonts w:ascii="Arial" w:eastAsia="Times" w:hAnsi="Arial"/>
        </w:rPr>
        <w:t>It is important to clarify that the connection is</w:t>
      </w:r>
      <w:r w:rsidR="000E659B">
        <w:rPr>
          <w:rFonts w:ascii="Arial" w:eastAsia="Times" w:hAnsi="Arial"/>
        </w:rPr>
        <w:t xml:space="preserve"> not</w:t>
      </w:r>
      <w:r w:rsidRPr="00370586">
        <w:rPr>
          <w:rFonts w:ascii="Arial" w:eastAsia="Times" w:hAnsi="Arial"/>
        </w:rPr>
        <w:t xml:space="preserve"> linear – i.e. a lack of suitable accommodation does not mean a person will automatically be made subject to an ITO.  In their understandable wish to move on from an inpatient setting some consumers will favour housing options that are transient and to varying degrees unsafe.  The question for the Tribunal is whether, considering the nature of a person’s illness, the immediate treatment they need, why it is needed, their level of recovery and available supports, their proposed accommodation will mean that their overall situation in the community will be one in which they are able to be treated?  The answer to this question is not static and unsatisfactory accommodation may in effect become less intolerable over time where the alternative risks becoming indefinite detention.</w:t>
      </w:r>
    </w:p>
    <w:p w14:paraId="06E5ADE1" w14:textId="77777777" w:rsidR="00370586" w:rsidRPr="00370586" w:rsidRDefault="00370586" w:rsidP="00370586">
      <w:pPr>
        <w:spacing w:after="120"/>
        <w:contextualSpacing/>
        <w:jc w:val="both"/>
        <w:rPr>
          <w:rFonts w:ascii="Arial" w:eastAsia="Times" w:hAnsi="Arial"/>
        </w:rPr>
      </w:pPr>
    </w:p>
    <w:p w14:paraId="344C3CDF" w14:textId="7C4832E6" w:rsidR="00370586" w:rsidRPr="00370586" w:rsidRDefault="003A1FCA" w:rsidP="00370586">
      <w:pPr>
        <w:spacing w:after="120"/>
        <w:contextualSpacing/>
        <w:jc w:val="both"/>
        <w:rPr>
          <w:rFonts w:ascii="Arial" w:eastAsia="Times" w:hAnsi="Arial"/>
        </w:rPr>
      </w:pPr>
      <w:r>
        <w:rPr>
          <w:rFonts w:ascii="Arial" w:eastAsia="Times" w:hAnsi="Arial"/>
        </w:rPr>
        <w:t>T</w:t>
      </w:r>
      <w:r w:rsidR="00370586" w:rsidRPr="00370586">
        <w:rPr>
          <w:rFonts w:ascii="Arial" w:eastAsia="Times" w:hAnsi="Arial"/>
        </w:rPr>
        <w:t>he Tribunal will seek to manage these tensions in different ways depending on the circumstances of each case.  Where there is evidence of active discharge planning and all reasonable efforts being made to locate suitable accommodation for a person who is currently an inpatient but does</w:t>
      </w:r>
      <w:r w:rsidR="000E659B">
        <w:rPr>
          <w:rFonts w:ascii="Arial" w:eastAsia="Times" w:hAnsi="Arial"/>
        </w:rPr>
        <w:t xml:space="preserve"> not</w:t>
      </w:r>
      <w:r w:rsidR="00370586" w:rsidRPr="00370586">
        <w:rPr>
          <w:rFonts w:ascii="Arial" w:eastAsia="Times" w:hAnsi="Arial"/>
        </w:rPr>
        <w:t xml:space="preserve"> have a confirmed discharge destination, the Tribunal may decide to make an ITO the duration of which will be the expected period of compulsory treatment (up to the maximum of six months). In such cases, the Tribunal will encourage continuing efforts to locate suitable </w:t>
      </w:r>
      <w:proofErr w:type="gramStart"/>
      <w:r w:rsidR="00370586" w:rsidRPr="00370586">
        <w:rPr>
          <w:rFonts w:ascii="Arial" w:eastAsia="Times" w:hAnsi="Arial"/>
        </w:rPr>
        <w:t xml:space="preserve">accommodation, </w:t>
      </w:r>
      <w:r w:rsidR="000A5B9A">
        <w:rPr>
          <w:rFonts w:ascii="Arial" w:eastAsia="Times" w:hAnsi="Arial"/>
        </w:rPr>
        <w:t>and</w:t>
      </w:r>
      <w:proofErr w:type="gramEnd"/>
      <w:r w:rsidR="000A5B9A">
        <w:rPr>
          <w:rFonts w:ascii="Arial" w:eastAsia="Times" w:hAnsi="Arial"/>
        </w:rPr>
        <w:t xml:space="preserve"> </w:t>
      </w:r>
      <w:r w:rsidR="00370586" w:rsidRPr="00370586">
        <w:rPr>
          <w:rFonts w:ascii="Arial" w:eastAsia="Times" w:hAnsi="Arial"/>
        </w:rPr>
        <w:t>remind parties the ITO can be varied to a CTO by the treating psychiatrist as soon as treatment can occur in the community</w:t>
      </w:r>
      <w:r w:rsidR="000A5B9A">
        <w:rPr>
          <w:rFonts w:ascii="Arial" w:eastAsia="Times" w:hAnsi="Arial"/>
        </w:rPr>
        <w:t>.  T</w:t>
      </w:r>
      <w:r w:rsidR="00370586" w:rsidRPr="00370586">
        <w:rPr>
          <w:rFonts w:ascii="Arial" w:eastAsia="Times" w:hAnsi="Arial"/>
        </w:rPr>
        <w:t>he patient will also be reminded of their right to make an application for revocation at any time, to bring the matter back before the Tribunal.  In those matters where it appears efforts have stalled a relatively short ITO may be made – the expectation being that the treating psychiatrist will apply for a further Order which brings the matter back before the Tribunal, so it can monitor progress.</w:t>
      </w:r>
    </w:p>
    <w:p w14:paraId="6BC81053" w14:textId="77777777" w:rsidR="00370586" w:rsidRPr="00370586" w:rsidRDefault="00370586" w:rsidP="00370586">
      <w:pPr>
        <w:spacing w:after="120"/>
        <w:contextualSpacing/>
        <w:jc w:val="both"/>
        <w:rPr>
          <w:rFonts w:ascii="Arial" w:eastAsia="Times" w:hAnsi="Arial"/>
        </w:rPr>
      </w:pPr>
    </w:p>
    <w:p w14:paraId="6A83BFBC" w14:textId="336301F3" w:rsidR="00E26742" w:rsidRDefault="00E26742" w:rsidP="00370586">
      <w:pPr>
        <w:spacing w:after="120"/>
        <w:contextualSpacing/>
        <w:jc w:val="both"/>
        <w:rPr>
          <w:rFonts w:ascii="Arial" w:eastAsia="Times" w:hAnsi="Arial"/>
        </w:rPr>
      </w:pPr>
      <w:r w:rsidRPr="003B14F6">
        <w:rPr>
          <w:rFonts w:ascii="Arial" w:eastAsia="Times" w:hAnsi="Arial"/>
        </w:rPr>
        <w:t xml:space="preserve">The critical importance of housing is evident in </w:t>
      </w:r>
      <w:proofErr w:type="gramStart"/>
      <w:r w:rsidRPr="003B14F6">
        <w:rPr>
          <w:rFonts w:ascii="Arial" w:eastAsia="Times" w:hAnsi="Arial"/>
        </w:rPr>
        <w:t>a nu</w:t>
      </w:r>
      <w:r w:rsidR="003B14F6" w:rsidRPr="003B14F6">
        <w:rPr>
          <w:rFonts w:ascii="Arial" w:eastAsia="Times" w:hAnsi="Arial"/>
        </w:rPr>
        <w:t>m</w:t>
      </w:r>
      <w:r w:rsidRPr="003B14F6">
        <w:rPr>
          <w:rFonts w:ascii="Arial" w:eastAsia="Times" w:hAnsi="Arial"/>
        </w:rPr>
        <w:t>ber of</w:t>
      </w:r>
      <w:proofErr w:type="gramEnd"/>
      <w:r w:rsidRPr="003B14F6">
        <w:rPr>
          <w:rFonts w:ascii="Arial" w:eastAsia="Times" w:hAnsi="Arial"/>
        </w:rPr>
        <w:t xml:space="preserve"> the case studies in this </w:t>
      </w:r>
      <w:r w:rsidRPr="00716523">
        <w:rPr>
          <w:rFonts w:ascii="Arial" w:eastAsia="Times" w:hAnsi="Arial"/>
        </w:rPr>
        <w:t>submission</w:t>
      </w:r>
      <w:r w:rsidR="00716523">
        <w:rPr>
          <w:rFonts w:ascii="Arial" w:eastAsia="Times" w:hAnsi="Arial"/>
        </w:rPr>
        <w:t xml:space="preserve"> including </w:t>
      </w:r>
      <w:r w:rsidR="003B14F6">
        <w:rPr>
          <w:rFonts w:ascii="Arial" w:eastAsia="Times" w:hAnsi="Arial"/>
        </w:rPr>
        <w:t>‘Jenny’</w:t>
      </w:r>
      <w:r w:rsidR="003B14F6" w:rsidRPr="003B14F6">
        <w:rPr>
          <w:rFonts w:ascii="Arial" w:eastAsia="Times" w:hAnsi="Arial"/>
        </w:rPr>
        <w:t xml:space="preserve"> </w:t>
      </w:r>
      <w:r w:rsidR="00716523">
        <w:rPr>
          <w:rFonts w:ascii="Arial" w:eastAsia="Times" w:hAnsi="Arial"/>
        </w:rPr>
        <w:t>who</w:t>
      </w:r>
      <w:r w:rsidR="000A5B9A">
        <w:rPr>
          <w:rFonts w:ascii="Arial" w:eastAsia="Times" w:hAnsi="Arial"/>
        </w:rPr>
        <w:t xml:space="preserve">se circumstances </w:t>
      </w:r>
      <w:r w:rsidR="00716523">
        <w:rPr>
          <w:rFonts w:ascii="Arial" w:eastAsia="Times" w:hAnsi="Arial"/>
        </w:rPr>
        <w:t xml:space="preserve"> </w:t>
      </w:r>
      <w:r w:rsidR="003B14F6" w:rsidRPr="003B14F6">
        <w:rPr>
          <w:rFonts w:ascii="Arial" w:eastAsia="Times" w:hAnsi="Arial"/>
        </w:rPr>
        <w:t>also highlight the efforts of specialist homeless outreach teams in their work to support particularly vulnerable and marginalised individuals.</w:t>
      </w:r>
    </w:p>
    <w:p w14:paraId="4C98A473" w14:textId="77777777" w:rsidR="003B14F6" w:rsidRPr="003B14F6" w:rsidRDefault="003B14F6" w:rsidP="00370586">
      <w:pPr>
        <w:spacing w:after="120"/>
        <w:contextualSpacing/>
        <w:jc w:val="both"/>
        <w:rPr>
          <w:rFonts w:ascii="Arial" w:eastAsia="Times"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B14F6" w:rsidRPr="003B14F6" w14:paraId="0BEC8E37" w14:textId="77777777" w:rsidTr="007E7BF5">
        <w:tc>
          <w:tcPr>
            <w:tcW w:w="8522" w:type="dxa"/>
            <w:shd w:val="clear" w:color="auto" w:fill="EAF1DD" w:themeFill="accent3" w:themeFillTint="33"/>
          </w:tcPr>
          <w:p w14:paraId="0300FBC3" w14:textId="77777777" w:rsidR="003B14F6" w:rsidRPr="003B14F6" w:rsidRDefault="003B14F6" w:rsidP="003B14F6">
            <w:pPr>
              <w:keepNext/>
              <w:keepLines/>
              <w:spacing w:before="40"/>
              <w:jc w:val="center"/>
              <w:outlineLvl w:val="1"/>
              <w:rPr>
                <w:rFonts w:ascii="Arial" w:eastAsia="Calibri" w:hAnsi="Arial" w:cs="Arial"/>
                <w:b/>
                <w:color w:val="365F91" w:themeColor="accent1" w:themeShade="BF"/>
              </w:rPr>
            </w:pPr>
            <w:bookmarkStart w:id="13" w:name="_Toc12267337"/>
            <w:r w:rsidRPr="003B14F6">
              <w:rPr>
                <w:rFonts w:ascii="Arial" w:eastAsia="Calibri" w:hAnsi="Arial" w:cs="Arial"/>
                <w:b/>
                <w:color w:val="365F91" w:themeColor="accent1" w:themeShade="BF"/>
              </w:rPr>
              <w:t>‘Jenny’</w:t>
            </w:r>
            <w:bookmarkEnd w:id="13"/>
          </w:p>
          <w:p w14:paraId="57C71EE9" w14:textId="6FD170E4" w:rsidR="003B14F6" w:rsidRPr="003B14F6" w:rsidRDefault="003B14F6" w:rsidP="003B14F6">
            <w:pPr>
              <w:spacing w:after="120"/>
              <w:jc w:val="both"/>
              <w:rPr>
                <w:rFonts w:ascii="Arial" w:eastAsia="Times" w:hAnsi="Arial" w:cs="Arial"/>
              </w:rPr>
            </w:pPr>
            <w:r w:rsidRPr="003B14F6">
              <w:rPr>
                <w:rFonts w:ascii="Arial" w:eastAsia="Times" w:hAnsi="Arial" w:cs="Arial"/>
              </w:rPr>
              <w:t xml:space="preserve">Jenny is in her thirties. </w:t>
            </w:r>
            <w:r w:rsidR="00786B3A">
              <w:rPr>
                <w:rFonts w:ascii="Arial" w:eastAsia="Times" w:hAnsi="Arial" w:cs="Arial"/>
              </w:rPr>
              <w:t>In addition to having a mental illness Jenny has an</w:t>
            </w:r>
            <w:r w:rsidRPr="003B14F6">
              <w:rPr>
                <w:rFonts w:ascii="Arial" w:eastAsia="Times" w:hAnsi="Arial" w:cs="Arial"/>
              </w:rPr>
              <w:t xml:space="preserve"> acquired brain injury and</w:t>
            </w:r>
            <w:r w:rsidR="00786B3A">
              <w:rPr>
                <w:rFonts w:ascii="Arial" w:eastAsia="Times" w:hAnsi="Arial" w:cs="Arial"/>
              </w:rPr>
              <w:t xml:space="preserve"> uses a variety of substances</w:t>
            </w:r>
            <w:r w:rsidRPr="003B14F6">
              <w:rPr>
                <w:rFonts w:ascii="Arial" w:eastAsia="Times" w:hAnsi="Arial" w:cs="Arial"/>
              </w:rPr>
              <w:t xml:space="preserve">. She experiences homelessness and couch surfs between friends’ residences. She has a chaotic lifestyle and is treated and supported by a Homeless Outreach Psychiatric Service (HOPS). Jenny has had over 30 hospital admissions. She has frequent contact with emergency services, her physical health is </w:t>
            </w:r>
            <w:proofErr w:type="gramStart"/>
            <w:r w:rsidRPr="003B14F6">
              <w:rPr>
                <w:rFonts w:ascii="Arial" w:eastAsia="Times" w:hAnsi="Arial" w:cs="Arial"/>
              </w:rPr>
              <w:t>compromised</w:t>
            </w:r>
            <w:proofErr w:type="gramEnd"/>
            <w:r w:rsidRPr="003B14F6">
              <w:rPr>
                <w:rFonts w:ascii="Arial" w:eastAsia="Times" w:hAnsi="Arial" w:cs="Arial"/>
              </w:rPr>
              <w:t xml:space="preserve"> and she is vulnerable to exploitation.</w:t>
            </w:r>
          </w:p>
          <w:p w14:paraId="0CF9BDE5" w14:textId="77777777" w:rsidR="003B14F6" w:rsidRPr="003B14F6" w:rsidRDefault="003B14F6" w:rsidP="003B14F6">
            <w:pPr>
              <w:spacing w:after="120"/>
              <w:jc w:val="both"/>
              <w:rPr>
                <w:rFonts w:ascii="Arial" w:eastAsia="Times" w:hAnsi="Arial" w:cs="Arial"/>
              </w:rPr>
            </w:pPr>
            <w:r w:rsidRPr="003B14F6">
              <w:rPr>
                <w:rFonts w:ascii="Arial" w:eastAsia="Times" w:hAnsi="Arial" w:cs="Arial"/>
              </w:rPr>
              <w:t>The last 18 months have seen the longest duration of consistent community treatment in Jenny’s recent history. This period of relative stability has been facilitated by a CTO which has enabled regular contact with Jenny as well as consistent administration of her prescribed psychotropic depot injection by the HOPS team. Jenny was previously often lost to follow-up until she came to the attention of emergency services.</w:t>
            </w:r>
          </w:p>
          <w:p w14:paraId="63F6BE39" w14:textId="044752F3" w:rsidR="003B14F6" w:rsidRPr="003B14F6" w:rsidRDefault="003B14F6" w:rsidP="003B14F6">
            <w:pPr>
              <w:spacing w:after="120"/>
              <w:jc w:val="both"/>
              <w:rPr>
                <w:rFonts w:ascii="Arial" w:eastAsia="Times" w:hAnsi="Arial"/>
                <w:sz w:val="24"/>
                <w:szCs w:val="24"/>
              </w:rPr>
            </w:pPr>
            <w:r w:rsidRPr="003B14F6">
              <w:rPr>
                <w:rFonts w:ascii="Arial" w:eastAsia="Times" w:hAnsi="Arial" w:cs="Arial"/>
              </w:rPr>
              <w:t xml:space="preserve">Jenny does not have stable accommodation and is vulnerable to exploitation. She has been evicted from housing previously and at the time of the last hearing it was unclear what housing options remained. Longer term, given their understanding of how Jenny would be likely to react, her HOPS team were not proposing restrictive inpatient care such as </w:t>
            </w:r>
            <w:r w:rsidR="00112010">
              <w:rPr>
                <w:rFonts w:ascii="Arial" w:eastAsia="Times" w:hAnsi="Arial" w:cs="Arial"/>
              </w:rPr>
              <w:t xml:space="preserve">a </w:t>
            </w:r>
            <w:r w:rsidRPr="003B14F6">
              <w:rPr>
                <w:rFonts w:ascii="Arial" w:eastAsia="Times" w:hAnsi="Arial" w:cs="Arial"/>
              </w:rPr>
              <w:t>SECU</w:t>
            </w:r>
            <w:r w:rsidR="00112010">
              <w:rPr>
                <w:rFonts w:ascii="Arial" w:eastAsia="Times" w:hAnsi="Arial" w:cs="Arial"/>
              </w:rPr>
              <w:t xml:space="preserve"> placement</w:t>
            </w:r>
            <w:r w:rsidRPr="003B14F6">
              <w:rPr>
                <w:rFonts w:ascii="Arial" w:eastAsia="Times" w:hAnsi="Arial" w:cs="Arial"/>
              </w:rPr>
              <w:t xml:space="preserve">.  The goal they wanted to work on with Jenny was to better manage her symptoms </w:t>
            </w:r>
            <w:proofErr w:type="gramStart"/>
            <w:r w:rsidRPr="003B14F6">
              <w:rPr>
                <w:rFonts w:ascii="Arial" w:eastAsia="Times" w:hAnsi="Arial" w:cs="Arial"/>
              </w:rPr>
              <w:t>so as to</w:t>
            </w:r>
            <w:proofErr w:type="gramEnd"/>
            <w:r w:rsidRPr="003B14F6">
              <w:rPr>
                <w:rFonts w:ascii="Arial" w:eastAsia="Times" w:hAnsi="Arial" w:cs="Arial"/>
              </w:rPr>
              <w:t xml:space="preserve"> reduce her erratic behaviour so that she might be accepted into and supported to remain at a Supported Residential Service.</w:t>
            </w:r>
          </w:p>
        </w:tc>
      </w:tr>
    </w:tbl>
    <w:p w14:paraId="79C68D8D" w14:textId="77777777" w:rsidR="00E26742" w:rsidRPr="003B14F6" w:rsidRDefault="00E26742" w:rsidP="00370586">
      <w:pPr>
        <w:spacing w:after="120"/>
        <w:contextualSpacing/>
        <w:jc w:val="both"/>
        <w:rPr>
          <w:rFonts w:ascii="Arial" w:eastAsia="Times" w:hAnsi="Arial"/>
        </w:rPr>
      </w:pPr>
    </w:p>
    <w:p w14:paraId="62DCB221" w14:textId="77777777" w:rsidR="00716523" w:rsidRDefault="00716523">
      <w:pPr>
        <w:rPr>
          <w:rFonts w:ascii="Arial" w:eastAsia="Times" w:hAnsi="Arial"/>
          <w:b/>
        </w:rPr>
      </w:pPr>
      <w:r>
        <w:rPr>
          <w:rFonts w:ascii="Arial" w:eastAsia="Times" w:hAnsi="Arial"/>
          <w:b/>
        </w:rPr>
        <w:br w:type="page"/>
      </w:r>
    </w:p>
    <w:p w14:paraId="42DA8E62" w14:textId="1C96DE59" w:rsidR="00370586" w:rsidRPr="00370586" w:rsidRDefault="00370586" w:rsidP="00370586">
      <w:pPr>
        <w:spacing w:after="120"/>
        <w:contextualSpacing/>
        <w:jc w:val="both"/>
        <w:rPr>
          <w:rFonts w:ascii="Arial" w:eastAsia="Times" w:hAnsi="Arial"/>
          <w:b/>
        </w:rPr>
      </w:pPr>
      <w:r w:rsidRPr="00370586">
        <w:rPr>
          <w:rFonts w:ascii="Arial" w:eastAsia="Times" w:hAnsi="Arial"/>
          <w:b/>
        </w:rPr>
        <w:lastRenderedPageBreak/>
        <w:t>1.3.2  A</w:t>
      </w:r>
      <w:r w:rsidR="00D13FB8">
        <w:rPr>
          <w:rFonts w:ascii="Arial" w:eastAsia="Times" w:hAnsi="Arial"/>
          <w:b/>
        </w:rPr>
        <w:t xml:space="preserve">lcohol and </w:t>
      </w:r>
      <w:r w:rsidRPr="00370586">
        <w:rPr>
          <w:rFonts w:ascii="Arial" w:eastAsia="Times" w:hAnsi="Arial"/>
          <w:b/>
        </w:rPr>
        <w:t>O</w:t>
      </w:r>
      <w:r w:rsidR="00D13FB8">
        <w:rPr>
          <w:rFonts w:ascii="Arial" w:eastAsia="Times" w:hAnsi="Arial"/>
          <w:b/>
        </w:rPr>
        <w:t xml:space="preserve">ther </w:t>
      </w:r>
      <w:r w:rsidRPr="00370586">
        <w:rPr>
          <w:rFonts w:ascii="Arial" w:eastAsia="Times" w:hAnsi="Arial"/>
          <w:b/>
        </w:rPr>
        <w:t>D</w:t>
      </w:r>
      <w:r w:rsidR="00D13FB8">
        <w:rPr>
          <w:rFonts w:ascii="Arial" w:eastAsia="Times" w:hAnsi="Arial"/>
          <w:b/>
        </w:rPr>
        <w:t>rug Treatment S</w:t>
      </w:r>
      <w:r w:rsidRPr="00370586">
        <w:rPr>
          <w:rFonts w:ascii="Arial" w:eastAsia="Times" w:hAnsi="Arial"/>
          <w:b/>
        </w:rPr>
        <w:t>ervices</w:t>
      </w:r>
    </w:p>
    <w:p w14:paraId="55952CED" w14:textId="77777777" w:rsidR="00370586" w:rsidRPr="00370586" w:rsidRDefault="00370586" w:rsidP="00370586">
      <w:pPr>
        <w:spacing w:after="120"/>
        <w:contextualSpacing/>
        <w:jc w:val="both"/>
        <w:rPr>
          <w:rFonts w:ascii="Arial" w:eastAsia="Times" w:hAnsi="Arial"/>
        </w:rPr>
      </w:pPr>
    </w:p>
    <w:p w14:paraId="56E96C71"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A person cannot be considered to have a mental illness – and therefore placed on an Order under the Act –  based solely on the fact they use drugs or consume alcohol.</w:t>
      </w:r>
      <w:r w:rsidRPr="00370586">
        <w:rPr>
          <w:rFonts w:ascii="Arial" w:eastAsia="Times" w:hAnsi="Arial"/>
          <w:vertAlign w:val="superscript"/>
        </w:rPr>
        <w:footnoteReference w:id="34"/>
      </w:r>
      <w:r w:rsidRPr="00370586">
        <w:rPr>
          <w:rFonts w:ascii="Arial" w:eastAsia="Times" w:hAnsi="Arial"/>
        </w:rPr>
        <w:t xml:space="preserve">  However, many individuals who are on Orders will have complex and significant issues relating to drugs and alcohol.  For a small group of people there can be legal complexity where their interaction with mental health services, and the episode that gave rise to them being placed on an Order, was a drug-induced psychosis and there is uncertainty regarding whether there is a distinct mental illness.  The Act ameliorates this complexity somewhat, by allowing the serious temporary or permanent physiological, biochemical or psychological effects of drug or alcohol use from being regarded as an indicator that a person has a mental illness.</w:t>
      </w:r>
      <w:r w:rsidRPr="00370586">
        <w:rPr>
          <w:rFonts w:ascii="Arial" w:eastAsia="Times" w:hAnsi="Arial"/>
          <w:vertAlign w:val="superscript"/>
        </w:rPr>
        <w:footnoteReference w:id="35"/>
      </w:r>
    </w:p>
    <w:p w14:paraId="53F21DEA" w14:textId="77777777" w:rsidR="00370586" w:rsidRPr="00370586" w:rsidRDefault="00370586" w:rsidP="00370586">
      <w:pPr>
        <w:spacing w:after="120"/>
        <w:contextualSpacing/>
        <w:jc w:val="both"/>
        <w:rPr>
          <w:rFonts w:ascii="Arial" w:eastAsia="Times" w:hAnsi="Arial"/>
        </w:rPr>
      </w:pPr>
    </w:p>
    <w:p w14:paraId="0A72854F" w14:textId="639885E8"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Given engagement with </w:t>
      </w:r>
      <w:r w:rsidR="00D13FB8">
        <w:rPr>
          <w:rFonts w:ascii="Arial" w:eastAsia="Times" w:hAnsi="Arial"/>
        </w:rPr>
        <w:t>Alcohol and other Drug treatment services (</w:t>
      </w:r>
      <w:r w:rsidRPr="00370586">
        <w:rPr>
          <w:rFonts w:ascii="Arial" w:eastAsia="Times" w:hAnsi="Arial"/>
        </w:rPr>
        <w:t>AOD services</w:t>
      </w:r>
      <w:r w:rsidR="00D13FB8">
        <w:rPr>
          <w:rFonts w:ascii="Arial" w:eastAsia="Times" w:hAnsi="Arial"/>
        </w:rPr>
        <w:t>)</w:t>
      </w:r>
      <w:r w:rsidRPr="00370586">
        <w:rPr>
          <w:rFonts w:ascii="Arial" w:eastAsia="Times" w:hAnsi="Arial"/>
        </w:rPr>
        <w:t xml:space="preserve"> must be voluntary and the Act does require distinctions to be made between drug use and mental illness, the interplay of substance use and mental health will potentially always entail a degree of complexity.  However, the Tribunal does observe a degree of compartmentalising that is unnecessary and unhelpful.  Just as the presenting issues will be intertwined so too the support response should be integrated.  This is </w:t>
      </w:r>
      <w:r w:rsidR="00D6597A">
        <w:rPr>
          <w:rFonts w:ascii="Arial" w:eastAsia="Times" w:hAnsi="Arial"/>
        </w:rPr>
        <w:t xml:space="preserve">a distinct issue to the question </w:t>
      </w:r>
      <w:r w:rsidRPr="00370586">
        <w:rPr>
          <w:rFonts w:ascii="Arial" w:eastAsia="Times" w:hAnsi="Arial"/>
        </w:rPr>
        <w:t xml:space="preserve">of </w:t>
      </w:r>
      <w:r w:rsidR="00D6597A">
        <w:rPr>
          <w:rFonts w:ascii="Arial" w:eastAsia="Times" w:hAnsi="Arial"/>
        </w:rPr>
        <w:t xml:space="preserve">whether </w:t>
      </w:r>
      <w:r w:rsidRPr="00370586">
        <w:rPr>
          <w:rFonts w:ascii="Arial" w:eastAsia="Times" w:hAnsi="Arial"/>
        </w:rPr>
        <w:t>AOD and mental health services</w:t>
      </w:r>
      <w:r w:rsidR="00D6597A">
        <w:rPr>
          <w:rFonts w:ascii="Arial" w:eastAsia="Times" w:hAnsi="Arial"/>
        </w:rPr>
        <w:t xml:space="preserve"> should be organisationally or structurally integrated.  R</w:t>
      </w:r>
      <w:r w:rsidRPr="00370586">
        <w:rPr>
          <w:rFonts w:ascii="Arial" w:eastAsia="Times" w:hAnsi="Arial"/>
        </w:rPr>
        <w:t xml:space="preserve">ather it is about however those services are </w:t>
      </w:r>
      <w:r w:rsidR="00D6597A">
        <w:rPr>
          <w:rFonts w:ascii="Arial" w:eastAsia="Times" w:hAnsi="Arial"/>
        </w:rPr>
        <w:t>o</w:t>
      </w:r>
      <w:r w:rsidRPr="00370586">
        <w:rPr>
          <w:rFonts w:ascii="Arial" w:eastAsia="Times" w:hAnsi="Arial"/>
        </w:rPr>
        <w:t>rganised, simplicity of access and collaboration should characterise the provision of service to individuals.</w:t>
      </w:r>
      <w:r w:rsidR="00E26742">
        <w:rPr>
          <w:rFonts w:ascii="Arial" w:eastAsia="Times" w:hAnsi="Arial"/>
        </w:rPr>
        <w:t xml:space="preserve">  Consumers should not be compartmentalised, especially </w:t>
      </w:r>
      <w:proofErr w:type="gramStart"/>
      <w:r w:rsidR="00E26742">
        <w:rPr>
          <w:rFonts w:ascii="Arial" w:eastAsia="Times" w:hAnsi="Arial"/>
        </w:rPr>
        <w:t>on the basis of</w:t>
      </w:r>
      <w:proofErr w:type="gramEnd"/>
      <w:r w:rsidR="00E26742">
        <w:rPr>
          <w:rFonts w:ascii="Arial" w:eastAsia="Times" w:hAnsi="Arial"/>
        </w:rPr>
        <w:t xml:space="preserve"> needs or issues that are inherently intertwined.</w:t>
      </w:r>
    </w:p>
    <w:p w14:paraId="592B74DB" w14:textId="6D55F03E" w:rsidR="00543059" w:rsidRDefault="00543059" w:rsidP="00370586">
      <w:pPr>
        <w:spacing w:before="240" w:after="200"/>
        <w:contextualSpacing/>
        <w:jc w:val="both"/>
        <w:rPr>
          <w:rFonts w:ascii="Arial" w:eastAsiaTheme="minorHAns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9A22E3" w:rsidRPr="009A22E3" w14:paraId="1A9B0C1D" w14:textId="77777777" w:rsidTr="007E7BF5">
        <w:tc>
          <w:tcPr>
            <w:tcW w:w="8522" w:type="dxa"/>
            <w:shd w:val="clear" w:color="auto" w:fill="EAF1DD" w:themeFill="accent3" w:themeFillTint="33"/>
          </w:tcPr>
          <w:p w14:paraId="480126B1" w14:textId="1FA7F684" w:rsidR="009A22E3" w:rsidRPr="009A22E3" w:rsidRDefault="009A22E3" w:rsidP="009A22E3">
            <w:pPr>
              <w:keepNext/>
              <w:keepLines/>
              <w:spacing w:before="40"/>
              <w:jc w:val="center"/>
              <w:outlineLvl w:val="1"/>
              <w:rPr>
                <w:rFonts w:ascii="Arial" w:eastAsia="Calibri" w:hAnsi="Arial" w:cs="Arial"/>
                <w:b/>
                <w:color w:val="365F91" w:themeColor="accent1" w:themeShade="BF"/>
              </w:rPr>
            </w:pPr>
            <w:bookmarkStart w:id="14" w:name="_Toc12267342"/>
            <w:r w:rsidRPr="009A22E3">
              <w:rPr>
                <w:rFonts w:ascii="Arial" w:eastAsia="Calibri" w:hAnsi="Arial" w:cs="Arial"/>
                <w:b/>
                <w:color w:val="365F91" w:themeColor="accent1" w:themeShade="BF"/>
              </w:rPr>
              <w:t xml:space="preserve"> ‘Alan’</w:t>
            </w:r>
            <w:bookmarkEnd w:id="14"/>
          </w:p>
          <w:p w14:paraId="6F363E06" w14:textId="32064A51" w:rsidR="009A22E3" w:rsidRPr="009A22E3" w:rsidRDefault="009A22E3" w:rsidP="009A22E3">
            <w:pPr>
              <w:numPr>
                <w:ilvl w:val="6"/>
                <w:numId w:val="2"/>
              </w:numPr>
              <w:spacing w:before="80" w:after="120"/>
              <w:ind w:left="227" w:hanging="227"/>
              <w:jc w:val="both"/>
              <w:rPr>
                <w:rFonts w:ascii="Arial" w:hAnsi="Arial" w:cs="Arial"/>
                <w:bCs/>
              </w:rPr>
            </w:pPr>
            <w:r w:rsidRPr="009A22E3">
              <w:rPr>
                <w:rFonts w:ascii="Arial" w:hAnsi="Arial" w:cs="Arial"/>
                <w:bCs/>
              </w:rPr>
              <w:t>Alan</w:t>
            </w:r>
            <w:r w:rsidR="00112010">
              <w:rPr>
                <w:rFonts w:ascii="Arial" w:hAnsi="Arial" w:cs="Arial"/>
                <w:bCs/>
              </w:rPr>
              <w:t xml:space="preserve"> is</w:t>
            </w:r>
            <w:r w:rsidRPr="009A22E3">
              <w:rPr>
                <w:rFonts w:ascii="Arial" w:hAnsi="Arial" w:cs="Arial"/>
                <w:bCs/>
              </w:rPr>
              <w:t xml:space="preserve"> in his early forties,</w:t>
            </w:r>
            <w:r w:rsidR="00786B3A">
              <w:rPr>
                <w:rFonts w:ascii="Arial" w:hAnsi="Arial" w:cs="Arial"/>
                <w:bCs/>
              </w:rPr>
              <w:t xml:space="preserve"> in addition to having a mental illness he</w:t>
            </w:r>
            <w:r w:rsidRPr="009A22E3">
              <w:rPr>
                <w:rFonts w:ascii="Arial" w:hAnsi="Arial" w:cs="Arial"/>
                <w:bCs/>
              </w:rPr>
              <w:t xml:space="preserve"> has a long standing and ongoing history of using illicit substances including stimulants, methamphetamine, opioids, </w:t>
            </w:r>
            <w:r w:rsidR="00786B3A">
              <w:rPr>
                <w:rFonts w:ascii="Arial" w:hAnsi="Arial" w:cs="Arial"/>
                <w:bCs/>
              </w:rPr>
              <w:t xml:space="preserve">and </w:t>
            </w:r>
            <w:r w:rsidRPr="009A22E3">
              <w:rPr>
                <w:rFonts w:ascii="Arial" w:hAnsi="Arial" w:cs="Arial"/>
                <w:bCs/>
              </w:rPr>
              <w:t>cannabis</w:t>
            </w:r>
            <w:r w:rsidR="00786B3A">
              <w:rPr>
                <w:rFonts w:ascii="Arial" w:hAnsi="Arial" w:cs="Arial"/>
                <w:bCs/>
              </w:rPr>
              <w:t>; consumption of alcohol is also an issue for Alan</w:t>
            </w:r>
            <w:r w:rsidRPr="009A22E3">
              <w:rPr>
                <w:rFonts w:ascii="Arial" w:hAnsi="Arial" w:cs="Arial"/>
                <w:bCs/>
              </w:rPr>
              <w:t>.</w:t>
            </w:r>
            <w:r w:rsidR="00786B3A">
              <w:rPr>
                <w:rFonts w:ascii="Arial" w:hAnsi="Arial" w:cs="Arial"/>
                <w:bCs/>
              </w:rPr>
              <w:t xml:space="preserve">  In the past Alan has been in contact with the criminal justice system and has been to jail once.</w:t>
            </w:r>
            <w:r w:rsidRPr="009A22E3">
              <w:rPr>
                <w:rFonts w:ascii="Arial" w:hAnsi="Arial" w:cs="Arial"/>
                <w:bCs/>
              </w:rPr>
              <w:t xml:space="preserve">  At the time of the hearing Alan was on a </w:t>
            </w:r>
            <w:r w:rsidR="003A1FCA">
              <w:rPr>
                <w:rFonts w:ascii="Arial" w:hAnsi="Arial" w:cs="Arial"/>
                <w:bCs/>
              </w:rPr>
              <w:t xml:space="preserve">CTO </w:t>
            </w:r>
            <w:r w:rsidRPr="009A22E3">
              <w:rPr>
                <w:rFonts w:ascii="Arial" w:hAnsi="Arial" w:cs="Arial"/>
                <w:bCs/>
              </w:rPr>
              <w:t xml:space="preserve">and his treating team were seeking a further </w:t>
            </w:r>
            <w:r w:rsidR="003A1FCA">
              <w:rPr>
                <w:rFonts w:ascii="Arial" w:hAnsi="Arial" w:cs="Arial"/>
                <w:bCs/>
              </w:rPr>
              <w:t xml:space="preserve">CTO </w:t>
            </w:r>
            <w:r w:rsidRPr="009A22E3">
              <w:rPr>
                <w:rFonts w:ascii="Arial" w:hAnsi="Arial" w:cs="Arial"/>
                <w:bCs/>
              </w:rPr>
              <w:t>to allow time to stabilise and monitor his mental state with the aim of avoiding a more serious relapse of his mental illness and high risk of harm or offending.</w:t>
            </w:r>
          </w:p>
          <w:p w14:paraId="0EF65156" w14:textId="0EB85780" w:rsidR="009A22E3" w:rsidRPr="009A22E3" w:rsidRDefault="009A22E3" w:rsidP="009A22E3">
            <w:pPr>
              <w:numPr>
                <w:ilvl w:val="6"/>
                <w:numId w:val="2"/>
              </w:numPr>
              <w:spacing w:before="80" w:after="120"/>
              <w:ind w:left="227" w:hanging="227"/>
              <w:jc w:val="both"/>
              <w:rPr>
                <w:rFonts w:ascii="Arial" w:hAnsi="Arial"/>
                <w:bCs/>
                <w:sz w:val="24"/>
                <w:szCs w:val="24"/>
              </w:rPr>
            </w:pPr>
            <w:r w:rsidRPr="009A22E3">
              <w:rPr>
                <w:rFonts w:ascii="Arial" w:hAnsi="Arial" w:cs="Arial"/>
                <w:bCs/>
              </w:rPr>
              <w:t xml:space="preserve">Only Alan’s case manager attended the hearing.  The Tribunal heard it was difficult to support Alan’s adherence to medication although the </w:t>
            </w:r>
            <w:r w:rsidR="00363BEA">
              <w:rPr>
                <w:rFonts w:ascii="Arial" w:hAnsi="Arial" w:cs="Arial"/>
                <w:bCs/>
              </w:rPr>
              <w:t>CTO</w:t>
            </w:r>
            <w:r w:rsidR="004D6791">
              <w:rPr>
                <w:rFonts w:ascii="Arial" w:hAnsi="Arial" w:cs="Arial"/>
                <w:bCs/>
              </w:rPr>
              <w:t xml:space="preserve"> </w:t>
            </w:r>
            <w:r w:rsidRPr="009A22E3">
              <w:rPr>
                <w:rFonts w:ascii="Arial" w:hAnsi="Arial" w:cs="Arial"/>
                <w:bCs/>
              </w:rPr>
              <w:t xml:space="preserve">enabled the treating team to administer his depot medication regularly and maintain some contact with him.  Alan’s case manager told the Tribunal he was under considerable pressure to ‘close the case’ and not pursue an application for a further </w:t>
            </w:r>
            <w:r w:rsidR="00363BEA">
              <w:rPr>
                <w:rFonts w:ascii="Arial" w:hAnsi="Arial" w:cs="Arial"/>
                <w:bCs/>
              </w:rPr>
              <w:t>TO</w:t>
            </w:r>
            <w:r w:rsidRPr="009A22E3">
              <w:rPr>
                <w:rFonts w:ascii="Arial" w:hAnsi="Arial" w:cs="Arial"/>
                <w:bCs/>
              </w:rPr>
              <w:t xml:space="preserve"> because Alan is a ‘drug case.’ The case manager wanted to persist, he acknowledged that even with the </w:t>
            </w:r>
            <w:r w:rsidR="00363BEA">
              <w:rPr>
                <w:rFonts w:ascii="Arial" w:hAnsi="Arial" w:cs="Arial"/>
                <w:bCs/>
              </w:rPr>
              <w:t>TO</w:t>
            </w:r>
            <w:r w:rsidRPr="009A22E3">
              <w:rPr>
                <w:rFonts w:ascii="Arial" w:hAnsi="Arial" w:cs="Arial"/>
                <w:bCs/>
              </w:rPr>
              <w:t xml:space="preserve"> the situation was less than optimal, but it could be worse.  Alan had also expressed some interest in broader psycho-social supports the case manager had suggested.</w:t>
            </w:r>
            <w:r w:rsidRPr="009A22E3">
              <w:rPr>
                <w:rFonts w:ascii="Arial" w:hAnsi="Arial"/>
                <w:bCs/>
                <w:sz w:val="24"/>
                <w:szCs w:val="24"/>
              </w:rPr>
              <w:t xml:space="preserve"> </w:t>
            </w:r>
          </w:p>
        </w:tc>
      </w:tr>
    </w:tbl>
    <w:p w14:paraId="66D72237" w14:textId="47AA85DD" w:rsidR="00543059" w:rsidRDefault="00543059" w:rsidP="00370586">
      <w:pPr>
        <w:spacing w:before="240" w:after="200"/>
        <w:contextualSpacing/>
        <w:jc w:val="both"/>
        <w:rPr>
          <w:rFonts w:ascii="Arial" w:eastAsiaTheme="minorHAnsi" w:hAnsi="Arial" w:cs="Arial"/>
        </w:rPr>
      </w:pPr>
    </w:p>
    <w:p w14:paraId="133617C8" w14:textId="0DAE42C9" w:rsidR="00370586" w:rsidRPr="00370586" w:rsidRDefault="00370586" w:rsidP="00370586">
      <w:pPr>
        <w:spacing w:after="120"/>
        <w:contextualSpacing/>
        <w:jc w:val="both"/>
        <w:rPr>
          <w:rFonts w:ascii="Arial" w:eastAsia="Times" w:hAnsi="Arial"/>
          <w:b/>
        </w:rPr>
      </w:pPr>
      <w:r w:rsidRPr="00370586">
        <w:rPr>
          <w:rFonts w:ascii="Arial" w:eastAsia="Times" w:hAnsi="Arial"/>
          <w:b/>
        </w:rPr>
        <w:t>1.3.3  N</w:t>
      </w:r>
      <w:r w:rsidR="00567E4E">
        <w:rPr>
          <w:rFonts w:ascii="Arial" w:eastAsia="Times" w:hAnsi="Arial"/>
          <w:b/>
        </w:rPr>
        <w:t xml:space="preserve">ational </w:t>
      </w:r>
      <w:r w:rsidRPr="00370586">
        <w:rPr>
          <w:rFonts w:ascii="Arial" w:eastAsia="Times" w:hAnsi="Arial"/>
          <w:b/>
        </w:rPr>
        <w:t>D</w:t>
      </w:r>
      <w:r w:rsidR="00567E4E">
        <w:rPr>
          <w:rFonts w:ascii="Arial" w:eastAsia="Times" w:hAnsi="Arial"/>
          <w:b/>
        </w:rPr>
        <w:t xml:space="preserve">isability </w:t>
      </w:r>
      <w:r w:rsidRPr="00370586">
        <w:rPr>
          <w:rFonts w:ascii="Arial" w:eastAsia="Times" w:hAnsi="Arial"/>
          <w:b/>
        </w:rPr>
        <w:t>I</w:t>
      </w:r>
      <w:r w:rsidR="00567E4E">
        <w:rPr>
          <w:rFonts w:ascii="Arial" w:eastAsia="Times" w:hAnsi="Arial"/>
          <w:b/>
        </w:rPr>
        <w:t xml:space="preserve">nsurance </w:t>
      </w:r>
      <w:r w:rsidRPr="00370586">
        <w:rPr>
          <w:rFonts w:ascii="Arial" w:eastAsia="Times" w:hAnsi="Arial"/>
          <w:b/>
        </w:rPr>
        <w:t>S</w:t>
      </w:r>
      <w:r w:rsidR="00567E4E">
        <w:rPr>
          <w:rFonts w:ascii="Arial" w:eastAsia="Times" w:hAnsi="Arial"/>
          <w:b/>
        </w:rPr>
        <w:t>cheme</w:t>
      </w:r>
    </w:p>
    <w:p w14:paraId="1D3B0616" w14:textId="77777777" w:rsidR="00370586" w:rsidRPr="00370586" w:rsidRDefault="00370586" w:rsidP="00370586">
      <w:pPr>
        <w:spacing w:after="120"/>
        <w:contextualSpacing/>
        <w:jc w:val="both"/>
        <w:rPr>
          <w:rFonts w:ascii="Arial" w:eastAsia="Times" w:hAnsi="Arial"/>
        </w:rPr>
      </w:pPr>
    </w:p>
    <w:p w14:paraId="7C6536D5" w14:textId="7B6F740A"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As the roll-out of the </w:t>
      </w:r>
      <w:r w:rsidR="00567E4E">
        <w:rPr>
          <w:rFonts w:ascii="Arial" w:eastAsia="Times" w:hAnsi="Arial"/>
        </w:rPr>
        <w:t>National Disability Insurance Scheme (</w:t>
      </w:r>
      <w:r w:rsidRPr="00370586">
        <w:rPr>
          <w:rFonts w:ascii="Arial" w:eastAsia="Times" w:hAnsi="Arial"/>
        </w:rPr>
        <w:t>NDIS</w:t>
      </w:r>
      <w:r w:rsidR="00567E4E">
        <w:rPr>
          <w:rFonts w:ascii="Arial" w:eastAsia="Times" w:hAnsi="Arial"/>
        </w:rPr>
        <w:t>)</w:t>
      </w:r>
      <w:r w:rsidRPr="00370586">
        <w:rPr>
          <w:rFonts w:ascii="Arial" w:eastAsia="Times" w:hAnsi="Arial"/>
        </w:rPr>
        <w:t xml:space="preserve"> progresses, and despite the ongoing questions and concerns about how the scheme responds to psychosocial disabilities, the Tribunal has observed a very active response on the part of mental health services in terms of their efforts to assist consumers and their support people with initiating and pursuing NDIS applications.  This needs to be an ongoing priority and in many cases the results appear to be positive.</w:t>
      </w:r>
    </w:p>
    <w:p w14:paraId="51F57619" w14:textId="0E7B7994" w:rsidR="00370586" w:rsidRDefault="00370586" w:rsidP="00370586">
      <w:pPr>
        <w:spacing w:after="120"/>
        <w:contextualSpacing/>
        <w:jc w:val="both"/>
        <w:rPr>
          <w:rFonts w:ascii="Arial" w:eastAsia="Times"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6A09B6" w:rsidRPr="006A09B6" w14:paraId="376A36B2" w14:textId="77777777" w:rsidTr="007E7BF5">
        <w:tc>
          <w:tcPr>
            <w:tcW w:w="8522" w:type="dxa"/>
            <w:shd w:val="clear" w:color="auto" w:fill="EAF1DD" w:themeFill="accent3" w:themeFillTint="33"/>
          </w:tcPr>
          <w:p w14:paraId="02193F65" w14:textId="4D72F42C" w:rsidR="006A09B6" w:rsidRPr="006A09B6" w:rsidRDefault="006A09B6" w:rsidP="006A09B6">
            <w:pPr>
              <w:keepNext/>
              <w:keepLines/>
              <w:spacing w:before="40"/>
              <w:jc w:val="center"/>
              <w:outlineLvl w:val="1"/>
              <w:rPr>
                <w:rFonts w:ascii="Arial" w:eastAsia="Calibri" w:hAnsi="Arial" w:cs="Arial"/>
                <w:b/>
                <w:color w:val="365F91" w:themeColor="accent1" w:themeShade="BF"/>
              </w:rPr>
            </w:pPr>
            <w:bookmarkStart w:id="15" w:name="_Toc12267344"/>
            <w:r w:rsidRPr="006A09B6">
              <w:rPr>
                <w:rFonts w:ascii="Arial" w:eastAsia="Calibri" w:hAnsi="Arial" w:cs="Arial"/>
                <w:b/>
                <w:color w:val="365F91" w:themeColor="accent1" w:themeShade="BF"/>
              </w:rPr>
              <w:lastRenderedPageBreak/>
              <w:t>‘Stacey’</w:t>
            </w:r>
            <w:r>
              <w:rPr>
                <w:rFonts w:ascii="Arial" w:eastAsia="Calibri" w:hAnsi="Arial" w:cs="Arial"/>
                <w:b/>
                <w:color w:val="365F91" w:themeColor="accent1" w:themeShade="BF"/>
              </w:rPr>
              <w:t xml:space="preserve"> and</w:t>
            </w:r>
            <w:r w:rsidRPr="006A09B6">
              <w:rPr>
                <w:rFonts w:ascii="Arial" w:eastAsia="Calibri" w:hAnsi="Arial" w:cs="Arial"/>
                <w:b/>
                <w:color w:val="365F91" w:themeColor="accent1" w:themeShade="BF"/>
              </w:rPr>
              <w:t xml:space="preserve"> ‘Gary’</w:t>
            </w:r>
            <w:bookmarkEnd w:id="15"/>
          </w:p>
          <w:p w14:paraId="1DA1B80C" w14:textId="40F9366F" w:rsidR="006A09B6" w:rsidRPr="006A09B6" w:rsidRDefault="006A09B6" w:rsidP="006A09B6">
            <w:pPr>
              <w:numPr>
                <w:ilvl w:val="6"/>
                <w:numId w:val="2"/>
              </w:numPr>
              <w:spacing w:before="80" w:after="120"/>
              <w:ind w:left="227" w:hanging="227"/>
              <w:jc w:val="both"/>
              <w:rPr>
                <w:rFonts w:ascii="Arial" w:hAnsi="Arial" w:cs="Arial"/>
                <w:bCs/>
              </w:rPr>
            </w:pPr>
            <w:r w:rsidRPr="006A09B6">
              <w:rPr>
                <w:rFonts w:ascii="Arial" w:hAnsi="Arial" w:cs="Arial"/>
                <w:bCs/>
              </w:rPr>
              <w:t>Stacey has experienced a regular pattern of relapse of her mental illness, followed by eviction from a series of supported residential services.  This has usually been  followed by admission to an acute mental health inpatient unit and then discharge to another supported residential service. Last year Stacey’s mother applied for an NDIS package for Stacey which has allowed her to secure a private, rented flat and to receive four hours of support a day to help her organise her flat, attend to shopping, appointments and assist her with community interaction. At the time of the Tribunal hearing, Stacey had been successfully living in her new flat for approximately four months and finally has the prospect of stable accommodation.</w:t>
            </w:r>
          </w:p>
          <w:p w14:paraId="07789148" w14:textId="46C74DDB" w:rsidR="006A09B6" w:rsidRPr="006A09B6" w:rsidRDefault="006A09B6" w:rsidP="006A09B6">
            <w:pPr>
              <w:numPr>
                <w:ilvl w:val="6"/>
                <w:numId w:val="2"/>
              </w:numPr>
              <w:spacing w:before="80" w:after="120"/>
              <w:ind w:left="227" w:hanging="227"/>
              <w:jc w:val="both"/>
              <w:rPr>
                <w:rFonts w:ascii="Arial" w:hAnsi="Arial"/>
                <w:bCs/>
                <w:sz w:val="24"/>
                <w:szCs w:val="24"/>
              </w:rPr>
            </w:pPr>
            <w:r w:rsidRPr="006A09B6">
              <w:rPr>
                <w:rFonts w:ascii="Arial" w:hAnsi="Arial" w:cs="Arial"/>
                <w:bCs/>
              </w:rPr>
              <w:t xml:space="preserve">Gary also recently had an NDIS package approved after his treating team made an application on his behalf. Gary now has an NDIS coordinator and receives four hours of assistance a week. Gary chose not to attend his Tribunal </w:t>
            </w:r>
            <w:proofErr w:type="gramStart"/>
            <w:r w:rsidRPr="006A09B6">
              <w:rPr>
                <w:rFonts w:ascii="Arial" w:hAnsi="Arial" w:cs="Arial"/>
                <w:bCs/>
              </w:rPr>
              <w:t>hearing, but</w:t>
            </w:r>
            <w:proofErr w:type="gramEnd"/>
            <w:r w:rsidRPr="006A09B6">
              <w:rPr>
                <w:rFonts w:ascii="Arial" w:hAnsi="Arial" w:cs="Arial"/>
                <w:bCs/>
              </w:rPr>
              <w:t xml:space="preserve"> asked and authorised his NDIS coordinator to participate in his absence. Gary’s NDIS coordinator attended and told the Tribunal and Gary’s treating team she was getting a better understanding of Gary’s support needs, including assistance with taking medication, attending appointments and was intending to lodge an NDIS review application seeking to increase the package to provide Gary with assistance for four hours per day as part of his recovery plan.</w:t>
            </w:r>
          </w:p>
        </w:tc>
      </w:tr>
    </w:tbl>
    <w:p w14:paraId="31F3CA07" w14:textId="2FB118EE" w:rsidR="00016626" w:rsidRDefault="00016626" w:rsidP="00370586">
      <w:pPr>
        <w:spacing w:after="120"/>
        <w:contextualSpacing/>
        <w:jc w:val="both"/>
        <w:rPr>
          <w:rFonts w:ascii="Arial" w:eastAsia="Times" w:hAnsi="Arial"/>
        </w:rPr>
      </w:pPr>
    </w:p>
    <w:p w14:paraId="3A0948AF" w14:textId="692DA876" w:rsidR="00370586" w:rsidRPr="00370586" w:rsidRDefault="00370586" w:rsidP="00370586">
      <w:pPr>
        <w:spacing w:after="120"/>
        <w:contextualSpacing/>
        <w:jc w:val="both"/>
        <w:rPr>
          <w:rFonts w:ascii="Arial" w:eastAsia="Times" w:hAnsi="Arial"/>
        </w:rPr>
      </w:pPr>
      <w:r w:rsidRPr="00370586">
        <w:rPr>
          <w:rFonts w:ascii="Arial" w:eastAsia="Times" w:hAnsi="Arial"/>
        </w:rPr>
        <w:t>However, the Tribunal has also observed cases where once an application has been finalised and NDIS supports have been put in place, little if any consideration has been given to the effective integration of NDIS supports and the treatment and support being provided by mental health services.  This may be a ‘teething issue’ but every effort must be made to ensure NDIS supports and mental health care</w:t>
      </w:r>
      <w:r w:rsidR="00112010">
        <w:rPr>
          <w:rFonts w:ascii="Arial" w:eastAsia="Times" w:hAnsi="Arial"/>
        </w:rPr>
        <w:t>,</w:t>
      </w:r>
      <w:r w:rsidRPr="00370586">
        <w:rPr>
          <w:rFonts w:ascii="Arial" w:eastAsia="Times" w:hAnsi="Arial"/>
        </w:rPr>
        <w:t xml:space="preserve"> do not become two further silos</w:t>
      </w:r>
      <w:r w:rsidR="00716523">
        <w:rPr>
          <w:rFonts w:ascii="Arial" w:eastAsia="Times" w:hAnsi="Arial"/>
        </w:rPr>
        <w:t xml:space="preserve"> within the service network that consumers and their support people need to navigate</w:t>
      </w:r>
      <w:r w:rsidRPr="00370586">
        <w:rPr>
          <w:rFonts w:ascii="Arial" w:eastAsia="Times" w:hAnsi="Arial"/>
        </w:rPr>
        <w:t>.</w:t>
      </w:r>
    </w:p>
    <w:p w14:paraId="1136289C" w14:textId="1D442927" w:rsidR="00370586" w:rsidRDefault="00370586" w:rsidP="00370586">
      <w:pPr>
        <w:spacing w:after="120"/>
        <w:contextualSpacing/>
        <w:jc w:val="both"/>
        <w:rPr>
          <w:rFonts w:ascii="Arial" w:eastAsia="Times"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6A09B6" w:rsidRPr="006A09B6" w14:paraId="34A9C4A6" w14:textId="77777777" w:rsidTr="007E7BF5">
        <w:tc>
          <w:tcPr>
            <w:tcW w:w="8522" w:type="dxa"/>
            <w:shd w:val="clear" w:color="auto" w:fill="EAF1DD" w:themeFill="accent3" w:themeFillTint="33"/>
          </w:tcPr>
          <w:p w14:paraId="493B2473" w14:textId="4B6C5713" w:rsidR="006A09B6" w:rsidRPr="006A09B6" w:rsidRDefault="006A09B6" w:rsidP="006A09B6">
            <w:pPr>
              <w:keepNext/>
              <w:keepLines/>
              <w:spacing w:before="40"/>
              <w:jc w:val="center"/>
              <w:outlineLvl w:val="1"/>
              <w:rPr>
                <w:rFonts w:ascii="Arial" w:eastAsia="Calibri" w:hAnsi="Arial" w:cs="Arial"/>
                <w:b/>
                <w:color w:val="365F91" w:themeColor="accent1" w:themeShade="BF"/>
              </w:rPr>
            </w:pPr>
            <w:r w:rsidRPr="006A09B6">
              <w:rPr>
                <w:rFonts w:ascii="Arial" w:eastAsia="Calibri" w:hAnsi="Arial" w:cs="Arial"/>
                <w:b/>
                <w:color w:val="365F91" w:themeColor="accent1" w:themeShade="BF"/>
              </w:rPr>
              <w:t>‘Rebecca’</w:t>
            </w:r>
          </w:p>
          <w:p w14:paraId="4037B865" w14:textId="330C31D2" w:rsidR="006A09B6" w:rsidRPr="006A09B6" w:rsidRDefault="006A09B6" w:rsidP="006A09B6">
            <w:pPr>
              <w:numPr>
                <w:ilvl w:val="6"/>
                <w:numId w:val="2"/>
              </w:numPr>
              <w:spacing w:before="80" w:after="120"/>
              <w:ind w:left="227" w:hanging="227"/>
              <w:jc w:val="both"/>
              <w:rPr>
                <w:rFonts w:ascii="Arial" w:hAnsi="Arial"/>
                <w:bCs/>
                <w:sz w:val="24"/>
                <w:szCs w:val="24"/>
              </w:rPr>
            </w:pPr>
            <w:r w:rsidRPr="006A09B6">
              <w:rPr>
                <w:rFonts w:ascii="Arial" w:hAnsi="Arial" w:cs="Arial"/>
                <w:bCs/>
              </w:rPr>
              <w:t>Rebecca has an NDIS package that includes funding that allows her to have ongoing and regular contact with a psychologist and two case workers. Rebecca has contact with her NDIS support workers three or four times a week. However, the treating team told the Tribunal at Rebecca’s most recent hearing that they had</w:t>
            </w:r>
            <w:r w:rsidR="000E659B">
              <w:rPr>
                <w:rFonts w:ascii="Arial" w:hAnsi="Arial" w:cs="Arial"/>
                <w:bCs/>
              </w:rPr>
              <w:t xml:space="preserve"> not</w:t>
            </w:r>
            <w:r w:rsidRPr="006A09B6">
              <w:rPr>
                <w:rFonts w:ascii="Arial" w:hAnsi="Arial" w:cs="Arial"/>
                <w:bCs/>
              </w:rPr>
              <w:t xml:space="preserve"> contacted Rebecca’s NDIS support providers, including to discuss whether there might be less restrictive treatment options such as a shared-care arrangement with Rebecca receiving treatment as a voluntary patient. The treating team acknowledged that their main response to the introduction of NDIS supports was to minimise their contact with Rebecca and it now consisted of only monthly depot appointments. No effort had been made to collaborate with Rebecca and her NDIS supports on a new treatment and recovery plan to reflect her very different circumstances.</w:t>
            </w:r>
          </w:p>
        </w:tc>
      </w:tr>
    </w:tbl>
    <w:p w14:paraId="428D1224" w14:textId="77777777" w:rsidR="00716523" w:rsidRDefault="00716523" w:rsidP="00370586">
      <w:pPr>
        <w:spacing w:after="120"/>
        <w:contextualSpacing/>
        <w:jc w:val="both"/>
        <w:rPr>
          <w:rFonts w:ascii="Arial" w:eastAsia="Times" w:hAnsi="Arial"/>
        </w:rPr>
      </w:pPr>
    </w:p>
    <w:p w14:paraId="2A52A28C" w14:textId="77777777" w:rsidR="00370586" w:rsidRPr="00370586" w:rsidRDefault="00370586" w:rsidP="00370586">
      <w:pPr>
        <w:keepNext/>
        <w:keepLines/>
        <w:spacing w:before="280" w:after="120"/>
        <w:contextualSpacing/>
        <w:jc w:val="both"/>
        <w:outlineLvl w:val="2"/>
        <w:rPr>
          <w:rFonts w:ascii="Arial" w:eastAsia="MS Gothic" w:hAnsi="Arial"/>
          <w:b/>
          <w:bCs/>
          <w:sz w:val="24"/>
          <w:szCs w:val="26"/>
        </w:rPr>
      </w:pPr>
      <w:r w:rsidRPr="00370586">
        <w:rPr>
          <w:rFonts w:ascii="Arial" w:eastAsia="MS Gothic" w:hAnsi="Arial"/>
          <w:b/>
          <w:bCs/>
          <w:sz w:val="24"/>
          <w:szCs w:val="26"/>
        </w:rPr>
        <w:t>1.4  Inadequate responses to individuals with multiple and complex needs</w:t>
      </w:r>
    </w:p>
    <w:p w14:paraId="6C2E714F" w14:textId="77777777" w:rsidR="00543059" w:rsidRDefault="00543059" w:rsidP="00370586">
      <w:pPr>
        <w:spacing w:after="120"/>
        <w:contextualSpacing/>
        <w:jc w:val="both"/>
        <w:rPr>
          <w:rFonts w:ascii="Arial" w:eastAsia="Times" w:hAnsi="Arial"/>
        </w:rPr>
      </w:pPr>
    </w:p>
    <w:p w14:paraId="3F3291C7" w14:textId="6AEEF4B3" w:rsidR="00370586" w:rsidRPr="00370586" w:rsidRDefault="00370586" w:rsidP="00370586">
      <w:pPr>
        <w:spacing w:after="120"/>
        <w:contextualSpacing/>
        <w:jc w:val="both"/>
        <w:rPr>
          <w:rFonts w:ascii="Arial" w:eastAsia="Times" w:hAnsi="Arial"/>
        </w:rPr>
      </w:pPr>
      <w:r w:rsidRPr="00370586">
        <w:rPr>
          <w:rFonts w:ascii="Arial" w:eastAsia="Times" w:hAnsi="Arial"/>
        </w:rPr>
        <w:t>It is impossible for any service system, no matter how well designed and comprehensive it is, to be able to anticipate the myriad of treatments and supports that may be required by an individual with multiple and complex needs.  What a system needs to be equipped to do is respond coherently, collaboratively and in a timely manner.</w:t>
      </w:r>
    </w:p>
    <w:p w14:paraId="120F4C9F" w14:textId="77777777" w:rsidR="00370586" w:rsidRPr="00370586" w:rsidRDefault="00370586" w:rsidP="00370586">
      <w:pPr>
        <w:spacing w:after="120"/>
        <w:contextualSpacing/>
        <w:jc w:val="both"/>
        <w:rPr>
          <w:rFonts w:ascii="Arial" w:eastAsia="Times" w:hAnsi="Arial"/>
        </w:rPr>
      </w:pPr>
    </w:p>
    <w:p w14:paraId="6FFB349E"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From the Tribunal’s experience and observation, responding to the needs of especially complex individuals confronts at least two key hurdles. First, the service that has responsibility for a complex consumer usually </w:t>
      </w:r>
      <w:proofErr w:type="gramStart"/>
      <w:r w:rsidRPr="00370586">
        <w:rPr>
          <w:rFonts w:ascii="Arial" w:eastAsia="Times" w:hAnsi="Arial"/>
        </w:rPr>
        <w:t>has to</w:t>
      </w:r>
      <w:proofErr w:type="gramEnd"/>
      <w:r w:rsidRPr="00370586">
        <w:rPr>
          <w:rFonts w:ascii="Arial" w:eastAsia="Times" w:hAnsi="Arial"/>
        </w:rPr>
        <w:t xml:space="preserve"> grapple with a lack of clear processes for bringing together the various agencies that need to be involved in developing and implementing a comprehensive support plan. Secondly, even when they can be brought together, impasses between agencies can result and presently no entity has clear authority to resolve these matters, if necessary, by directing what is going to happen.  The result is that individuals can languish.</w:t>
      </w:r>
    </w:p>
    <w:p w14:paraId="131E8ED5" w14:textId="770A662D" w:rsidR="00370586" w:rsidRDefault="00370586" w:rsidP="00370586">
      <w:pPr>
        <w:spacing w:after="120"/>
        <w:contextualSpacing/>
        <w:jc w:val="both"/>
        <w:rPr>
          <w:rFonts w:ascii="Arial" w:eastAsia="Times"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26916" w:rsidRPr="00E26916" w14:paraId="08E166A5" w14:textId="77777777" w:rsidTr="00A027CF">
        <w:tc>
          <w:tcPr>
            <w:tcW w:w="8522" w:type="dxa"/>
            <w:shd w:val="clear" w:color="auto" w:fill="EAF1DD" w:themeFill="accent3" w:themeFillTint="33"/>
          </w:tcPr>
          <w:p w14:paraId="3EEC59BF" w14:textId="77777777" w:rsidR="00E26916" w:rsidRPr="00E26916" w:rsidRDefault="00E26916" w:rsidP="00E26916">
            <w:pPr>
              <w:keepNext/>
              <w:keepLines/>
              <w:spacing w:before="40"/>
              <w:contextualSpacing/>
              <w:jc w:val="center"/>
              <w:outlineLvl w:val="1"/>
              <w:rPr>
                <w:rFonts w:ascii="Arial" w:eastAsia="Calibri" w:hAnsi="Arial" w:cs="Arial"/>
                <w:b/>
                <w:color w:val="365F91" w:themeColor="accent1" w:themeShade="BF"/>
              </w:rPr>
            </w:pPr>
            <w:bookmarkStart w:id="16" w:name="_Toc12267346"/>
            <w:r w:rsidRPr="00E26916">
              <w:rPr>
                <w:rFonts w:ascii="Arial" w:eastAsia="Calibri" w:hAnsi="Arial" w:cs="Arial"/>
                <w:b/>
                <w:color w:val="365F91" w:themeColor="accent1" w:themeShade="BF"/>
              </w:rPr>
              <w:lastRenderedPageBreak/>
              <w:t>‘Sanjay’</w:t>
            </w:r>
            <w:bookmarkEnd w:id="16"/>
          </w:p>
          <w:p w14:paraId="0C3BDC9E" w14:textId="2C3E9356" w:rsidR="00E26916" w:rsidRPr="00E26916" w:rsidRDefault="00E26916" w:rsidP="00E26916">
            <w:pPr>
              <w:numPr>
                <w:ilvl w:val="6"/>
                <w:numId w:val="2"/>
              </w:numPr>
              <w:spacing w:before="80" w:after="120"/>
              <w:ind w:left="227" w:hanging="227"/>
              <w:contextualSpacing/>
              <w:jc w:val="both"/>
              <w:rPr>
                <w:rFonts w:ascii="Arial" w:hAnsi="Arial" w:cs="Arial"/>
                <w:bCs/>
              </w:rPr>
            </w:pPr>
            <w:r w:rsidRPr="00E26916">
              <w:rPr>
                <w:rFonts w:ascii="Arial" w:hAnsi="Arial" w:cs="Arial"/>
                <w:bCs/>
              </w:rPr>
              <w:t>Sanjay has multiple and complex needs. He</w:t>
            </w:r>
            <w:r w:rsidR="00112010">
              <w:rPr>
                <w:rFonts w:ascii="Arial" w:hAnsi="Arial" w:cs="Arial"/>
                <w:bCs/>
              </w:rPr>
              <w:t xml:space="preserve"> has</w:t>
            </w:r>
            <w:r w:rsidRPr="00E26916">
              <w:rPr>
                <w:rFonts w:ascii="Arial" w:hAnsi="Arial" w:cs="Arial"/>
                <w:bCs/>
              </w:rPr>
              <w:t xml:space="preserve"> </w:t>
            </w:r>
            <w:r w:rsidR="00786B3A">
              <w:rPr>
                <w:rFonts w:ascii="Arial" w:hAnsi="Arial" w:cs="Arial"/>
                <w:bCs/>
              </w:rPr>
              <w:t xml:space="preserve">received treatment for </w:t>
            </w:r>
            <w:r w:rsidRPr="00E26916">
              <w:rPr>
                <w:rFonts w:ascii="Arial" w:hAnsi="Arial" w:cs="Arial"/>
                <w:bCs/>
              </w:rPr>
              <w:t xml:space="preserve">schizophrenia </w:t>
            </w:r>
            <w:r w:rsidR="00786B3A">
              <w:rPr>
                <w:rFonts w:ascii="Arial" w:hAnsi="Arial" w:cs="Arial"/>
                <w:bCs/>
              </w:rPr>
              <w:t xml:space="preserve">for </w:t>
            </w:r>
            <w:r w:rsidRPr="00E26916">
              <w:rPr>
                <w:rFonts w:ascii="Arial" w:hAnsi="Arial" w:cs="Arial"/>
                <w:bCs/>
              </w:rPr>
              <w:t xml:space="preserve">twenty years and has </w:t>
            </w:r>
            <w:r w:rsidR="00786B3A">
              <w:rPr>
                <w:rFonts w:ascii="Arial" w:hAnsi="Arial" w:cs="Arial"/>
                <w:bCs/>
              </w:rPr>
              <w:t xml:space="preserve">also </w:t>
            </w:r>
            <w:r w:rsidRPr="00E26916">
              <w:rPr>
                <w:rFonts w:ascii="Arial" w:hAnsi="Arial" w:cs="Arial"/>
                <w:bCs/>
              </w:rPr>
              <w:t xml:space="preserve">had contact with the justice system in relation to serious offending. Sanjay has now been in </w:t>
            </w:r>
            <w:proofErr w:type="gramStart"/>
            <w:r w:rsidRPr="00E26916">
              <w:rPr>
                <w:rFonts w:ascii="Arial" w:hAnsi="Arial" w:cs="Arial"/>
                <w:bCs/>
              </w:rPr>
              <w:t>a number of</w:t>
            </w:r>
            <w:proofErr w:type="gramEnd"/>
            <w:r w:rsidRPr="00E26916">
              <w:rPr>
                <w:rFonts w:ascii="Arial" w:hAnsi="Arial" w:cs="Arial"/>
                <w:bCs/>
              </w:rPr>
              <w:t xml:space="preserve"> secure settings for many years.</w:t>
            </w:r>
          </w:p>
          <w:p w14:paraId="6F8B3FE9" w14:textId="77777777" w:rsidR="00E26916" w:rsidRPr="00E26916" w:rsidRDefault="00E26916" w:rsidP="00E26916">
            <w:pPr>
              <w:numPr>
                <w:ilvl w:val="6"/>
                <w:numId w:val="2"/>
              </w:numPr>
              <w:spacing w:before="80" w:after="120"/>
              <w:ind w:left="227" w:hanging="227"/>
              <w:contextualSpacing/>
              <w:jc w:val="both"/>
              <w:rPr>
                <w:rFonts w:ascii="Arial" w:hAnsi="Arial" w:cs="Arial"/>
                <w:bCs/>
              </w:rPr>
            </w:pPr>
          </w:p>
          <w:p w14:paraId="4C1FB56B" w14:textId="77777777" w:rsidR="00E26916" w:rsidRPr="00E26916" w:rsidRDefault="00E26916" w:rsidP="00E26916">
            <w:pPr>
              <w:numPr>
                <w:ilvl w:val="6"/>
                <w:numId w:val="2"/>
              </w:numPr>
              <w:spacing w:before="80" w:after="120"/>
              <w:ind w:left="227" w:hanging="227"/>
              <w:contextualSpacing/>
              <w:jc w:val="both"/>
              <w:rPr>
                <w:rFonts w:ascii="Arial" w:hAnsi="Arial" w:cs="Arial"/>
                <w:bCs/>
              </w:rPr>
            </w:pPr>
            <w:proofErr w:type="gramStart"/>
            <w:r w:rsidRPr="00E26916">
              <w:rPr>
                <w:rFonts w:ascii="Arial" w:hAnsi="Arial" w:cs="Arial"/>
                <w:bCs/>
              </w:rPr>
              <w:t>A number of</w:t>
            </w:r>
            <w:proofErr w:type="gramEnd"/>
            <w:r w:rsidRPr="00E26916">
              <w:rPr>
                <w:rFonts w:ascii="Arial" w:hAnsi="Arial" w:cs="Arial"/>
                <w:bCs/>
              </w:rPr>
              <w:t xml:space="preserve"> agencies have a role to play in Sanjay’s care and treatment. These include his current treating team, the community team of the mental health service that will eventually be his ‘receiving service’ as well as NDIS service providers.</w:t>
            </w:r>
          </w:p>
          <w:p w14:paraId="777FB9BC" w14:textId="77777777" w:rsidR="00E26916" w:rsidRPr="00E26916" w:rsidRDefault="00E26916" w:rsidP="00E26916">
            <w:pPr>
              <w:numPr>
                <w:ilvl w:val="6"/>
                <w:numId w:val="2"/>
              </w:numPr>
              <w:spacing w:before="80" w:after="120"/>
              <w:ind w:left="227" w:hanging="227"/>
              <w:contextualSpacing/>
              <w:jc w:val="both"/>
              <w:rPr>
                <w:rFonts w:ascii="Arial" w:hAnsi="Arial" w:cs="Arial"/>
                <w:bCs/>
              </w:rPr>
            </w:pPr>
          </w:p>
          <w:p w14:paraId="7A0568C4" w14:textId="77777777" w:rsidR="00E26916" w:rsidRPr="00E26916" w:rsidRDefault="00E26916" w:rsidP="00E26916">
            <w:pPr>
              <w:spacing w:before="80" w:after="120"/>
              <w:ind w:left="227"/>
              <w:contextualSpacing/>
              <w:jc w:val="both"/>
              <w:rPr>
                <w:rFonts w:ascii="Arial" w:hAnsi="Arial" w:cs="Arial"/>
                <w:bCs/>
              </w:rPr>
            </w:pPr>
            <w:r w:rsidRPr="00E26916">
              <w:rPr>
                <w:rFonts w:ascii="Arial" w:hAnsi="Arial" w:cs="Arial"/>
                <w:bCs/>
              </w:rPr>
              <w:t>Sanjay has regular Tribunal hearings and at each hearing the Tribunal seeks to ensure that the multiple agencies involved in his care are maintaining appropriate levels of communication. It was a positive development that at Sanjay’s last hearing his current treating team confirmed his potential receiving service had agreed to participate in regular discussions.  That the current treating team described this as a ‘break through’ indicates how difficult it had been to secure even this basic level of engagement.</w:t>
            </w:r>
          </w:p>
          <w:p w14:paraId="3C9110A1" w14:textId="77777777" w:rsidR="00E26916" w:rsidRPr="00E26916" w:rsidRDefault="00E26916" w:rsidP="00E26916">
            <w:pPr>
              <w:spacing w:before="80" w:after="120"/>
              <w:ind w:left="227"/>
              <w:contextualSpacing/>
              <w:jc w:val="both"/>
              <w:rPr>
                <w:rFonts w:ascii="Arial" w:hAnsi="Arial" w:cs="Arial"/>
                <w:bCs/>
              </w:rPr>
            </w:pPr>
          </w:p>
          <w:p w14:paraId="2437B9D8" w14:textId="679E1FA5" w:rsidR="00E26916" w:rsidRPr="00E26916" w:rsidRDefault="00E26916" w:rsidP="00E26916">
            <w:pPr>
              <w:spacing w:before="80" w:after="120"/>
              <w:ind w:left="227"/>
              <w:contextualSpacing/>
              <w:jc w:val="both"/>
              <w:rPr>
                <w:rFonts w:ascii="Arial" w:hAnsi="Arial"/>
                <w:bCs/>
                <w:sz w:val="24"/>
                <w:szCs w:val="24"/>
              </w:rPr>
            </w:pPr>
            <w:r w:rsidRPr="00E26916">
              <w:rPr>
                <w:rFonts w:ascii="Arial" w:hAnsi="Arial" w:cs="Arial"/>
                <w:bCs/>
              </w:rPr>
              <w:t>The Tribunal sought specific confirmation regarding which entity regarded it as their responsibility to ensure there was ongoing collaboration between clinical mental health services, NDIS providers and Sanjay’s advocates regarding his ongoing treatment plan.  No one regarded it as their responsibility.  Fortunately, Sanjay had a guardian from the Office of the Public Advocate</w:t>
            </w:r>
            <w:r w:rsidR="003A1FCA">
              <w:rPr>
                <w:rFonts w:ascii="Arial" w:hAnsi="Arial" w:cs="Arial"/>
                <w:bCs/>
              </w:rPr>
              <w:t xml:space="preserve"> (OPA)</w:t>
            </w:r>
            <w:r w:rsidRPr="00E26916">
              <w:rPr>
                <w:rFonts w:ascii="Arial" w:hAnsi="Arial" w:cs="Arial"/>
                <w:bCs/>
              </w:rPr>
              <w:t xml:space="preserve"> who volunteered to take on this role even though OPA would ordinarily be a participant in rather than coordinator of such processes.</w:t>
            </w:r>
          </w:p>
        </w:tc>
      </w:tr>
    </w:tbl>
    <w:p w14:paraId="1E120294" w14:textId="175EB73D" w:rsidR="00370586" w:rsidRDefault="00370586" w:rsidP="00370586">
      <w:pPr>
        <w:spacing w:after="120"/>
        <w:contextualSpacing/>
        <w:jc w:val="both"/>
        <w:rPr>
          <w:rFonts w:ascii="Arial" w:eastAsia="Times" w:hAnsi="Arial"/>
        </w:rPr>
      </w:pPr>
    </w:p>
    <w:p w14:paraId="33F99FE3" w14:textId="77777777" w:rsidR="00370586" w:rsidRPr="00370586" w:rsidRDefault="00370586" w:rsidP="00370586">
      <w:pPr>
        <w:spacing w:after="120"/>
        <w:contextualSpacing/>
        <w:jc w:val="both"/>
        <w:rPr>
          <w:rFonts w:ascii="Arial" w:eastAsia="Times" w:hAnsi="Arial"/>
          <w:b/>
        </w:rPr>
      </w:pPr>
      <w:r w:rsidRPr="00370586">
        <w:rPr>
          <w:rFonts w:ascii="Arial" w:eastAsia="Times" w:hAnsi="Arial"/>
          <w:b/>
        </w:rPr>
        <w:t>1.4.1  Complex case management by the Tribunal</w:t>
      </w:r>
    </w:p>
    <w:p w14:paraId="0A77A32E" w14:textId="77777777" w:rsidR="00370586" w:rsidRPr="00370586" w:rsidRDefault="00370586" w:rsidP="00370586">
      <w:pPr>
        <w:spacing w:after="120"/>
        <w:contextualSpacing/>
        <w:jc w:val="both"/>
        <w:rPr>
          <w:rFonts w:ascii="Arial" w:eastAsia="Times" w:hAnsi="Arial"/>
        </w:rPr>
      </w:pPr>
    </w:p>
    <w:p w14:paraId="2ABBDBC7" w14:textId="3B061055" w:rsidR="00370586" w:rsidRDefault="00370586" w:rsidP="00370586">
      <w:pPr>
        <w:spacing w:after="120"/>
        <w:contextualSpacing/>
        <w:jc w:val="both"/>
        <w:rPr>
          <w:rFonts w:ascii="Arial" w:eastAsia="Times" w:hAnsi="Arial"/>
        </w:rPr>
      </w:pPr>
      <w:r w:rsidRPr="00370586">
        <w:rPr>
          <w:rFonts w:ascii="Arial" w:eastAsia="Times" w:hAnsi="Arial"/>
        </w:rPr>
        <w:t>Since its inception the Tribunal has implemented assertive case management of hearings for patients who have been identified as having complex needs.  The complexity may have been identified by the Tribunal in previous hearings, advocates or legal representatives representing the person, and/or the person’s treating service.  While this group of patients has broadened, initially a relatively common characteristic was that they ha</w:t>
      </w:r>
      <w:r w:rsidR="00D6597A">
        <w:rPr>
          <w:rFonts w:ascii="Arial" w:eastAsia="Times" w:hAnsi="Arial"/>
        </w:rPr>
        <w:t>d</w:t>
      </w:r>
      <w:r w:rsidRPr="00370586">
        <w:rPr>
          <w:rFonts w:ascii="Arial" w:eastAsia="Times" w:hAnsi="Arial"/>
        </w:rPr>
        <w:t xml:space="preserve"> been inpatients for an extended period (in some cases many years) and their transition to community treatment and living would necessarily involve the provision of coordinated support from several agencies.</w:t>
      </w:r>
    </w:p>
    <w:p w14:paraId="72AD6883" w14:textId="77777777" w:rsidR="00D6597A" w:rsidRPr="00370586" w:rsidRDefault="00D6597A" w:rsidP="00370586">
      <w:pPr>
        <w:spacing w:after="120"/>
        <w:contextualSpacing/>
        <w:jc w:val="both"/>
        <w:rPr>
          <w:rFonts w:ascii="Arial" w:eastAsia="Times" w:hAnsi="Arial"/>
        </w:rPr>
      </w:pPr>
    </w:p>
    <w:p w14:paraId="03EB2063" w14:textId="77A727F9"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The Tribunal is </w:t>
      </w:r>
      <w:r w:rsidR="00694F83">
        <w:rPr>
          <w:rFonts w:ascii="Arial" w:eastAsia="Times" w:hAnsi="Arial"/>
        </w:rPr>
        <w:t>c</w:t>
      </w:r>
      <w:r w:rsidRPr="00370586">
        <w:rPr>
          <w:rFonts w:ascii="Arial" w:eastAsia="Times" w:hAnsi="Arial"/>
        </w:rPr>
        <w:t xml:space="preserve">lear </w:t>
      </w:r>
      <w:r w:rsidR="00694F83">
        <w:rPr>
          <w:rFonts w:ascii="Arial" w:eastAsia="Times" w:hAnsi="Arial"/>
        </w:rPr>
        <w:t>that</w:t>
      </w:r>
      <w:r w:rsidRPr="00370586">
        <w:rPr>
          <w:rFonts w:ascii="Arial" w:eastAsia="Times" w:hAnsi="Arial"/>
        </w:rPr>
        <w:t xml:space="preserve"> its role </w:t>
      </w:r>
      <w:r w:rsidR="00694F83">
        <w:rPr>
          <w:rFonts w:ascii="Arial" w:eastAsia="Times" w:hAnsi="Arial"/>
        </w:rPr>
        <w:t>is</w:t>
      </w:r>
      <w:r w:rsidRPr="00370586">
        <w:rPr>
          <w:rFonts w:ascii="Arial" w:eastAsia="Times" w:hAnsi="Arial"/>
        </w:rPr>
        <w:t xml:space="preserve"> limited to the making of Orders.  </w:t>
      </w:r>
      <w:r w:rsidR="004239F0">
        <w:rPr>
          <w:rFonts w:ascii="Arial" w:eastAsia="Times" w:hAnsi="Arial"/>
        </w:rPr>
        <w:t>I</w:t>
      </w:r>
      <w:r w:rsidRPr="00370586">
        <w:rPr>
          <w:rFonts w:ascii="Arial" w:eastAsia="Times" w:hAnsi="Arial"/>
        </w:rPr>
        <w:t xml:space="preserve">t is also committed to facilitating a hearing process that provides a forum for discussion that </w:t>
      </w:r>
      <w:r w:rsidR="004239F0">
        <w:rPr>
          <w:rFonts w:ascii="Arial" w:eastAsia="Times" w:hAnsi="Arial"/>
        </w:rPr>
        <w:t>can</w:t>
      </w:r>
      <w:r w:rsidRPr="00370586">
        <w:rPr>
          <w:rFonts w:ascii="Arial" w:eastAsia="Times" w:hAnsi="Arial"/>
        </w:rPr>
        <w:t xml:space="preserve"> maintain focus and momentum on develop</w:t>
      </w:r>
      <w:r w:rsidR="004239F0">
        <w:rPr>
          <w:rFonts w:ascii="Arial" w:eastAsia="Times" w:hAnsi="Arial"/>
        </w:rPr>
        <w:t>ing</w:t>
      </w:r>
      <w:r w:rsidRPr="00370586">
        <w:rPr>
          <w:rFonts w:ascii="Arial" w:eastAsia="Times" w:hAnsi="Arial"/>
        </w:rPr>
        <w:t xml:space="preserve"> a treatment plan that aims to get beyond a stalemate or ‘blockage’.  Case management can include joining additional agencies as parties and requiring them to be a part of Tribunal </w:t>
      </w:r>
      <w:proofErr w:type="gramStart"/>
      <w:r w:rsidRPr="00370586">
        <w:rPr>
          <w:rFonts w:ascii="Arial" w:eastAsia="Times" w:hAnsi="Arial"/>
        </w:rPr>
        <w:t>hearings</w:t>
      </w:r>
      <w:r w:rsidR="00112010">
        <w:rPr>
          <w:rFonts w:ascii="Arial" w:eastAsia="Times" w:hAnsi="Arial"/>
        </w:rPr>
        <w:t>,</w:t>
      </w:r>
      <w:r w:rsidRPr="00370586">
        <w:rPr>
          <w:rFonts w:ascii="Arial" w:eastAsia="Times" w:hAnsi="Arial"/>
        </w:rPr>
        <w:t xml:space="preserve"> and</w:t>
      </w:r>
      <w:proofErr w:type="gramEnd"/>
      <w:r w:rsidRPr="00370586">
        <w:rPr>
          <w:rFonts w:ascii="Arial" w:eastAsia="Times" w:hAnsi="Arial"/>
        </w:rPr>
        <w:t xml:space="preserve"> issuing case-specific ‘directions’ as to what information is expected for upcoming hearings.</w:t>
      </w:r>
    </w:p>
    <w:p w14:paraId="6E462731" w14:textId="77777777" w:rsidR="00370586" w:rsidRPr="00370586" w:rsidRDefault="00370586" w:rsidP="00370586">
      <w:pPr>
        <w:spacing w:after="120"/>
        <w:contextualSpacing/>
        <w:jc w:val="both"/>
        <w:rPr>
          <w:rFonts w:ascii="Arial" w:eastAsia="Times" w:hAnsi="Arial"/>
        </w:rPr>
      </w:pPr>
    </w:p>
    <w:p w14:paraId="145A699B" w14:textId="5A5EB9C2"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This is a sensible use of Tribunal hearings.  </w:t>
      </w:r>
      <w:r w:rsidR="004239F0">
        <w:rPr>
          <w:rFonts w:ascii="Arial" w:eastAsia="Times" w:hAnsi="Arial"/>
        </w:rPr>
        <w:t>Furthermore, a</w:t>
      </w:r>
      <w:r w:rsidRPr="00370586">
        <w:rPr>
          <w:rFonts w:ascii="Arial" w:eastAsia="Times" w:hAnsi="Arial"/>
        </w:rPr>
        <w:t>s the body being asked to make Orders that might continue an already protracted inpatient stay, the Tribunal also has a legitimate interest in, and arguably a Charter obligation to satisfy itself that these matters are being addressed.  Sometimes this approach contributes to positive developments as reflected in the case study below.  However, other times, because no entity can make options materialise or force collaboration, it achieves little more than ensuring lack of progress is not ignored.</w:t>
      </w:r>
    </w:p>
    <w:p w14:paraId="6B921AE0" w14:textId="25671894" w:rsidR="00370586" w:rsidRDefault="00370586" w:rsidP="00370586">
      <w:pPr>
        <w:spacing w:after="120"/>
        <w:contextualSpacing/>
        <w:jc w:val="both"/>
        <w:rPr>
          <w:rFonts w:ascii="Arial" w:eastAsia="Times"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64CAA" w:rsidRPr="00864CAA" w14:paraId="66B5BE0F" w14:textId="77777777" w:rsidTr="007E7BF5">
        <w:tc>
          <w:tcPr>
            <w:tcW w:w="8522" w:type="dxa"/>
            <w:shd w:val="clear" w:color="auto" w:fill="EAF1DD" w:themeFill="accent3" w:themeFillTint="33"/>
          </w:tcPr>
          <w:p w14:paraId="6EC81B42" w14:textId="77777777" w:rsidR="00864CAA" w:rsidRPr="00864CAA" w:rsidRDefault="00864CAA" w:rsidP="00406AB1">
            <w:pPr>
              <w:keepNext/>
              <w:keepLines/>
              <w:spacing w:before="40"/>
              <w:jc w:val="center"/>
              <w:outlineLvl w:val="1"/>
              <w:rPr>
                <w:rFonts w:ascii="Arial" w:eastAsia="Calibri" w:hAnsi="Arial" w:cs="Arial"/>
                <w:b/>
                <w:color w:val="365F91" w:themeColor="accent1" w:themeShade="BF"/>
              </w:rPr>
            </w:pPr>
            <w:bookmarkStart w:id="17" w:name="_Toc12267347"/>
            <w:r w:rsidRPr="00864CAA">
              <w:rPr>
                <w:rFonts w:ascii="Arial" w:eastAsia="Calibri" w:hAnsi="Arial" w:cs="Arial"/>
                <w:b/>
                <w:color w:val="365F91" w:themeColor="accent1" w:themeShade="BF"/>
              </w:rPr>
              <w:lastRenderedPageBreak/>
              <w:t>‘Asha’</w:t>
            </w:r>
            <w:bookmarkEnd w:id="17"/>
          </w:p>
          <w:p w14:paraId="0DCA9C7B" w14:textId="3A2E1A58" w:rsidR="00864CAA" w:rsidRPr="00864CAA" w:rsidRDefault="00864CAA" w:rsidP="00406AB1">
            <w:pPr>
              <w:numPr>
                <w:ilvl w:val="6"/>
                <w:numId w:val="2"/>
              </w:numPr>
              <w:spacing w:before="80" w:after="120"/>
              <w:ind w:left="227" w:hanging="227"/>
              <w:jc w:val="both"/>
              <w:rPr>
                <w:rFonts w:ascii="Arial" w:hAnsi="Arial" w:cs="Arial"/>
                <w:bCs/>
              </w:rPr>
            </w:pPr>
            <w:r w:rsidRPr="00864CAA">
              <w:rPr>
                <w:rFonts w:ascii="Arial" w:hAnsi="Arial" w:cs="Arial"/>
                <w:bCs/>
              </w:rPr>
              <w:t xml:space="preserve">Asha had been an inpatient in a secure setting for </w:t>
            </w:r>
            <w:proofErr w:type="gramStart"/>
            <w:r w:rsidRPr="00864CAA">
              <w:rPr>
                <w:rFonts w:ascii="Arial" w:hAnsi="Arial" w:cs="Arial"/>
                <w:bCs/>
              </w:rPr>
              <w:t>a number of</w:t>
            </w:r>
            <w:proofErr w:type="gramEnd"/>
            <w:r w:rsidRPr="00864CAA">
              <w:rPr>
                <w:rFonts w:ascii="Arial" w:hAnsi="Arial" w:cs="Arial"/>
                <w:bCs/>
              </w:rPr>
              <w:t xml:space="preserve"> years and had two Tribunal hearings over a six-month period. Following the first hearing the Tribunal wrote to the parties providing a detailed outline of the information it would require for the next hearing. It also advised that it proposed to join as a party to the next hearing the service that would be responsible for treating Asha when she left the current service (the ‘receiving service’). The</w:t>
            </w:r>
            <w:r w:rsidR="004D6791">
              <w:rPr>
                <w:rFonts w:ascii="Arial" w:hAnsi="Arial" w:cs="Arial"/>
                <w:bCs/>
              </w:rPr>
              <w:t xml:space="preserve"> </w:t>
            </w:r>
            <w:r w:rsidRPr="00864CAA">
              <w:rPr>
                <w:rFonts w:ascii="Arial" w:hAnsi="Arial" w:cs="Arial"/>
                <w:bCs/>
              </w:rPr>
              <w:t>receiving service was also notified that it would be joined as a party to the next hearing and required to provide certain information. The Tribunal stressed that this information could be provided in collaboration with the current service.</w:t>
            </w:r>
          </w:p>
          <w:p w14:paraId="30E1C492" w14:textId="77777777" w:rsidR="00864CAA" w:rsidRPr="00864CAA" w:rsidRDefault="00864CAA" w:rsidP="00406AB1">
            <w:pPr>
              <w:numPr>
                <w:ilvl w:val="6"/>
                <w:numId w:val="2"/>
              </w:numPr>
              <w:spacing w:before="80" w:after="120"/>
              <w:ind w:left="227" w:hanging="227"/>
              <w:jc w:val="both"/>
              <w:rPr>
                <w:rFonts w:ascii="Arial" w:hAnsi="Arial" w:cs="Arial"/>
                <w:bCs/>
              </w:rPr>
            </w:pPr>
            <w:r w:rsidRPr="00864CAA">
              <w:rPr>
                <w:rFonts w:ascii="Arial" w:hAnsi="Arial" w:cs="Arial"/>
                <w:bCs/>
              </w:rPr>
              <w:t xml:space="preserve">At the later hearing, the current and receiving service presented a comprehensive treatment plan and discharge strategy that had been developed in consultation between the two services, Asha her family and VLA legal representative. The plan was creative, it was also long-term and had considered </w:t>
            </w:r>
            <w:proofErr w:type="gramStart"/>
            <w:r w:rsidRPr="00864CAA">
              <w:rPr>
                <w:rFonts w:ascii="Arial" w:hAnsi="Arial" w:cs="Arial"/>
                <w:bCs/>
              </w:rPr>
              <w:t>a number of</w:t>
            </w:r>
            <w:proofErr w:type="gramEnd"/>
            <w:r w:rsidRPr="00864CAA">
              <w:rPr>
                <w:rFonts w:ascii="Arial" w:hAnsi="Arial" w:cs="Arial"/>
                <w:bCs/>
              </w:rPr>
              <w:t xml:space="preserve"> contingencies and issues. The expectation was that transition from the current to the receiving service could happen in four to six weeks.</w:t>
            </w:r>
          </w:p>
          <w:p w14:paraId="603EDD1E" w14:textId="77777777" w:rsidR="00864CAA" w:rsidRPr="00864CAA" w:rsidRDefault="00864CAA" w:rsidP="00406AB1">
            <w:pPr>
              <w:numPr>
                <w:ilvl w:val="6"/>
                <w:numId w:val="2"/>
              </w:numPr>
              <w:spacing w:before="80" w:after="120"/>
              <w:ind w:left="227" w:hanging="227"/>
              <w:jc w:val="both"/>
              <w:rPr>
                <w:rFonts w:ascii="Arial" w:hAnsi="Arial"/>
                <w:bCs/>
                <w:sz w:val="24"/>
                <w:szCs w:val="24"/>
              </w:rPr>
            </w:pPr>
            <w:r w:rsidRPr="00864CAA">
              <w:rPr>
                <w:rFonts w:ascii="Arial" w:hAnsi="Arial" w:cs="Arial"/>
                <w:bCs/>
              </w:rPr>
              <w:t>The transition plan was the product of the efforts of both the current and receiving service, which worked in close collaboration with Asha, her family and lawyer. The parties acknowledged that the Tribunal’s case management approach used for these hearings had played an important role in advancing progress in what was an exceptionally complicated set of circumstances.</w:t>
            </w:r>
          </w:p>
        </w:tc>
      </w:tr>
    </w:tbl>
    <w:p w14:paraId="0A11DA21" w14:textId="77777777" w:rsidR="00716523" w:rsidRDefault="00716523" w:rsidP="00370586">
      <w:pPr>
        <w:spacing w:after="120"/>
        <w:contextualSpacing/>
        <w:jc w:val="both"/>
        <w:rPr>
          <w:rFonts w:ascii="Arial" w:eastAsia="Times" w:hAnsi="Arial"/>
        </w:rPr>
      </w:pPr>
    </w:p>
    <w:p w14:paraId="4AD5D285" w14:textId="137E1245" w:rsidR="00765C5E" w:rsidRPr="00370586" w:rsidRDefault="00FA73F5" w:rsidP="00765C5E">
      <w:pPr>
        <w:spacing w:after="120"/>
        <w:contextualSpacing/>
        <w:jc w:val="both"/>
        <w:rPr>
          <w:rFonts w:ascii="Arial" w:eastAsia="Times" w:hAnsi="Arial"/>
          <w:b/>
          <w:sz w:val="24"/>
          <w:szCs w:val="24"/>
        </w:rPr>
      </w:pPr>
      <w:r>
        <w:rPr>
          <w:rFonts w:ascii="Arial" w:eastAsia="Times" w:hAnsi="Arial"/>
          <w:b/>
          <w:sz w:val="24"/>
          <w:szCs w:val="24"/>
        </w:rPr>
        <w:t>1.5</w:t>
      </w:r>
      <w:r w:rsidR="00765C5E" w:rsidRPr="00370586">
        <w:rPr>
          <w:rFonts w:ascii="Arial" w:eastAsia="Times" w:hAnsi="Arial"/>
          <w:b/>
          <w:sz w:val="24"/>
          <w:szCs w:val="24"/>
        </w:rPr>
        <w:t xml:space="preserve">  Limited services for people with severe and enduring mental illness</w:t>
      </w:r>
    </w:p>
    <w:p w14:paraId="07FA1C0D" w14:textId="77777777" w:rsidR="00765C5E" w:rsidRPr="00370586" w:rsidRDefault="00765C5E" w:rsidP="00765C5E">
      <w:pPr>
        <w:spacing w:after="120"/>
        <w:contextualSpacing/>
        <w:jc w:val="both"/>
        <w:rPr>
          <w:rFonts w:ascii="Arial" w:eastAsia="Times" w:hAnsi="Arial"/>
        </w:rPr>
      </w:pPr>
    </w:p>
    <w:p w14:paraId="2112C922" w14:textId="77777777" w:rsidR="00765C5E" w:rsidRPr="00370586" w:rsidRDefault="00765C5E" w:rsidP="00765C5E">
      <w:pPr>
        <w:spacing w:after="120"/>
        <w:contextualSpacing/>
        <w:jc w:val="both"/>
        <w:rPr>
          <w:rFonts w:ascii="Arial" w:eastAsia="Times" w:hAnsi="Arial"/>
        </w:rPr>
      </w:pPr>
      <w:r w:rsidRPr="00370586">
        <w:rPr>
          <w:rFonts w:ascii="Arial" w:eastAsia="Times" w:hAnsi="Arial"/>
        </w:rPr>
        <w:t>A numerically small, but very significant group of patients that fall within the jurisdiction of the Tribunal are those with severe and enduring mental illness who receive treatment while residing in a Secure Extended Care Unit (SECU).  Legally people can remain in SECU on a voluntary basis, but the majority are on ITOs, which means for those individuals there is a Tribunal hearing at least every six months.  ECT applications may also be made concerning SECU patients.</w:t>
      </w:r>
    </w:p>
    <w:p w14:paraId="68BAEFD8" w14:textId="77777777" w:rsidR="00765C5E" w:rsidRPr="00370586" w:rsidRDefault="00765C5E" w:rsidP="00765C5E">
      <w:pPr>
        <w:spacing w:after="120"/>
        <w:contextualSpacing/>
        <w:jc w:val="both"/>
        <w:rPr>
          <w:rFonts w:ascii="Arial" w:eastAsia="Times" w:hAnsi="Arial"/>
        </w:rPr>
      </w:pPr>
    </w:p>
    <w:p w14:paraId="259D050A" w14:textId="77777777" w:rsidR="00ED2D4C" w:rsidRDefault="00765C5E" w:rsidP="00765C5E">
      <w:pPr>
        <w:spacing w:after="120"/>
        <w:contextualSpacing/>
        <w:jc w:val="both"/>
        <w:rPr>
          <w:rFonts w:ascii="Arial" w:eastAsia="Times" w:hAnsi="Arial"/>
        </w:rPr>
      </w:pPr>
      <w:r w:rsidRPr="00370586">
        <w:rPr>
          <w:rFonts w:ascii="Arial" w:eastAsia="Times" w:hAnsi="Arial"/>
        </w:rPr>
        <w:t>By a quirk of the Act the Tribunal will sometimes receive what is effectively an application from a patient wanting to halt their proposed admission to SECU.  Any compulsory patient can lodge an application for the Tribunal to review a variation to their TO transferring their care to another designated mental health service (DMHS).</w:t>
      </w:r>
      <w:r w:rsidRPr="00370586">
        <w:rPr>
          <w:rFonts w:ascii="Arial" w:eastAsia="Times" w:hAnsi="Arial"/>
          <w:vertAlign w:val="superscript"/>
        </w:rPr>
        <w:footnoteReference w:id="36"/>
      </w:r>
      <w:r w:rsidRPr="00370586">
        <w:rPr>
          <w:rFonts w:ascii="Arial" w:eastAsia="Times" w:hAnsi="Arial"/>
        </w:rPr>
        <w:t xml:space="preserve">  Some DMHSs ‘own and operate’ their SECU and, if this is the case a patient of that DMHS cannot ask the Tribunal to review their (proposed) transfer to SECU.  However, some DMHS have SECU beds or places that are located within a SECU operated by another DMHS.  In these cases, because placement in SECU involves transfer to another DMHS the patient can effectively seek a review by the Tribunal.</w:t>
      </w:r>
    </w:p>
    <w:p w14:paraId="3DADF659" w14:textId="77777777" w:rsidR="00ED2D4C" w:rsidRDefault="00ED2D4C" w:rsidP="00765C5E">
      <w:pPr>
        <w:spacing w:after="120"/>
        <w:contextualSpacing/>
        <w:jc w:val="both"/>
        <w:rPr>
          <w:rFonts w:ascii="Arial" w:eastAsia="Times" w:hAnsi="Arial"/>
        </w:rPr>
      </w:pPr>
    </w:p>
    <w:p w14:paraId="66903125" w14:textId="15B57212" w:rsidR="00765C5E" w:rsidRPr="00370586" w:rsidRDefault="003A1E76" w:rsidP="00765C5E">
      <w:pPr>
        <w:spacing w:after="120"/>
        <w:contextualSpacing/>
        <w:jc w:val="both"/>
        <w:rPr>
          <w:rFonts w:ascii="Arial" w:eastAsia="Times" w:hAnsi="Arial"/>
        </w:rPr>
      </w:pPr>
      <w:r>
        <w:rPr>
          <w:rFonts w:ascii="Arial" w:eastAsia="Times" w:hAnsi="Arial"/>
        </w:rPr>
        <w:t>Given this context</w:t>
      </w:r>
      <w:r w:rsidR="00ED2D4C">
        <w:rPr>
          <w:rFonts w:ascii="Arial" w:eastAsia="Times" w:hAnsi="Arial"/>
        </w:rPr>
        <w:t>, while some applications will be based solely on a person’s wish to not be place</w:t>
      </w:r>
      <w:r w:rsidR="00406AB1">
        <w:rPr>
          <w:rFonts w:ascii="Arial" w:eastAsia="Times" w:hAnsi="Arial"/>
        </w:rPr>
        <w:t>d</w:t>
      </w:r>
      <w:r w:rsidR="00ED2D4C">
        <w:rPr>
          <w:rFonts w:ascii="Arial" w:eastAsia="Times" w:hAnsi="Arial"/>
        </w:rPr>
        <w:t xml:space="preserve"> in a SECU, in some cases the primary concern can be that a SECU placement involves being required to move to a location away from family and other supports.  </w:t>
      </w:r>
      <w:proofErr w:type="gramStart"/>
      <w:r w:rsidR="00ED2D4C">
        <w:rPr>
          <w:rFonts w:ascii="Arial" w:eastAsia="Times" w:hAnsi="Arial"/>
        </w:rPr>
        <w:t>In itself this</w:t>
      </w:r>
      <w:proofErr w:type="gramEnd"/>
      <w:r w:rsidR="00ED2D4C">
        <w:rPr>
          <w:rFonts w:ascii="Arial" w:eastAsia="Times" w:hAnsi="Arial"/>
        </w:rPr>
        <w:t xml:space="preserve"> is a problematic aspect of the SECU model.  Being physically located away from the area-based services that are intended to provide the support a person will need when exiting SECU (and presumably returning to their original residential area) </w:t>
      </w:r>
      <w:r w:rsidR="00406AB1">
        <w:rPr>
          <w:rFonts w:ascii="Arial" w:eastAsia="Times" w:hAnsi="Arial"/>
        </w:rPr>
        <w:t xml:space="preserve">also </w:t>
      </w:r>
      <w:r w:rsidR="00ED2D4C">
        <w:rPr>
          <w:rFonts w:ascii="Arial" w:eastAsia="Times" w:hAnsi="Arial"/>
        </w:rPr>
        <w:t>adds an additional layer of complexity, and potential delay, to discharge planning.  It is for this reason that the Tribunal will sometimes require a patient’s SECU treating team, and a representative of the referring service to participate in hearings.</w:t>
      </w:r>
    </w:p>
    <w:p w14:paraId="44BA4610" w14:textId="77777777" w:rsidR="00765C5E" w:rsidRPr="00370586" w:rsidRDefault="00765C5E" w:rsidP="00765C5E">
      <w:pPr>
        <w:spacing w:after="120"/>
        <w:contextualSpacing/>
        <w:jc w:val="both"/>
        <w:rPr>
          <w:rFonts w:ascii="Arial" w:eastAsia="Times" w:hAnsi="Arial"/>
        </w:rPr>
      </w:pPr>
    </w:p>
    <w:p w14:paraId="391EA3B0" w14:textId="77777777" w:rsidR="00765C5E" w:rsidRPr="00370586" w:rsidRDefault="00765C5E" w:rsidP="00765C5E">
      <w:pPr>
        <w:spacing w:after="120"/>
        <w:contextualSpacing/>
        <w:jc w:val="both"/>
        <w:rPr>
          <w:rFonts w:ascii="Arial" w:eastAsia="Times" w:hAnsi="Arial"/>
        </w:rPr>
      </w:pPr>
      <w:r w:rsidRPr="00370586">
        <w:rPr>
          <w:rFonts w:ascii="Arial" w:eastAsia="Times" w:hAnsi="Arial"/>
        </w:rPr>
        <w:t>Based on our interactions with both individual patients and SECU services the Tribunal offers two observations:</w:t>
      </w:r>
    </w:p>
    <w:p w14:paraId="677A628A" w14:textId="77777777" w:rsidR="00765C5E" w:rsidRPr="00370586" w:rsidRDefault="00765C5E" w:rsidP="00765C5E">
      <w:pPr>
        <w:spacing w:after="120"/>
        <w:contextualSpacing/>
        <w:jc w:val="both"/>
        <w:rPr>
          <w:rFonts w:ascii="Arial" w:eastAsia="Times" w:hAnsi="Arial"/>
        </w:rPr>
      </w:pPr>
    </w:p>
    <w:p w14:paraId="5D232C89" w14:textId="77777777" w:rsidR="00765C5E" w:rsidRPr="00370586" w:rsidRDefault="00765C5E" w:rsidP="00765C5E">
      <w:pPr>
        <w:numPr>
          <w:ilvl w:val="0"/>
          <w:numId w:val="37"/>
        </w:numPr>
        <w:spacing w:after="120"/>
        <w:contextualSpacing/>
        <w:jc w:val="both"/>
        <w:rPr>
          <w:rFonts w:ascii="Arial" w:eastAsia="Times" w:hAnsi="Arial"/>
        </w:rPr>
      </w:pPr>
      <w:proofErr w:type="gramStart"/>
      <w:r w:rsidRPr="00370586">
        <w:rPr>
          <w:rFonts w:ascii="Arial" w:eastAsia="Times" w:hAnsi="Arial"/>
        </w:rPr>
        <w:t>A number of</w:t>
      </w:r>
      <w:proofErr w:type="gramEnd"/>
      <w:r w:rsidRPr="00370586">
        <w:rPr>
          <w:rFonts w:ascii="Arial" w:eastAsia="Times" w:hAnsi="Arial"/>
        </w:rPr>
        <w:t xml:space="preserve"> SECU patients who have Tribunal hearings have been residents of SECU for many years and given the lack of options described elsewhere in this submission, the frank reality is that some may be there for many more years.  SECUs were not designed to be actual or quasi permanent residences, they are forced into fulfilling this role.  No matter how well a SECU is designed and operated, for a long-stay SECU resident this means living in a locked hospital ward for many years.  It is questionable whether the broader community appreciates that for some people this will be the only available option.  There is a need for long-term residential services incorporating intensive models of support and care but SECU is not the answer.</w:t>
      </w:r>
    </w:p>
    <w:p w14:paraId="29706CE5" w14:textId="77777777" w:rsidR="00765C5E" w:rsidRPr="00370586" w:rsidRDefault="00765C5E" w:rsidP="00765C5E">
      <w:pPr>
        <w:spacing w:after="120"/>
        <w:ind w:left="720"/>
        <w:contextualSpacing/>
        <w:jc w:val="both"/>
        <w:rPr>
          <w:rFonts w:ascii="Arial" w:eastAsia="Times" w:hAnsi="Arial"/>
        </w:rPr>
      </w:pPr>
    </w:p>
    <w:p w14:paraId="590E60F6" w14:textId="4CFC24B9" w:rsidR="00765C5E" w:rsidRPr="00370586" w:rsidRDefault="00765C5E" w:rsidP="00765C5E">
      <w:pPr>
        <w:numPr>
          <w:ilvl w:val="0"/>
          <w:numId w:val="37"/>
        </w:numPr>
        <w:spacing w:after="120"/>
        <w:contextualSpacing/>
        <w:jc w:val="both"/>
        <w:rPr>
          <w:rFonts w:ascii="Arial" w:eastAsia="Times" w:hAnsi="Arial"/>
        </w:rPr>
      </w:pPr>
      <w:r w:rsidRPr="00370586">
        <w:rPr>
          <w:rFonts w:ascii="Arial" w:eastAsia="Times" w:hAnsi="Arial"/>
        </w:rPr>
        <w:lastRenderedPageBreak/>
        <w:t xml:space="preserve">As sub-acute services SECU’s are intended to be a more settled environment, within which individuals with enduring illness are provided with longitudinal treatment and support, with the aim of achieving better and prolonged reduction of highly debilitating </w:t>
      </w:r>
      <w:proofErr w:type="gramStart"/>
      <w:r w:rsidRPr="00370586">
        <w:rPr>
          <w:rFonts w:ascii="Arial" w:eastAsia="Times" w:hAnsi="Arial"/>
        </w:rPr>
        <w:t>symptoms, and</w:t>
      </w:r>
      <w:proofErr w:type="gramEnd"/>
      <w:r w:rsidRPr="00370586">
        <w:rPr>
          <w:rFonts w:ascii="Arial" w:eastAsia="Times" w:hAnsi="Arial"/>
        </w:rPr>
        <w:t xml:space="preserve"> regaining or developing skills for community living.  This objective appears to sit uncomfortably with an increase over time in the proportion of SECU patients who for a variety of reasons, can present with aggressive behaviours.  Responding to and managing for those behaviours fundamentally alters the milieu of a SECU, arguably requiring it to provide a service it was not intended to provide, at the expense of providing the environment and support for which it was established.  </w:t>
      </w:r>
    </w:p>
    <w:p w14:paraId="14661E56" w14:textId="77777777" w:rsidR="00765C5E" w:rsidRPr="00716523" w:rsidRDefault="00765C5E" w:rsidP="00765C5E">
      <w:pPr>
        <w:spacing w:before="240" w:after="200"/>
        <w:contextualSpacing/>
        <w:jc w:val="both"/>
        <w:rPr>
          <w:rFonts w:ascii="Arial" w:eastAsiaTheme="minorHAnsi" w:hAnsi="Arial" w:cs="Arial"/>
        </w:rPr>
      </w:pPr>
    </w:p>
    <w:p w14:paraId="28A10BEA" w14:textId="77777777" w:rsidR="00543059" w:rsidRPr="00716523" w:rsidRDefault="00543059" w:rsidP="00370586">
      <w:pPr>
        <w:spacing w:after="120"/>
        <w:contextualSpacing/>
        <w:jc w:val="both"/>
        <w:rPr>
          <w:rFonts w:ascii="Arial" w:eastAsia="Times" w:hAnsi="Arial"/>
        </w:rPr>
      </w:pPr>
    </w:p>
    <w:p w14:paraId="5A97372A" w14:textId="77777777" w:rsidR="00370586" w:rsidRPr="00370586" w:rsidRDefault="00370586" w:rsidP="00370586">
      <w:pPr>
        <w:keepNext/>
        <w:keepLines/>
        <w:spacing w:before="240" w:after="90"/>
        <w:contextualSpacing/>
        <w:jc w:val="both"/>
        <w:outlineLvl w:val="1"/>
        <w:rPr>
          <w:rFonts w:ascii="Arial" w:hAnsi="Arial"/>
          <w:b/>
          <w:sz w:val="28"/>
          <w:szCs w:val="28"/>
        </w:rPr>
      </w:pPr>
      <w:r w:rsidRPr="00370586">
        <w:rPr>
          <w:rFonts w:ascii="Arial" w:hAnsi="Arial"/>
          <w:b/>
          <w:sz w:val="28"/>
          <w:szCs w:val="28"/>
        </w:rPr>
        <w:t>2.  What are the needs of family members and carers and what can be done better to support them (question 6)?</w:t>
      </w:r>
    </w:p>
    <w:p w14:paraId="762C336D" w14:textId="77777777" w:rsidR="00370586" w:rsidRPr="00370586" w:rsidRDefault="00370586" w:rsidP="00370586">
      <w:pPr>
        <w:spacing w:after="120"/>
        <w:contextualSpacing/>
        <w:jc w:val="both"/>
        <w:rPr>
          <w:rFonts w:ascii="Arial" w:eastAsia="Times" w:hAnsi="Arial"/>
          <w:b/>
        </w:rPr>
      </w:pPr>
    </w:p>
    <w:p w14:paraId="18BDCF64" w14:textId="77777777" w:rsidR="00370586" w:rsidRPr="00053B9F" w:rsidRDefault="00370586" w:rsidP="00370586">
      <w:pPr>
        <w:spacing w:after="120"/>
        <w:contextualSpacing/>
        <w:jc w:val="both"/>
        <w:rPr>
          <w:rFonts w:ascii="Arial" w:eastAsia="Times" w:hAnsi="Arial"/>
          <w:b/>
          <w:sz w:val="24"/>
          <w:szCs w:val="24"/>
        </w:rPr>
      </w:pPr>
      <w:r w:rsidRPr="00053B9F">
        <w:rPr>
          <w:rFonts w:ascii="Arial" w:eastAsia="Times" w:hAnsi="Arial"/>
          <w:b/>
          <w:sz w:val="24"/>
          <w:szCs w:val="24"/>
        </w:rPr>
        <w:t>2.1  Involvement in decision making</w:t>
      </w:r>
    </w:p>
    <w:p w14:paraId="44C9ED4B" w14:textId="77777777" w:rsidR="00370586" w:rsidRPr="00370586" w:rsidRDefault="00370586" w:rsidP="00370586">
      <w:pPr>
        <w:spacing w:after="120"/>
        <w:contextualSpacing/>
        <w:jc w:val="both"/>
        <w:rPr>
          <w:rFonts w:ascii="Arial" w:eastAsia="Times" w:hAnsi="Arial"/>
        </w:rPr>
      </w:pPr>
    </w:p>
    <w:p w14:paraId="11A13868"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The principles of the Act include recognising, respecting and supporting the role of carers, and whenever possible, including them in decisions about assessment, treatment and recovery.</w:t>
      </w:r>
      <w:r w:rsidRPr="00370586">
        <w:rPr>
          <w:rFonts w:ascii="Arial" w:eastAsia="Times" w:hAnsi="Arial"/>
          <w:vertAlign w:val="superscript"/>
        </w:rPr>
        <w:footnoteReference w:id="37"/>
      </w:r>
      <w:r w:rsidRPr="00370586">
        <w:rPr>
          <w:rFonts w:ascii="Arial" w:eastAsia="Times" w:hAnsi="Arial"/>
        </w:rPr>
        <w:t xml:space="preserve">  These principles are enlivened by several substantive provisions designed to involve carers at critical points relating to compulsory treatment:</w:t>
      </w:r>
    </w:p>
    <w:p w14:paraId="70FD9F4E" w14:textId="77777777" w:rsidR="00370586" w:rsidRPr="00370586" w:rsidRDefault="00370586" w:rsidP="00370586">
      <w:pPr>
        <w:spacing w:after="120"/>
        <w:contextualSpacing/>
        <w:jc w:val="both"/>
        <w:rPr>
          <w:rFonts w:ascii="Arial" w:eastAsia="Times" w:hAnsi="Arial"/>
        </w:rPr>
      </w:pPr>
    </w:p>
    <w:p w14:paraId="4CD57603" w14:textId="4869CF9D" w:rsidR="00370586" w:rsidRPr="00370586" w:rsidRDefault="00123499" w:rsidP="00370586">
      <w:pPr>
        <w:numPr>
          <w:ilvl w:val="0"/>
          <w:numId w:val="33"/>
        </w:numPr>
        <w:spacing w:after="120"/>
        <w:contextualSpacing/>
        <w:jc w:val="both"/>
        <w:rPr>
          <w:rFonts w:ascii="Arial" w:eastAsia="Times" w:hAnsi="Arial"/>
        </w:rPr>
      </w:pPr>
      <w:r>
        <w:rPr>
          <w:rFonts w:ascii="Arial" w:eastAsia="Times" w:hAnsi="Arial"/>
        </w:rPr>
        <w:t>r</w:t>
      </w:r>
      <w:r w:rsidR="00370586" w:rsidRPr="00370586">
        <w:rPr>
          <w:rFonts w:ascii="Arial" w:eastAsia="Times" w:hAnsi="Arial"/>
        </w:rPr>
        <w:t>easonable steps must be taken to notify carers of the making of an Assessment Order (AO) and any variation of an AO if the assessment will directly affect the carer and the care relationship</w:t>
      </w:r>
      <w:r w:rsidR="00370586" w:rsidRPr="00370586">
        <w:rPr>
          <w:rFonts w:ascii="Arial" w:eastAsia="Times" w:hAnsi="Arial"/>
          <w:vertAlign w:val="superscript"/>
        </w:rPr>
        <w:footnoteReference w:id="38"/>
      </w:r>
      <w:r>
        <w:rPr>
          <w:rFonts w:ascii="Arial" w:eastAsia="Times" w:hAnsi="Arial"/>
        </w:rPr>
        <w:t>;</w:t>
      </w:r>
    </w:p>
    <w:p w14:paraId="341D228A" w14:textId="77777777" w:rsidR="00370586" w:rsidRPr="00370586" w:rsidRDefault="00370586" w:rsidP="00370586">
      <w:pPr>
        <w:spacing w:after="120"/>
        <w:ind w:left="720"/>
        <w:contextualSpacing/>
        <w:jc w:val="both"/>
        <w:rPr>
          <w:rFonts w:ascii="Arial" w:eastAsia="Times" w:hAnsi="Arial"/>
        </w:rPr>
      </w:pPr>
    </w:p>
    <w:p w14:paraId="5CC2CC9E" w14:textId="4A042D98" w:rsidR="00370586" w:rsidRPr="00370586" w:rsidRDefault="00123499" w:rsidP="00370586">
      <w:pPr>
        <w:numPr>
          <w:ilvl w:val="0"/>
          <w:numId w:val="33"/>
        </w:numPr>
        <w:spacing w:after="120"/>
        <w:contextualSpacing/>
        <w:jc w:val="both"/>
        <w:rPr>
          <w:rFonts w:ascii="Arial" w:eastAsia="Times" w:hAnsi="Arial"/>
        </w:rPr>
      </w:pPr>
      <w:r>
        <w:rPr>
          <w:rFonts w:ascii="Arial" w:eastAsia="Times" w:hAnsi="Arial"/>
        </w:rPr>
        <w:t>t</w:t>
      </w:r>
      <w:r w:rsidR="00370586" w:rsidRPr="00370586">
        <w:rPr>
          <w:rFonts w:ascii="Arial" w:eastAsia="Times" w:hAnsi="Arial"/>
        </w:rPr>
        <w:t>o the extent that is reasonable in the circumstances, carers views must be considered in deciding whether to make a TTO</w:t>
      </w:r>
      <w:r w:rsidR="00562678">
        <w:rPr>
          <w:rFonts w:ascii="Arial" w:eastAsia="Times" w:hAnsi="Arial"/>
        </w:rPr>
        <w:t>, (including whether it is for inpatient or community treatment)</w:t>
      </w:r>
      <w:r w:rsidR="00370586" w:rsidRPr="00370586">
        <w:rPr>
          <w:rFonts w:ascii="Arial" w:eastAsia="Times" w:hAnsi="Arial"/>
        </w:rPr>
        <w:t xml:space="preserve"> if making a TTO will directly affect the carer and the care relationship.</w:t>
      </w:r>
      <w:r w:rsidR="00370586" w:rsidRPr="00370586">
        <w:rPr>
          <w:rFonts w:ascii="Arial" w:eastAsia="Times" w:hAnsi="Arial"/>
          <w:vertAlign w:val="superscript"/>
        </w:rPr>
        <w:footnoteReference w:id="39"/>
      </w:r>
      <w:r w:rsidR="00370586" w:rsidRPr="00370586">
        <w:rPr>
          <w:rFonts w:ascii="Arial" w:eastAsia="Times" w:hAnsi="Arial"/>
        </w:rPr>
        <w:t xml:space="preserve">  Reasonable steps must also be taken to inform carers of the making of a TTO if treatment of the person will directly affect the carer and the care relationship</w:t>
      </w:r>
      <w:r w:rsidR="00370586" w:rsidRPr="00370586">
        <w:rPr>
          <w:rFonts w:ascii="Arial" w:eastAsia="Times" w:hAnsi="Arial"/>
          <w:vertAlign w:val="superscript"/>
        </w:rPr>
        <w:footnoteReference w:id="40"/>
      </w:r>
      <w:r>
        <w:rPr>
          <w:rFonts w:ascii="Arial" w:eastAsia="Times" w:hAnsi="Arial"/>
        </w:rPr>
        <w:t>;</w:t>
      </w:r>
    </w:p>
    <w:p w14:paraId="3830A3FD" w14:textId="77777777" w:rsidR="00370586" w:rsidRPr="00370586" w:rsidRDefault="00370586" w:rsidP="00370586">
      <w:pPr>
        <w:spacing w:after="120"/>
        <w:ind w:left="720"/>
        <w:contextualSpacing/>
        <w:jc w:val="both"/>
        <w:rPr>
          <w:rFonts w:ascii="Arial" w:eastAsia="Times" w:hAnsi="Arial"/>
        </w:rPr>
      </w:pPr>
    </w:p>
    <w:p w14:paraId="3D0FEB8A" w14:textId="08720B96" w:rsidR="00370586" w:rsidRPr="00370586" w:rsidRDefault="00123499" w:rsidP="00370586">
      <w:pPr>
        <w:numPr>
          <w:ilvl w:val="0"/>
          <w:numId w:val="33"/>
        </w:numPr>
        <w:spacing w:after="120"/>
        <w:contextualSpacing/>
        <w:jc w:val="both"/>
        <w:rPr>
          <w:rFonts w:ascii="Arial" w:eastAsia="Times" w:hAnsi="Arial"/>
        </w:rPr>
      </w:pPr>
      <w:r>
        <w:rPr>
          <w:rFonts w:ascii="Arial" w:eastAsia="Times" w:hAnsi="Arial"/>
        </w:rPr>
        <w:t>c</w:t>
      </w:r>
      <w:r w:rsidR="00370586" w:rsidRPr="00370586">
        <w:rPr>
          <w:rFonts w:ascii="Arial" w:eastAsia="Times" w:hAnsi="Arial"/>
        </w:rPr>
        <w:t>arers must be notified of the variation of a TTO or TO if the variation will directly affect the carer and the care relationship</w:t>
      </w:r>
      <w:r w:rsidR="00370586" w:rsidRPr="00370586">
        <w:rPr>
          <w:rFonts w:ascii="Arial" w:eastAsia="Times" w:hAnsi="Arial"/>
          <w:vertAlign w:val="superscript"/>
        </w:rPr>
        <w:footnoteReference w:id="41"/>
      </w:r>
      <w:r>
        <w:rPr>
          <w:rFonts w:ascii="Arial" w:eastAsia="Times" w:hAnsi="Arial"/>
        </w:rPr>
        <w:t>;</w:t>
      </w:r>
    </w:p>
    <w:p w14:paraId="26CBE3AD" w14:textId="77777777" w:rsidR="00370586" w:rsidRPr="00370586" w:rsidRDefault="00370586" w:rsidP="00370586">
      <w:pPr>
        <w:spacing w:after="120"/>
        <w:ind w:left="720"/>
        <w:contextualSpacing/>
        <w:jc w:val="both"/>
        <w:rPr>
          <w:rFonts w:ascii="Arial" w:eastAsia="Times" w:hAnsi="Arial"/>
        </w:rPr>
      </w:pPr>
    </w:p>
    <w:p w14:paraId="76EA35D1" w14:textId="3AD4DACC" w:rsidR="00370586" w:rsidRPr="00370586" w:rsidRDefault="00123499" w:rsidP="00370586">
      <w:pPr>
        <w:numPr>
          <w:ilvl w:val="0"/>
          <w:numId w:val="33"/>
        </w:numPr>
        <w:spacing w:after="120"/>
        <w:contextualSpacing/>
        <w:jc w:val="both"/>
        <w:rPr>
          <w:rFonts w:ascii="Arial" w:eastAsia="Times" w:hAnsi="Arial"/>
        </w:rPr>
      </w:pPr>
      <w:r>
        <w:rPr>
          <w:rFonts w:ascii="Arial" w:eastAsia="Times" w:hAnsi="Arial"/>
        </w:rPr>
        <w:t>f</w:t>
      </w:r>
      <w:r w:rsidR="00370586" w:rsidRPr="00370586">
        <w:rPr>
          <w:rFonts w:ascii="Arial" w:eastAsia="Times" w:hAnsi="Arial"/>
        </w:rPr>
        <w:t xml:space="preserve">or the purposes of making an application for an ECT Order, when deciding </w:t>
      </w:r>
      <w:proofErr w:type="gramStart"/>
      <w:r w:rsidR="00370586" w:rsidRPr="00370586">
        <w:rPr>
          <w:rFonts w:ascii="Arial" w:eastAsia="Times" w:hAnsi="Arial"/>
        </w:rPr>
        <w:t>whether or not</w:t>
      </w:r>
      <w:proofErr w:type="gramEnd"/>
      <w:r w:rsidR="00370586" w:rsidRPr="00370586">
        <w:rPr>
          <w:rFonts w:ascii="Arial" w:eastAsia="Times" w:hAnsi="Arial"/>
        </w:rPr>
        <w:t xml:space="preserve"> there is no less restrictive way for the person to be treated, a psychiatrist must, to the extent that is reasonable in the circumstances, consider the views of a carer, if the decision to perform ECT will directly affect the carer or the care relationship</w:t>
      </w:r>
      <w:r w:rsidR="00370586" w:rsidRPr="00370586">
        <w:rPr>
          <w:rFonts w:ascii="Arial" w:eastAsia="Times" w:hAnsi="Arial"/>
          <w:vertAlign w:val="superscript"/>
        </w:rPr>
        <w:footnoteReference w:id="42"/>
      </w:r>
      <w:r>
        <w:rPr>
          <w:rFonts w:ascii="Arial" w:eastAsia="Times" w:hAnsi="Arial"/>
        </w:rPr>
        <w:t>;</w:t>
      </w:r>
    </w:p>
    <w:p w14:paraId="121F8831" w14:textId="77777777" w:rsidR="00370586" w:rsidRPr="00370586" w:rsidRDefault="00370586" w:rsidP="00370586">
      <w:pPr>
        <w:spacing w:after="120"/>
        <w:ind w:left="720"/>
        <w:contextualSpacing/>
        <w:jc w:val="both"/>
        <w:rPr>
          <w:rFonts w:ascii="Arial" w:eastAsia="Times" w:hAnsi="Arial"/>
        </w:rPr>
      </w:pPr>
    </w:p>
    <w:p w14:paraId="5EB87D9D" w14:textId="677D09DD" w:rsidR="00370586" w:rsidRPr="00370586" w:rsidRDefault="00123499" w:rsidP="00370586">
      <w:pPr>
        <w:numPr>
          <w:ilvl w:val="0"/>
          <w:numId w:val="33"/>
        </w:numPr>
        <w:spacing w:after="120"/>
        <w:contextualSpacing/>
        <w:jc w:val="both"/>
        <w:rPr>
          <w:rFonts w:ascii="Arial" w:eastAsia="Times" w:hAnsi="Arial"/>
        </w:rPr>
      </w:pPr>
      <w:r>
        <w:rPr>
          <w:rFonts w:ascii="Arial" w:eastAsia="Times" w:hAnsi="Arial"/>
        </w:rPr>
        <w:t>c</w:t>
      </w:r>
      <w:r w:rsidR="00370586" w:rsidRPr="00370586">
        <w:rPr>
          <w:rFonts w:ascii="Arial" w:eastAsia="Times" w:hAnsi="Arial"/>
        </w:rPr>
        <w:t>arers must be notified of any Tribunal hearings concerning the person they care for,</w:t>
      </w:r>
      <w:r w:rsidR="00370586" w:rsidRPr="00370586">
        <w:rPr>
          <w:rFonts w:ascii="Arial" w:eastAsia="Times" w:hAnsi="Arial"/>
          <w:vertAlign w:val="superscript"/>
        </w:rPr>
        <w:footnoteReference w:id="43"/>
      </w:r>
      <w:r w:rsidR="00370586" w:rsidRPr="00370586">
        <w:rPr>
          <w:rFonts w:ascii="Arial" w:eastAsia="Times" w:hAnsi="Arial"/>
        </w:rPr>
        <w:t xml:space="preserve"> and be given a copy of any order as soon as practicable after it is made</w:t>
      </w:r>
      <w:r w:rsidR="00370586" w:rsidRPr="00370586">
        <w:rPr>
          <w:rFonts w:ascii="Arial" w:eastAsia="Times" w:hAnsi="Arial"/>
          <w:vertAlign w:val="superscript"/>
        </w:rPr>
        <w:footnoteReference w:id="44"/>
      </w:r>
      <w:r>
        <w:rPr>
          <w:rFonts w:ascii="Arial" w:eastAsia="Times" w:hAnsi="Arial"/>
        </w:rPr>
        <w:t>; and</w:t>
      </w:r>
    </w:p>
    <w:p w14:paraId="66B7EA9E" w14:textId="77777777" w:rsidR="00370586" w:rsidRPr="00370586" w:rsidRDefault="00370586" w:rsidP="00370586">
      <w:pPr>
        <w:spacing w:after="120"/>
        <w:ind w:left="720"/>
        <w:contextualSpacing/>
        <w:jc w:val="both"/>
        <w:rPr>
          <w:rFonts w:ascii="Arial" w:eastAsia="Times" w:hAnsi="Arial"/>
        </w:rPr>
      </w:pPr>
    </w:p>
    <w:p w14:paraId="38B08F88" w14:textId="42F03FD2" w:rsidR="00370586" w:rsidRPr="00370586" w:rsidRDefault="00123499" w:rsidP="00370586">
      <w:pPr>
        <w:numPr>
          <w:ilvl w:val="0"/>
          <w:numId w:val="33"/>
        </w:numPr>
        <w:spacing w:after="120"/>
        <w:contextualSpacing/>
        <w:jc w:val="both"/>
        <w:rPr>
          <w:rFonts w:ascii="Arial" w:eastAsia="Times" w:hAnsi="Arial"/>
        </w:rPr>
      </w:pPr>
      <w:r>
        <w:rPr>
          <w:rFonts w:ascii="Arial" w:eastAsia="Times" w:hAnsi="Arial"/>
        </w:rPr>
        <w:t>i</w:t>
      </w:r>
      <w:r w:rsidR="00370586" w:rsidRPr="00370586">
        <w:rPr>
          <w:rFonts w:ascii="Arial" w:eastAsia="Times" w:hAnsi="Arial"/>
        </w:rPr>
        <w:t>f making a TO the Tribunal must, to the extent that is reasonable in the circumstances, consider the views of carers if the making of the Order will directly affect the carer or the care relationship.</w:t>
      </w:r>
      <w:r w:rsidR="00370586" w:rsidRPr="00370586">
        <w:rPr>
          <w:rFonts w:ascii="Arial" w:eastAsia="Times" w:hAnsi="Arial"/>
          <w:vertAlign w:val="superscript"/>
        </w:rPr>
        <w:footnoteReference w:id="45"/>
      </w:r>
    </w:p>
    <w:p w14:paraId="687F2FF7" w14:textId="77777777" w:rsidR="00370586" w:rsidRPr="00370586" w:rsidRDefault="00370586" w:rsidP="00370586">
      <w:pPr>
        <w:spacing w:after="120"/>
        <w:contextualSpacing/>
        <w:jc w:val="both"/>
        <w:rPr>
          <w:rFonts w:ascii="Arial" w:eastAsia="Times" w:hAnsi="Arial"/>
        </w:rPr>
      </w:pPr>
    </w:p>
    <w:p w14:paraId="72601595"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These mechanisms were designed to address acknowledged deficits in the former Act that meant the vital role performed by family and carers was not assisted, and arguably made more difficult under the old statutory framework.  It was recognised that while there was a collective as well as an individual reliance on the critical support provided by family and carers, they were often not notified of critical events and provided with the information they needed.</w:t>
      </w:r>
    </w:p>
    <w:p w14:paraId="6B28E2D2" w14:textId="77777777" w:rsidR="00370586" w:rsidRPr="00370586" w:rsidRDefault="00370586" w:rsidP="00370586">
      <w:pPr>
        <w:spacing w:after="120"/>
        <w:contextualSpacing/>
        <w:jc w:val="both"/>
        <w:rPr>
          <w:rFonts w:ascii="Arial" w:eastAsia="Times" w:hAnsi="Arial"/>
          <w:b/>
        </w:rPr>
      </w:pPr>
    </w:p>
    <w:p w14:paraId="7315CE60" w14:textId="77777777" w:rsidR="00ED1B9B" w:rsidRDefault="00ED1B9B">
      <w:pPr>
        <w:rPr>
          <w:rFonts w:ascii="Arial" w:eastAsia="Times" w:hAnsi="Arial"/>
          <w:b/>
        </w:rPr>
      </w:pPr>
      <w:r>
        <w:rPr>
          <w:rFonts w:ascii="Arial" w:eastAsia="Times" w:hAnsi="Arial"/>
          <w:b/>
        </w:rPr>
        <w:br w:type="page"/>
      </w:r>
    </w:p>
    <w:p w14:paraId="1A928F7F" w14:textId="60E9595A" w:rsidR="00370586" w:rsidRPr="00370586" w:rsidRDefault="00370586" w:rsidP="00370586">
      <w:pPr>
        <w:spacing w:after="120"/>
        <w:contextualSpacing/>
        <w:jc w:val="both"/>
        <w:rPr>
          <w:rFonts w:ascii="Arial" w:eastAsia="Times" w:hAnsi="Arial"/>
          <w:b/>
        </w:rPr>
      </w:pPr>
      <w:r w:rsidRPr="00370586">
        <w:rPr>
          <w:rFonts w:ascii="Arial" w:eastAsia="Times" w:hAnsi="Arial"/>
          <w:b/>
        </w:rPr>
        <w:lastRenderedPageBreak/>
        <w:t>2.1.1  Practical barriers</w:t>
      </w:r>
    </w:p>
    <w:p w14:paraId="0397C2B2" w14:textId="77777777" w:rsidR="00370586" w:rsidRPr="00370586" w:rsidRDefault="00370586" w:rsidP="00370586">
      <w:pPr>
        <w:spacing w:after="120"/>
        <w:contextualSpacing/>
        <w:jc w:val="both"/>
        <w:rPr>
          <w:rFonts w:ascii="Arial" w:eastAsia="Times" w:hAnsi="Arial"/>
        </w:rPr>
      </w:pPr>
    </w:p>
    <w:p w14:paraId="7014EC0C" w14:textId="458F4E2E" w:rsidR="00370586" w:rsidRPr="00370586" w:rsidRDefault="00370586" w:rsidP="00370586">
      <w:pPr>
        <w:spacing w:after="120"/>
        <w:contextualSpacing/>
        <w:jc w:val="both"/>
        <w:rPr>
          <w:rFonts w:ascii="Arial" w:eastAsia="Times" w:hAnsi="Arial"/>
        </w:rPr>
      </w:pPr>
      <w:r w:rsidRPr="00370586">
        <w:rPr>
          <w:rFonts w:ascii="Arial" w:eastAsia="Times" w:hAnsi="Arial"/>
        </w:rPr>
        <w:t>The Tribunal is concerned that the objective of these provisions is not being fully realised, and one of the key reasons for this is relatively mundane – accurate record keeping.  To fulfil its responsibility to notify carers of upcoming hearings, and orders that are subsequently made, the Tribunal uses the demographic data stored in the state-wide Operational Data Store (ODS).  The</w:t>
      </w:r>
      <w:r w:rsidR="004D6791">
        <w:rPr>
          <w:rFonts w:ascii="Arial" w:eastAsia="Times" w:hAnsi="Arial"/>
        </w:rPr>
        <w:t xml:space="preserve"> </w:t>
      </w:r>
      <w:r w:rsidRPr="00370586">
        <w:rPr>
          <w:rFonts w:ascii="Arial" w:eastAsia="Times" w:hAnsi="Arial"/>
        </w:rPr>
        <w:t>ODS includes a record of whether a person has a carer and if so, their contact details; ODS records are created and updated by Health Services.  In the Tribunal’s experience the reliability of data on the ODS is far less than it should be:  carers may not be recorded; carers are recorded but with incorrect contact details; carers may be linked to the wrong consumer; and former carers can remain on the record.</w:t>
      </w:r>
      <w:r w:rsidR="00B97DAE">
        <w:rPr>
          <w:rStyle w:val="FootnoteReference"/>
          <w:rFonts w:ascii="Arial" w:eastAsia="Times" w:hAnsi="Arial"/>
        </w:rPr>
        <w:footnoteReference w:id="46"/>
      </w:r>
    </w:p>
    <w:p w14:paraId="6DB069D7" w14:textId="77777777" w:rsidR="00370586" w:rsidRPr="00370586" w:rsidRDefault="00370586" w:rsidP="00370586">
      <w:pPr>
        <w:spacing w:after="120"/>
        <w:contextualSpacing/>
        <w:jc w:val="both"/>
        <w:rPr>
          <w:rFonts w:ascii="Arial" w:eastAsia="Times" w:hAnsi="Arial"/>
        </w:rPr>
      </w:pPr>
    </w:p>
    <w:p w14:paraId="23D94316"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Bearing in mind that several events or decision points where carers are meant to be involved will have preceded the Tribunal’s need to notify them of a hearing, if the data we are accessing is inaccurate, carers have presumably been excluded from each of those earlier events.  In other words, the intention of the legislative scheme is completely undermined.  Given the complex and systemic nature of many of the issues that will be explored by the Royal Commission, accurate record keeping would seem to be a relatively quick and easy fix.  The Tribunal appreciates the efforts of the department and Office of the Chief Psychiatrist (OCP) on this front, but further improvement is needed.</w:t>
      </w:r>
    </w:p>
    <w:p w14:paraId="60EF5EB5" w14:textId="77777777" w:rsidR="00370586" w:rsidRPr="00370586" w:rsidRDefault="00370586" w:rsidP="00370586">
      <w:pPr>
        <w:spacing w:after="120"/>
        <w:contextualSpacing/>
        <w:jc w:val="both"/>
        <w:rPr>
          <w:rFonts w:ascii="Arial" w:eastAsia="Times" w:hAnsi="Arial"/>
        </w:rPr>
      </w:pPr>
    </w:p>
    <w:p w14:paraId="5A113D0A" w14:textId="77777777" w:rsidR="00370586" w:rsidRPr="00370586" w:rsidRDefault="00370586" w:rsidP="00370586">
      <w:pPr>
        <w:spacing w:after="120"/>
        <w:contextualSpacing/>
        <w:jc w:val="both"/>
        <w:rPr>
          <w:rFonts w:ascii="Arial" w:eastAsia="Times" w:hAnsi="Arial"/>
          <w:b/>
        </w:rPr>
      </w:pPr>
      <w:r w:rsidRPr="00370586">
        <w:rPr>
          <w:rFonts w:ascii="Arial" w:eastAsia="Times" w:hAnsi="Arial"/>
          <w:b/>
        </w:rPr>
        <w:t>2.1.2  Substantive involvement</w:t>
      </w:r>
    </w:p>
    <w:p w14:paraId="625F8910" w14:textId="77777777" w:rsidR="00370586" w:rsidRPr="00370586" w:rsidRDefault="00370586" w:rsidP="00370586">
      <w:pPr>
        <w:spacing w:after="120"/>
        <w:contextualSpacing/>
        <w:jc w:val="both"/>
        <w:rPr>
          <w:rFonts w:ascii="Arial" w:eastAsia="Times" w:hAnsi="Arial"/>
        </w:rPr>
      </w:pPr>
    </w:p>
    <w:p w14:paraId="061A2241" w14:textId="5B51ADDB" w:rsidR="00370586" w:rsidRPr="00370586" w:rsidRDefault="00370586" w:rsidP="00370586">
      <w:pPr>
        <w:spacing w:after="120"/>
        <w:contextualSpacing/>
        <w:jc w:val="both"/>
        <w:rPr>
          <w:rFonts w:ascii="Arial" w:eastAsia="Times" w:hAnsi="Arial"/>
        </w:rPr>
      </w:pPr>
      <w:r w:rsidRPr="00370586">
        <w:rPr>
          <w:rFonts w:ascii="Arial" w:eastAsia="Times" w:hAnsi="Arial"/>
        </w:rPr>
        <w:t>Beyond the logistics of carer participation there is the substance of how carers are involved in decision making, which</w:t>
      </w:r>
      <w:r w:rsidR="00083E1E">
        <w:rPr>
          <w:rFonts w:ascii="Arial" w:eastAsia="Times" w:hAnsi="Arial"/>
        </w:rPr>
        <w:t xml:space="preserve"> can at times be</w:t>
      </w:r>
      <w:r w:rsidRPr="00370586">
        <w:rPr>
          <w:rFonts w:ascii="Arial" w:eastAsia="Times" w:hAnsi="Arial"/>
        </w:rPr>
        <w:t xml:space="preserve"> complex.  For instance, if a person has been placed on an AO and is being assessed for a possible TTO, their circumstances and mental health would appear to be in a state of flux and everyone’s concerns will be elevated.  Added to this, longstanding or more recent, transient tensions in the relationships between consumers and carers can </w:t>
      </w:r>
      <w:r w:rsidR="00083E1E">
        <w:rPr>
          <w:rFonts w:ascii="Arial" w:eastAsia="Times" w:hAnsi="Arial"/>
        </w:rPr>
        <w:t xml:space="preserve">create challenges for </w:t>
      </w:r>
      <w:r w:rsidRPr="00370586">
        <w:rPr>
          <w:rFonts w:ascii="Arial" w:eastAsia="Times" w:hAnsi="Arial"/>
        </w:rPr>
        <w:t xml:space="preserve">carer participation in decision making at a </w:t>
      </w:r>
      <w:proofErr w:type="gramStart"/>
      <w:r w:rsidRPr="00370586">
        <w:rPr>
          <w:rFonts w:ascii="Arial" w:eastAsia="Times" w:hAnsi="Arial"/>
        </w:rPr>
        <w:t>particular point</w:t>
      </w:r>
      <w:proofErr w:type="gramEnd"/>
      <w:r w:rsidRPr="00370586">
        <w:rPr>
          <w:rFonts w:ascii="Arial" w:eastAsia="Times" w:hAnsi="Arial"/>
        </w:rPr>
        <w:t xml:space="preserve"> in time.  Responding to these challenges is something the Tribunal has been exploring in relation to its own processes, </w:t>
      </w:r>
      <w:proofErr w:type="gramStart"/>
      <w:r w:rsidRPr="00370586">
        <w:rPr>
          <w:rFonts w:ascii="Arial" w:eastAsia="Times" w:hAnsi="Arial"/>
        </w:rPr>
        <w:t>in particular how</w:t>
      </w:r>
      <w:proofErr w:type="gramEnd"/>
      <w:r w:rsidRPr="00370586">
        <w:rPr>
          <w:rFonts w:ascii="Arial" w:eastAsia="Times" w:hAnsi="Arial"/>
        </w:rPr>
        <w:t xml:space="preserve"> carers can be most effectively involved in solution-focused hearings in a way that respects the autonomy of the consumer, promotes active participation by carers, and preserves ongoing relationships.</w:t>
      </w:r>
      <w:r w:rsidR="00B97DAE">
        <w:rPr>
          <w:rStyle w:val="FootnoteReference"/>
          <w:rFonts w:ascii="Arial" w:eastAsia="Times" w:hAnsi="Arial"/>
        </w:rPr>
        <w:footnoteReference w:id="47"/>
      </w:r>
    </w:p>
    <w:p w14:paraId="33A0B942" w14:textId="77777777" w:rsidR="00370586" w:rsidRPr="00370586" w:rsidRDefault="00370586" w:rsidP="00370586">
      <w:pPr>
        <w:spacing w:after="120"/>
        <w:contextualSpacing/>
        <w:jc w:val="both"/>
        <w:rPr>
          <w:rFonts w:ascii="Arial" w:eastAsia="Times" w:hAnsi="Arial"/>
        </w:rPr>
      </w:pPr>
    </w:p>
    <w:p w14:paraId="37EFE1CF" w14:textId="562E4787" w:rsidR="00370586" w:rsidRDefault="00370586" w:rsidP="00370586">
      <w:pPr>
        <w:spacing w:after="120"/>
        <w:contextualSpacing/>
        <w:jc w:val="both"/>
        <w:rPr>
          <w:rFonts w:ascii="Arial" w:eastAsia="Times" w:hAnsi="Arial"/>
        </w:rPr>
      </w:pPr>
      <w:r w:rsidRPr="00370586">
        <w:rPr>
          <w:rFonts w:ascii="Arial" w:eastAsia="Times" w:hAnsi="Arial"/>
        </w:rPr>
        <w:t>A very clear lesson that the Tribunal has learnt through its consultations – and which is reflected in the recent collaborative work of the OCP and Tandem</w:t>
      </w:r>
      <w:r w:rsidR="00B97DAE">
        <w:rPr>
          <w:rStyle w:val="FootnoteReference"/>
          <w:rFonts w:ascii="Arial" w:eastAsia="Times" w:hAnsi="Arial"/>
        </w:rPr>
        <w:footnoteReference w:id="48"/>
      </w:r>
      <w:r w:rsidRPr="00370586">
        <w:rPr>
          <w:rFonts w:ascii="Arial" w:eastAsia="Times" w:hAnsi="Arial"/>
        </w:rPr>
        <w:t xml:space="preserve"> – is that carer participation is enabled most effectively when it is part of a ‘routine approach’ rather than event driven.  In the context of carer participation in Tribunal hearings this means when carers receive notification of a Tribunal hearing it should be notifying them of something they already understood might be happening; and whether and how they might participate should be discussed and </w:t>
      </w:r>
      <w:proofErr w:type="gramStart"/>
      <w:r w:rsidRPr="00370586">
        <w:rPr>
          <w:rFonts w:ascii="Arial" w:eastAsia="Times" w:hAnsi="Arial"/>
        </w:rPr>
        <w:t>planned in advance</w:t>
      </w:r>
      <w:proofErr w:type="gramEnd"/>
      <w:r w:rsidRPr="00370586">
        <w:rPr>
          <w:rFonts w:ascii="Arial" w:eastAsia="Times" w:hAnsi="Arial"/>
        </w:rPr>
        <w:t xml:space="preserve">, in collaboration with the consumer, rather than on the morning of the hearing.  Yet frequently this is not the case.  </w:t>
      </w:r>
      <w:proofErr w:type="gramStart"/>
      <w:r w:rsidR="00112010">
        <w:rPr>
          <w:rFonts w:ascii="Arial" w:eastAsia="Times" w:hAnsi="Arial"/>
        </w:rPr>
        <w:t>Similar to</w:t>
      </w:r>
      <w:proofErr w:type="gramEnd"/>
      <w:r w:rsidR="00112010">
        <w:rPr>
          <w:rFonts w:ascii="Arial" w:eastAsia="Times" w:hAnsi="Arial"/>
        </w:rPr>
        <w:t xml:space="preserve"> what</w:t>
      </w:r>
      <w:r w:rsidRPr="00370586">
        <w:rPr>
          <w:rFonts w:ascii="Arial" w:eastAsia="Times" w:hAnsi="Arial"/>
        </w:rPr>
        <w:t xml:space="preserve"> was noted above regarding psychosocial interventions (see</w:t>
      </w:r>
      <w:r w:rsidR="00112010">
        <w:rPr>
          <w:rFonts w:ascii="Arial" w:eastAsia="Times" w:hAnsi="Arial"/>
        </w:rPr>
        <w:t xml:space="preserve"> 1.2.2</w:t>
      </w:r>
      <w:r w:rsidRPr="00370586">
        <w:rPr>
          <w:rFonts w:ascii="Arial" w:eastAsia="Times" w:hAnsi="Arial"/>
        </w:rPr>
        <w:t>), this approach takes time, and when caseloads are unmanageable</w:t>
      </w:r>
      <w:r w:rsidR="005D45D3">
        <w:rPr>
          <w:rFonts w:ascii="Arial" w:eastAsia="Times" w:hAnsi="Arial"/>
        </w:rPr>
        <w:t xml:space="preserve"> the Tribunal observes that</w:t>
      </w:r>
      <w:r w:rsidRPr="00370586">
        <w:rPr>
          <w:rFonts w:ascii="Arial" w:eastAsia="Times" w:hAnsi="Arial"/>
        </w:rPr>
        <w:t xml:space="preserve"> a sustained and comprehensive approach to carer involvement can be one of the things that does</w:t>
      </w:r>
      <w:r w:rsidR="000E659B">
        <w:rPr>
          <w:rFonts w:ascii="Arial" w:eastAsia="Times" w:hAnsi="Arial"/>
        </w:rPr>
        <w:t xml:space="preserve"> not</w:t>
      </w:r>
      <w:r w:rsidRPr="00370586">
        <w:rPr>
          <w:rFonts w:ascii="Arial" w:eastAsia="Times" w:hAnsi="Arial"/>
        </w:rPr>
        <w:t xml:space="preserve"> happen or happens less effectively.</w:t>
      </w:r>
    </w:p>
    <w:p w14:paraId="146CB981" w14:textId="77777777" w:rsidR="00A85D4E" w:rsidRPr="00370586" w:rsidRDefault="00A85D4E" w:rsidP="00370586">
      <w:pPr>
        <w:spacing w:after="120"/>
        <w:contextualSpacing/>
        <w:jc w:val="both"/>
        <w:rPr>
          <w:rFonts w:ascii="Arial" w:eastAsia="Times" w:hAnsi="Arial"/>
        </w:rPr>
      </w:pPr>
    </w:p>
    <w:p w14:paraId="31A9BD43" w14:textId="76FBB6DB" w:rsidR="00CA6DAA" w:rsidRPr="00B97DAE" w:rsidRDefault="00CA6DAA" w:rsidP="00CA6DAA">
      <w:pPr>
        <w:spacing w:after="120"/>
        <w:contextualSpacing/>
        <w:jc w:val="both"/>
        <w:rPr>
          <w:rFonts w:ascii="Arial" w:eastAsia="Times" w:hAnsi="Arial"/>
          <w:b/>
          <w:i/>
        </w:rPr>
      </w:pPr>
      <w:bookmarkStart w:id="18" w:name="_Hlk12375811"/>
      <w:r w:rsidRPr="00B97DAE">
        <w:rPr>
          <w:rFonts w:ascii="Arial" w:eastAsia="Times" w:hAnsi="Arial"/>
          <w:b/>
          <w:i/>
        </w:rPr>
        <w:t>2.</w:t>
      </w:r>
      <w:r w:rsidR="00A85D4E" w:rsidRPr="00B97DAE">
        <w:rPr>
          <w:rFonts w:ascii="Arial" w:eastAsia="Times" w:hAnsi="Arial"/>
          <w:b/>
          <w:i/>
        </w:rPr>
        <w:t>1.2(a)</w:t>
      </w:r>
      <w:r w:rsidRPr="00B97DAE">
        <w:rPr>
          <w:rFonts w:ascii="Arial" w:eastAsia="Times" w:hAnsi="Arial"/>
          <w:b/>
          <w:i/>
        </w:rPr>
        <w:t xml:space="preserve">  Confidentiality v. sharing of information</w:t>
      </w:r>
    </w:p>
    <w:p w14:paraId="57CE86CF" w14:textId="77777777" w:rsidR="00CA6DAA" w:rsidRPr="00B97DAE" w:rsidRDefault="00CA6DAA" w:rsidP="00CA6DAA">
      <w:pPr>
        <w:spacing w:after="120"/>
        <w:contextualSpacing/>
        <w:jc w:val="both"/>
        <w:rPr>
          <w:rFonts w:ascii="Arial" w:eastAsia="Times" w:hAnsi="Arial"/>
        </w:rPr>
      </w:pPr>
    </w:p>
    <w:p w14:paraId="29169A61" w14:textId="7F227181" w:rsidR="00CA6DAA" w:rsidRPr="00B97DAE" w:rsidRDefault="003B56FC" w:rsidP="00CA6DAA">
      <w:pPr>
        <w:spacing w:after="120"/>
        <w:contextualSpacing/>
        <w:jc w:val="both"/>
        <w:rPr>
          <w:rFonts w:ascii="Arial" w:eastAsia="Times" w:hAnsi="Arial"/>
        </w:rPr>
      </w:pPr>
      <w:r w:rsidRPr="00B97DAE">
        <w:rPr>
          <w:rFonts w:ascii="Arial" w:eastAsia="Times" w:hAnsi="Arial"/>
        </w:rPr>
        <w:t xml:space="preserve">A particularly complex issue that can arise is </w:t>
      </w:r>
      <w:proofErr w:type="gramStart"/>
      <w:r w:rsidR="00082BF0" w:rsidRPr="00B97DAE">
        <w:rPr>
          <w:rFonts w:ascii="Arial" w:eastAsia="Times" w:hAnsi="Arial"/>
        </w:rPr>
        <w:t>whether or not</w:t>
      </w:r>
      <w:proofErr w:type="gramEnd"/>
      <w:r w:rsidR="00082BF0" w:rsidRPr="00B97DAE">
        <w:rPr>
          <w:rFonts w:ascii="Arial" w:eastAsia="Times" w:hAnsi="Arial"/>
        </w:rPr>
        <w:t xml:space="preserve"> carers can provide information to a person’s treating team on a confidential basis.  This is an aspect of the broader confusion surrounding the rights of a consumer to have access to </w:t>
      </w:r>
      <w:r w:rsidR="00AA614F" w:rsidRPr="00B97DAE">
        <w:rPr>
          <w:rFonts w:ascii="Arial" w:eastAsia="Times" w:hAnsi="Arial"/>
        </w:rPr>
        <w:t xml:space="preserve">clinical </w:t>
      </w:r>
      <w:r w:rsidR="00082BF0" w:rsidRPr="00B97DAE">
        <w:rPr>
          <w:rFonts w:ascii="Arial" w:eastAsia="Times" w:hAnsi="Arial"/>
        </w:rPr>
        <w:t>information, especially prior to a Tribunal hearing.</w:t>
      </w:r>
    </w:p>
    <w:p w14:paraId="53ECDEC7" w14:textId="4BF19550" w:rsidR="00082BF0" w:rsidRPr="00B97DAE" w:rsidRDefault="00082BF0" w:rsidP="00CA6DAA">
      <w:pPr>
        <w:spacing w:after="120"/>
        <w:contextualSpacing/>
        <w:jc w:val="both"/>
        <w:rPr>
          <w:rFonts w:ascii="Arial" w:eastAsia="Times" w:hAnsi="Arial"/>
        </w:rPr>
      </w:pPr>
    </w:p>
    <w:p w14:paraId="37D052E8" w14:textId="4E027FA8" w:rsidR="00082BF0" w:rsidRPr="00B97DAE" w:rsidRDefault="00E10D74" w:rsidP="00CA6DAA">
      <w:pPr>
        <w:spacing w:after="120"/>
        <w:contextualSpacing/>
        <w:jc w:val="both"/>
        <w:rPr>
          <w:rFonts w:ascii="Arial" w:eastAsia="Times" w:hAnsi="Arial"/>
        </w:rPr>
      </w:pPr>
      <w:r w:rsidRPr="00B97DAE">
        <w:rPr>
          <w:rFonts w:ascii="Arial" w:eastAsia="Times" w:hAnsi="Arial"/>
        </w:rPr>
        <w:t>A</w:t>
      </w:r>
      <w:r w:rsidR="00532817" w:rsidRPr="00B97DAE">
        <w:rPr>
          <w:rFonts w:ascii="Arial" w:eastAsia="Times" w:hAnsi="Arial"/>
        </w:rPr>
        <w:t xml:space="preserve"> patient who has an upcoming Tribunal hearing is entitled to access any documents held by the DMHS that are connected to the hearing at least 48 hours prior to the hearing</w:t>
      </w:r>
      <w:r w:rsidRPr="00B97DAE">
        <w:rPr>
          <w:rFonts w:ascii="Arial" w:eastAsia="Times" w:hAnsi="Arial"/>
        </w:rPr>
        <w:t xml:space="preserve"> (this is distinct from patients’ access rights under the </w:t>
      </w:r>
      <w:r w:rsidRPr="00B97DAE">
        <w:rPr>
          <w:rFonts w:ascii="Arial" w:eastAsia="Times" w:hAnsi="Arial"/>
          <w:i/>
        </w:rPr>
        <w:t>Freedom of Information Act 1982</w:t>
      </w:r>
      <w:r w:rsidRPr="00B97DAE">
        <w:rPr>
          <w:rFonts w:ascii="Arial" w:eastAsia="Times" w:hAnsi="Arial"/>
        </w:rPr>
        <w:t>)</w:t>
      </w:r>
      <w:r w:rsidRPr="00B97DAE">
        <w:rPr>
          <w:rFonts w:ascii="Arial" w:eastAsia="Times" w:hAnsi="Arial"/>
          <w:i/>
        </w:rPr>
        <w:t xml:space="preserve">.  </w:t>
      </w:r>
      <w:r w:rsidR="002A1139" w:rsidRPr="00B97DAE">
        <w:rPr>
          <w:rFonts w:ascii="Arial" w:eastAsia="Times" w:hAnsi="Arial"/>
        </w:rPr>
        <w:t xml:space="preserve">The Act does allow an authorised </w:t>
      </w:r>
      <w:r w:rsidR="00532817" w:rsidRPr="00B97DAE">
        <w:rPr>
          <w:rFonts w:ascii="Arial" w:eastAsia="Times" w:hAnsi="Arial"/>
        </w:rPr>
        <w:t>psychiatrist</w:t>
      </w:r>
      <w:r w:rsidR="002A1139" w:rsidRPr="00B97DAE">
        <w:rPr>
          <w:rFonts w:ascii="Arial" w:eastAsia="Times" w:hAnsi="Arial"/>
        </w:rPr>
        <w:t xml:space="preserve"> to apply to the Tribunal</w:t>
      </w:r>
      <w:r w:rsidR="00532817" w:rsidRPr="00B97DAE">
        <w:rPr>
          <w:rFonts w:ascii="Arial" w:eastAsia="Times" w:hAnsi="Arial"/>
        </w:rPr>
        <w:t xml:space="preserve"> </w:t>
      </w:r>
      <w:r w:rsidR="00D64A43" w:rsidRPr="00B97DAE">
        <w:rPr>
          <w:rFonts w:ascii="Arial" w:eastAsia="Times" w:hAnsi="Arial"/>
        </w:rPr>
        <w:t>for</w:t>
      </w:r>
      <w:r w:rsidR="00532817" w:rsidRPr="00B97DAE">
        <w:rPr>
          <w:rFonts w:ascii="Arial" w:eastAsia="Times" w:hAnsi="Arial"/>
        </w:rPr>
        <w:t xml:space="preserve"> an order denying access</w:t>
      </w:r>
      <w:r w:rsidR="002A1139" w:rsidRPr="00B97DAE">
        <w:rPr>
          <w:rFonts w:ascii="Arial" w:eastAsia="Times" w:hAnsi="Arial"/>
        </w:rPr>
        <w:t xml:space="preserve"> to certain documents</w:t>
      </w:r>
      <w:r w:rsidR="00532817" w:rsidRPr="00B97DAE">
        <w:rPr>
          <w:rFonts w:ascii="Arial" w:eastAsia="Times" w:hAnsi="Arial"/>
        </w:rPr>
        <w:t xml:space="preserve"> on the basis that disclosure of the information in the relevant document may cause serious harm </w:t>
      </w:r>
      <w:r w:rsidR="00532817" w:rsidRPr="00B97DAE">
        <w:rPr>
          <w:rFonts w:ascii="Arial" w:eastAsia="Times" w:hAnsi="Arial"/>
        </w:rPr>
        <w:lastRenderedPageBreak/>
        <w:t>to the patient or another person.</w:t>
      </w:r>
      <w:r w:rsidR="00532817" w:rsidRPr="00B97DAE">
        <w:rPr>
          <w:rStyle w:val="FootnoteReference"/>
          <w:rFonts w:ascii="Arial" w:eastAsia="Times" w:hAnsi="Arial"/>
        </w:rPr>
        <w:footnoteReference w:id="49"/>
      </w:r>
      <w:r w:rsidR="00532817" w:rsidRPr="00B97DAE">
        <w:rPr>
          <w:rFonts w:ascii="Arial" w:eastAsia="Times" w:hAnsi="Arial"/>
        </w:rPr>
        <w:t xml:space="preserve"> </w:t>
      </w:r>
      <w:r w:rsidR="00D64A43" w:rsidRPr="00B97DAE">
        <w:rPr>
          <w:rFonts w:ascii="Arial" w:eastAsia="Times" w:hAnsi="Arial"/>
        </w:rPr>
        <w:t xml:space="preserve"> This represents a significant narrowing of the equivalent provisions in the former Act</w:t>
      </w:r>
      <w:r w:rsidR="00082BF0" w:rsidRPr="00B97DAE">
        <w:rPr>
          <w:rFonts w:ascii="Arial" w:eastAsia="Times" w:hAnsi="Arial"/>
        </w:rPr>
        <w:t xml:space="preserve"> </w:t>
      </w:r>
      <w:r w:rsidR="00FA22D7" w:rsidRPr="00B97DAE">
        <w:rPr>
          <w:rFonts w:ascii="Arial" w:eastAsia="Times" w:hAnsi="Arial"/>
        </w:rPr>
        <w:t>which</w:t>
      </w:r>
      <w:r w:rsidR="00B97DAE" w:rsidRPr="00B97DAE">
        <w:rPr>
          <w:rFonts w:ascii="Arial" w:eastAsia="Times" w:hAnsi="Arial"/>
        </w:rPr>
        <w:t xml:space="preserve"> also</w:t>
      </w:r>
      <w:r w:rsidR="00D64A43" w:rsidRPr="00B97DAE">
        <w:rPr>
          <w:rFonts w:ascii="Arial" w:eastAsia="Times" w:hAnsi="Arial"/>
        </w:rPr>
        <w:t xml:space="preserve"> </w:t>
      </w:r>
      <w:r w:rsidR="00082BF0" w:rsidRPr="00B97DAE">
        <w:rPr>
          <w:rFonts w:ascii="Arial" w:eastAsia="Times" w:hAnsi="Arial"/>
        </w:rPr>
        <w:t xml:space="preserve">allowed </w:t>
      </w:r>
      <w:r w:rsidR="00D64A43" w:rsidRPr="00B97DAE">
        <w:rPr>
          <w:rFonts w:ascii="Arial" w:eastAsia="Times" w:hAnsi="Arial"/>
        </w:rPr>
        <w:t>the authorised psychiatrist to seek a similar order in relation to any information that had been provided to the treating team on condition of confidentiality.</w:t>
      </w:r>
      <w:r w:rsidR="00D64A43" w:rsidRPr="00B97DAE">
        <w:rPr>
          <w:rStyle w:val="FootnoteReference"/>
          <w:rFonts w:ascii="Arial" w:eastAsia="Times" w:hAnsi="Arial"/>
        </w:rPr>
        <w:footnoteReference w:id="50"/>
      </w:r>
    </w:p>
    <w:p w14:paraId="08B68AF5" w14:textId="788A81FB" w:rsidR="00370586" w:rsidRPr="00B97DAE" w:rsidRDefault="00370586" w:rsidP="00370586">
      <w:pPr>
        <w:spacing w:after="120"/>
        <w:contextualSpacing/>
        <w:jc w:val="both"/>
        <w:rPr>
          <w:rFonts w:ascii="Arial" w:eastAsia="Times" w:hAnsi="Arial"/>
        </w:rPr>
      </w:pPr>
    </w:p>
    <w:p w14:paraId="18384928" w14:textId="2D338F8B" w:rsidR="00BF6D92" w:rsidRPr="00B97DAE" w:rsidRDefault="00D64A43" w:rsidP="00370586">
      <w:pPr>
        <w:spacing w:after="120"/>
        <w:contextualSpacing/>
        <w:jc w:val="both"/>
        <w:rPr>
          <w:rFonts w:ascii="Arial" w:eastAsia="Times" w:hAnsi="Arial"/>
        </w:rPr>
      </w:pPr>
      <w:r w:rsidRPr="00B97DAE">
        <w:rPr>
          <w:rFonts w:ascii="Arial" w:eastAsia="Times" w:hAnsi="Arial"/>
        </w:rPr>
        <w:t>Over</w:t>
      </w:r>
      <w:r w:rsidR="001F073D" w:rsidRPr="00B97DAE">
        <w:rPr>
          <w:rFonts w:ascii="Arial" w:eastAsia="Times" w:hAnsi="Arial"/>
        </w:rPr>
        <w:t xml:space="preserve"> each of</w:t>
      </w:r>
      <w:r w:rsidRPr="00B97DAE">
        <w:rPr>
          <w:rFonts w:ascii="Arial" w:eastAsia="Times" w:hAnsi="Arial"/>
        </w:rPr>
        <w:t xml:space="preserve"> the past three years the Tribunal has only received </w:t>
      </w:r>
      <w:r w:rsidR="00D37149" w:rsidRPr="00B97DAE">
        <w:rPr>
          <w:rFonts w:ascii="Arial" w:eastAsia="Times" w:hAnsi="Arial"/>
        </w:rPr>
        <w:t>an average of 53 applications for an order to deny access to documents.  In a caseload of several thousand hearings per annum this would barely qualify as statistically relevant and could be interpreted as indicating that these issues are managed in a very straightforward way.  This would be misleading.  From the Tribunal’s perspective confusion</w:t>
      </w:r>
      <w:r w:rsidR="00BF6D92" w:rsidRPr="00B97DAE">
        <w:rPr>
          <w:rFonts w:ascii="Arial" w:eastAsia="Times" w:hAnsi="Arial"/>
        </w:rPr>
        <w:t>, concern and tension</w:t>
      </w:r>
      <w:r w:rsidR="00D37149" w:rsidRPr="00B97DAE">
        <w:rPr>
          <w:rFonts w:ascii="Arial" w:eastAsia="Times" w:hAnsi="Arial"/>
        </w:rPr>
        <w:t xml:space="preserve"> about access to and sharing of information within the triangular relationship between consumers, carers and treating teams is significant</w:t>
      </w:r>
      <w:r w:rsidR="00BF6D92" w:rsidRPr="00B97DAE">
        <w:rPr>
          <w:rFonts w:ascii="Arial" w:eastAsia="Times" w:hAnsi="Arial"/>
        </w:rPr>
        <w:t>.</w:t>
      </w:r>
      <w:r w:rsidR="002A1139" w:rsidRPr="00B97DAE">
        <w:rPr>
          <w:rFonts w:ascii="Arial" w:eastAsia="Times" w:hAnsi="Arial"/>
        </w:rPr>
        <w:t xml:space="preserve">  Even when an application to deny access to documents has not been made, hearings will often involve</w:t>
      </w:r>
      <w:r w:rsidR="00BF6D92" w:rsidRPr="00B97DAE">
        <w:rPr>
          <w:rFonts w:ascii="Arial" w:eastAsia="Times" w:hAnsi="Arial"/>
        </w:rPr>
        <w:t xml:space="preserve"> fraught discussions around expectations or a wish for evidence to or discussions with the Tribunal to be confidential.  The scope for confidential discussions between carers and treating teams is also constantly raised with the Tribunal in its broader educative work with all stakeholders.</w:t>
      </w:r>
    </w:p>
    <w:p w14:paraId="3FECDE50" w14:textId="77777777" w:rsidR="00BF6D92" w:rsidRPr="00B97DAE" w:rsidRDefault="00BF6D92" w:rsidP="00370586">
      <w:pPr>
        <w:spacing w:after="120"/>
        <w:contextualSpacing/>
        <w:jc w:val="both"/>
        <w:rPr>
          <w:rFonts w:ascii="Arial" w:eastAsia="Times" w:hAnsi="Arial"/>
        </w:rPr>
      </w:pPr>
    </w:p>
    <w:p w14:paraId="74A9791C" w14:textId="150395A5" w:rsidR="00D64A43" w:rsidRPr="00B97DAE" w:rsidRDefault="007B7435" w:rsidP="00370586">
      <w:pPr>
        <w:spacing w:after="120"/>
        <w:contextualSpacing/>
        <w:jc w:val="both"/>
        <w:rPr>
          <w:rFonts w:ascii="Arial" w:eastAsia="Times" w:hAnsi="Arial"/>
        </w:rPr>
      </w:pPr>
      <w:r w:rsidRPr="00B97DAE">
        <w:rPr>
          <w:rFonts w:ascii="Arial" w:eastAsia="Times" w:hAnsi="Arial"/>
        </w:rPr>
        <w:t xml:space="preserve">Factors that </w:t>
      </w:r>
      <w:r w:rsidR="00BF6D92" w:rsidRPr="00B97DAE">
        <w:rPr>
          <w:rFonts w:ascii="Arial" w:eastAsia="Times" w:hAnsi="Arial"/>
        </w:rPr>
        <w:t>contribu</w:t>
      </w:r>
      <w:r w:rsidR="00FA22D7" w:rsidRPr="00B97DAE">
        <w:rPr>
          <w:rFonts w:ascii="Arial" w:eastAsia="Times" w:hAnsi="Arial"/>
        </w:rPr>
        <w:t>te</w:t>
      </w:r>
      <w:r w:rsidR="00BF6D92" w:rsidRPr="00B97DAE">
        <w:rPr>
          <w:rFonts w:ascii="Arial" w:eastAsia="Times" w:hAnsi="Arial"/>
        </w:rPr>
        <w:t xml:space="preserve"> to</w:t>
      </w:r>
      <w:r w:rsidRPr="00B97DAE">
        <w:rPr>
          <w:rFonts w:ascii="Arial" w:eastAsia="Times" w:hAnsi="Arial"/>
        </w:rPr>
        <w:t xml:space="preserve"> this confusion include</w:t>
      </w:r>
      <w:r w:rsidR="00D37149" w:rsidRPr="00B97DAE">
        <w:rPr>
          <w:rFonts w:ascii="Arial" w:eastAsia="Times" w:hAnsi="Arial"/>
        </w:rPr>
        <w:t>:</w:t>
      </w:r>
    </w:p>
    <w:p w14:paraId="53100EE1" w14:textId="7F9A5F4A" w:rsidR="00BF6D92" w:rsidRPr="00B97DAE" w:rsidRDefault="00BF6D92" w:rsidP="00BF6D92">
      <w:pPr>
        <w:pStyle w:val="ListParagraph"/>
        <w:numPr>
          <w:ilvl w:val="0"/>
          <w:numId w:val="42"/>
        </w:numPr>
        <w:spacing w:after="120"/>
        <w:contextualSpacing/>
        <w:jc w:val="both"/>
        <w:rPr>
          <w:rFonts w:ascii="Arial" w:eastAsia="Times" w:hAnsi="Arial"/>
          <w:sz w:val="20"/>
          <w:szCs w:val="20"/>
        </w:rPr>
      </w:pPr>
      <w:r w:rsidRPr="00B97DAE">
        <w:rPr>
          <w:rFonts w:ascii="Arial" w:eastAsia="Times" w:hAnsi="Arial"/>
          <w:sz w:val="20"/>
          <w:szCs w:val="20"/>
        </w:rPr>
        <w:t>lack of understanding that the former Act’s allowance for any information to be provided to treating teams on condition of confidentiality is not replicated in the current Act;</w:t>
      </w:r>
    </w:p>
    <w:p w14:paraId="2A17B5D1" w14:textId="77777777" w:rsidR="00BF6D92" w:rsidRPr="00B97DAE" w:rsidRDefault="00BF6D92" w:rsidP="00BF6D92">
      <w:pPr>
        <w:pStyle w:val="ListParagraph"/>
        <w:rPr>
          <w:rFonts w:ascii="Arial" w:eastAsia="Times" w:hAnsi="Arial"/>
          <w:sz w:val="20"/>
          <w:szCs w:val="20"/>
        </w:rPr>
      </w:pPr>
    </w:p>
    <w:p w14:paraId="3C1E8AF6" w14:textId="69567145" w:rsidR="009003AB" w:rsidRPr="00B97DAE" w:rsidRDefault="00FA22D7" w:rsidP="00D37149">
      <w:pPr>
        <w:pStyle w:val="ListParagraph"/>
        <w:numPr>
          <w:ilvl w:val="0"/>
          <w:numId w:val="42"/>
        </w:numPr>
        <w:spacing w:after="120"/>
        <w:contextualSpacing/>
        <w:jc w:val="both"/>
        <w:rPr>
          <w:rFonts w:ascii="Arial" w:eastAsia="Times" w:hAnsi="Arial"/>
          <w:sz w:val="20"/>
          <w:szCs w:val="20"/>
        </w:rPr>
      </w:pPr>
      <w:r w:rsidRPr="00B97DAE">
        <w:rPr>
          <w:rFonts w:ascii="Arial" w:eastAsia="Times" w:hAnsi="Arial"/>
          <w:sz w:val="20"/>
          <w:szCs w:val="20"/>
        </w:rPr>
        <w:t>t</w:t>
      </w:r>
      <w:r w:rsidR="009003AB" w:rsidRPr="00B97DAE">
        <w:rPr>
          <w:rFonts w:ascii="Arial" w:eastAsia="Times" w:hAnsi="Arial"/>
          <w:sz w:val="20"/>
          <w:szCs w:val="20"/>
        </w:rPr>
        <w:t xml:space="preserve">he provisions of the Act </w:t>
      </w:r>
      <w:r w:rsidR="00CA5491" w:rsidRPr="00B97DAE">
        <w:rPr>
          <w:rFonts w:ascii="Arial" w:eastAsia="Times" w:hAnsi="Arial"/>
          <w:sz w:val="20"/>
          <w:szCs w:val="20"/>
        </w:rPr>
        <w:t xml:space="preserve">relating to this issue </w:t>
      </w:r>
      <w:r w:rsidRPr="00B97DAE">
        <w:rPr>
          <w:rFonts w:ascii="Arial" w:eastAsia="Times" w:hAnsi="Arial"/>
          <w:sz w:val="20"/>
          <w:szCs w:val="20"/>
        </w:rPr>
        <w:t>being</w:t>
      </w:r>
      <w:r w:rsidR="009003AB" w:rsidRPr="00B97DAE">
        <w:rPr>
          <w:rFonts w:ascii="Arial" w:eastAsia="Times" w:hAnsi="Arial"/>
          <w:sz w:val="20"/>
          <w:szCs w:val="20"/>
        </w:rPr>
        <w:t xml:space="preserve"> deceptively complex, and despite the Tribunal publishing a suite of resources to assist consumers, carers and clinicians to understand these provisions </w:t>
      </w:r>
      <w:r w:rsidR="00CB70F8" w:rsidRPr="00B97DAE">
        <w:rPr>
          <w:rFonts w:ascii="Arial" w:eastAsia="Times" w:hAnsi="Arial"/>
          <w:sz w:val="20"/>
          <w:szCs w:val="20"/>
        </w:rPr>
        <w:t>their practical application is not straightforward</w:t>
      </w:r>
      <w:r w:rsidRPr="00B97DAE">
        <w:rPr>
          <w:rFonts w:ascii="Arial" w:eastAsia="Times" w:hAnsi="Arial"/>
          <w:sz w:val="20"/>
          <w:szCs w:val="20"/>
        </w:rPr>
        <w:t>; and</w:t>
      </w:r>
    </w:p>
    <w:p w14:paraId="394AA2CC" w14:textId="77777777" w:rsidR="00FA22D7" w:rsidRPr="00B97DAE" w:rsidRDefault="00FA22D7" w:rsidP="00FA22D7">
      <w:pPr>
        <w:pStyle w:val="ListParagraph"/>
        <w:spacing w:after="120"/>
        <w:contextualSpacing/>
        <w:jc w:val="both"/>
        <w:rPr>
          <w:rFonts w:ascii="Arial" w:eastAsia="Times" w:hAnsi="Arial"/>
          <w:sz w:val="20"/>
          <w:szCs w:val="20"/>
        </w:rPr>
      </w:pPr>
    </w:p>
    <w:p w14:paraId="72877CDA" w14:textId="2E4C9C02" w:rsidR="00BF6D92" w:rsidRPr="00B97DAE" w:rsidRDefault="00BF6D92" w:rsidP="00BF6D92">
      <w:pPr>
        <w:pStyle w:val="ListParagraph"/>
        <w:numPr>
          <w:ilvl w:val="0"/>
          <w:numId w:val="42"/>
        </w:numPr>
        <w:spacing w:after="120"/>
        <w:contextualSpacing/>
        <w:jc w:val="both"/>
        <w:rPr>
          <w:rFonts w:ascii="Arial" w:eastAsia="Times" w:hAnsi="Arial"/>
          <w:sz w:val="20"/>
          <w:szCs w:val="20"/>
        </w:rPr>
      </w:pPr>
      <w:r w:rsidRPr="00B97DAE">
        <w:rPr>
          <w:rFonts w:ascii="Arial" w:eastAsia="Times" w:hAnsi="Arial"/>
          <w:sz w:val="20"/>
          <w:szCs w:val="20"/>
        </w:rPr>
        <w:t>low levels of awareness within services that F</w:t>
      </w:r>
      <w:r w:rsidR="00EC5C74" w:rsidRPr="00B97DAE">
        <w:rPr>
          <w:rFonts w:ascii="Arial" w:eastAsia="Times" w:hAnsi="Arial"/>
          <w:sz w:val="20"/>
          <w:szCs w:val="20"/>
        </w:rPr>
        <w:t>reedom of Information</w:t>
      </w:r>
      <w:r w:rsidRPr="00B97DAE">
        <w:rPr>
          <w:rFonts w:ascii="Arial" w:eastAsia="Times" w:hAnsi="Arial"/>
          <w:sz w:val="20"/>
          <w:szCs w:val="20"/>
        </w:rPr>
        <w:t xml:space="preserve"> legislation co-exists with rather than over-rides rights of access information under the Act</w:t>
      </w:r>
      <w:r w:rsidR="00EC5C74" w:rsidRPr="00B97DAE">
        <w:rPr>
          <w:rFonts w:ascii="Arial" w:eastAsia="Times" w:hAnsi="Arial"/>
          <w:sz w:val="20"/>
          <w:szCs w:val="20"/>
        </w:rPr>
        <w:t>.</w:t>
      </w:r>
    </w:p>
    <w:p w14:paraId="317C1831" w14:textId="77777777" w:rsidR="00BF6D92" w:rsidRPr="00B97DAE" w:rsidRDefault="00BF6D92" w:rsidP="00BF6D92">
      <w:pPr>
        <w:spacing w:after="120"/>
        <w:contextualSpacing/>
        <w:jc w:val="both"/>
        <w:rPr>
          <w:rFonts w:ascii="Arial" w:eastAsia="Times" w:hAnsi="Arial"/>
        </w:rPr>
      </w:pPr>
    </w:p>
    <w:p w14:paraId="46A819EE" w14:textId="5E3836FA" w:rsidR="00BF6D92" w:rsidRPr="00B97DAE" w:rsidRDefault="00FA22D7" w:rsidP="00D37149">
      <w:pPr>
        <w:spacing w:after="120"/>
        <w:contextualSpacing/>
        <w:jc w:val="both"/>
        <w:rPr>
          <w:rFonts w:ascii="Arial" w:eastAsia="Times" w:hAnsi="Arial"/>
        </w:rPr>
      </w:pPr>
      <w:r w:rsidRPr="00B97DAE">
        <w:rPr>
          <w:rFonts w:ascii="Arial" w:eastAsia="Times" w:hAnsi="Arial"/>
        </w:rPr>
        <w:t xml:space="preserve">However, it is arguable that the primary cause of confusion is that whatever provisions happen to be included in the </w:t>
      </w:r>
      <w:r w:rsidR="007B7435" w:rsidRPr="00B97DAE">
        <w:rPr>
          <w:rFonts w:ascii="Arial" w:eastAsia="Times" w:hAnsi="Arial"/>
        </w:rPr>
        <w:t>Act, they</w:t>
      </w:r>
      <w:r w:rsidR="00BF6D92" w:rsidRPr="00B97DAE">
        <w:rPr>
          <w:rFonts w:ascii="Arial" w:eastAsia="Times" w:hAnsi="Arial"/>
        </w:rPr>
        <w:t xml:space="preserve"> are an entirely inadequate starting-point for the navigation of </w:t>
      </w:r>
      <w:r w:rsidR="007B7435" w:rsidRPr="00B97DAE">
        <w:rPr>
          <w:rFonts w:ascii="Arial" w:eastAsia="Times" w:hAnsi="Arial"/>
        </w:rPr>
        <w:t>these complex issues that are inherently relational rather than legal.  The Act will</w:t>
      </w:r>
      <w:r w:rsidR="00CB70F8" w:rsidRPr="00B97DAE">
        <w:rPr>
          <w:rFonts w:ascii="Arial" w:eastAsia="Times" w:hAnsi="Arial"/>
        </w:rPr>
        <w:t xml:space="preserve"> most likely</w:t>
      </w:r>
      <w:r w:rsidR="007B7435" w:rsidRPr="00B97DAE">
        <w:rPr>
          <w:rFonts w:ascii="Arial" w:eastAsia="Times" w:hAnsi="Arial"/>
        </w:rPr>
        <w:t xml:space="preserve"> always need to make provision for those cases where information may need to be confidential.  But </w:t>
      </w:r>
      <w:r w:rsidR="00BF6D92" w:rsidRPr="00B97DAE">
        <w:rPr>
          <w:rFonts w:ascii="Arial" w:eastAsia="Times" w:hAnsi="Arial"/>
        </w:rPr>
        <w:t>to focus on the</w:t>
      </w:r>
      <w:r w:rsidR="007B7435" w:rsidRPr="00B97DAE">
        <w:rPr>
          <w:rFonts w:ascii="Arial" w:eastAsia="Times" w:hAnsi="Arial"/>
        </w:rPr>
        <w:t xml:space="preserve"> legal status of a </w:t>
      </w:r>
      <w:proofErr w:type="gramStart"/>
      <w:r w:rsidR="007B7435" w:rsidRPr="00B97DAE">
        <w:rPr>
          <w:rFonts w:ascii="Arial" w:eastAsia="Times" w:hAnsi="Arial"/>
        </w:rPr>
        <w:t>particular document</w:t>
      </w:r>
      <w:proofErr w:type="gramEnd"/>
      <w:r w:rsidR="007B7435" w:rsidRPr="00B97DAE">
        <w:rPr>
          <w:rFonts w:ascii="Arial" w:eastAsia="Times" w:hAnsi="Arial"/>
        </w:rPr>
        <w:t xml:space="preserve"> or</w:t>
      </w:r>
      <w:r w:rsidR="00F107C1" w:rsidRPr="00B97DAE">
        <w:rPr>
          <w:rFonts w:ascii="Arial" w:eastAsia="Times" w:hAnsi="Arial"/>
        </w:rPr>
        <w:t xml:space="preserve"> file</w:t>
      </w:r>
      <w:r w:rsidR="007B7435" w:rsidRPr="00B97DAE">
        <w:rPr>
          <w:rFonts w:ascii="Arial" w:eastAsia="Times" w:hAnsi="Arial"/>
        </w:rPr>
        <w:t xml:space="preserve"> note of a discussion</w:t>
      </w:r>
      <w:r w:rsidR="00BF6D92" w:rsidRPr="00B97DAE">
        <w:rPr>
          <w:rFonts w:ascii="Arial" w:eastAsia="Times" w:hAnsi="Arial"/>
        </w:rPr>
        <w:t xml:space="preserve"> will only end in sub-optimal outcomes</w:t>
      </w:r>
      <w:r w:rsidR="007B7435" w:rsidRPr="00B97DAE">
        <w:rPr>
          <w:rFonts w:ascii="Arial" w:eastAsia="Times" w:hAnsi="Arial"/>
        </w:rPr>
        <w:t>.</w:t>
      </w:r>
    </w:p>
    <w:p w14:paraId="79101274" w14:textId="77777777" w:rsidR="00BF6D92" w:rsidRPr="00B97DAE" w:rsidRDefault="00BF6D92" w:rsidP="00D37149">
      <w:pPr>
        <w:spacing w:after="120"/>
        <w:contextualSpacing/>
        <w:jc w:val="both"/>
        <w:rPr>
          <w:rFonts w:ascii="Arial" w:eastAsia="Times" w:hAnsi="Arial"/>
        </w:rPr>
      </w:pPr>
    </w:p>
    <w:p w14:paraId="02B4A241" w14:textId="44FE9423" w:rsidR="00FA22D7" w:rsidRDefault="00BF6D92" w:rsidP="00D37149">
      <w:pPr>
        <w:spacing w:after="120"/>
        <w:contextualSpacing/>
        <w:jc w:val="both"/>
        <w:rPr>
          <w:rFonts w:ascii="Arial" w:eastAsia="Times" w:hAnsi="Arial"/>
        </w:rPr>
      </w:pPr>
      <w:r w:rsidRPr="00B97DAE">
        <w:rPr>
          <w:rFonts w:ascii="Arial" w:eastAsia="Times" w:hAnsi="Arial"/>
        </w:rPr>
        <w:t>W</w:t>
      </w:r>
      <w:r w:rsidR="00BC66CE" w:rsidRPr="00B97DAE">
        <w:rPr>
          <w:rFonts w:ascii="Arial" w:eastAsia="Times" w:hAnsi="Arial"/>
        </w:rPr>
        <w:t xml:space="preserve">here they </w:t>
      </w:r>
      <w:proofErr w:type="gramStart"/>
      <w:r w:rsidR="00BC66CE" w:rsidRPr="00B97DAE">
        <w:rPr>
          <w:rFonts w:ascii="Arial" w:eastAsia="Times" w:hAnsi="Arial"/>
        </w:rPr>
        <w:t>exist</w:t>
      </w:r>
      <w:proofErr w:type="gramEnd"/>
      <w:r w:rsidR="00BC66CE" w:rsidRPr="00B97DAE">
        <w:rPr>
          <w:rFonts w:ascii="Arial" w:eastAsia="Times" w:hAnsi="Arial"/>
        </w:rPr>
        <w:t xml:space="preserve"> </w:t>
      </w:r>
      <w:r w:rsidR="007B7435" w:rsidRPr="00B97DAE">
        <w:rPr>
          <w:rFonts w:ascii="Arial" w:eastAsia="Times" w:hAnsi="Arial"/>
        </w:rPr>
        <w:t>these concerns</w:t>
      </w:r>
      <w:r w:rsidR="00BC66CE" w:rsidRPr="00B97DAE">
        <w:rPr>
          <w:rFonts w:ascii="Arial" w:eastAsia="Times" w:hAnsi="Arial"/>
        </w:rPr>
        <w:t xml:space="preserve"> </w:t>
      </w:r>
      <w:r w:rsidR="007B7435" w:rsidRPr="00B97DAE">
        <w:rPr>
          <w:rFonts w:ascii="Arial" w:eastAsia="Times" w:hAnsi="Arial"/>
        </w:rPr>
        <w:t>should be addressed within a much broader exploration of who the people are that support an individual consumer, the type of support they provide, and how they can or need to be involved in treatment discussions and planning.</w:t>
      </w:r>
      <w:r w:rsidR="00321D44" w:rsidRPr="00B97DAE">
        <w:rPr>
          <w:rFonts w:ascii="Arial" w:eastAsia="Times" w:hAnsi="Arial"/>
        </w:rPr>
        <w:t xml:space="preserve">  Again, because it appears there is not always the time for such an approach to be taken in relation to carer involvement, this may not occur meaning energy and focus</w:t>
      </w:r>
      <w:r w:rsidR="00BC66CE" w:rsidRPr="00B97DAE">
        <w:rPr>
          <w:rFonts w:ascii="Arial" w:eastAsia="Times" w:hAnsi="Arial"/>
        </w:rPr>
        <w:t xml:space="preserve"> is </w:t>
      </w:r>
      <w:r w:rsidR="00CB70F8" w:rsidRPr="00B97DAE">
        <w:rPr>
          <w:rFonts w:ascii="Arial" w:eastAsia="Times" w:hAnsi="Arial"/>
        </w:rPr>
        <w:t>instead</w:t>
      </w:r>
      <w:r w:rsidR="00BC66CE" w:rsidRPr="00B97DAE">
        <w:rPr>
          <w:rFonts w:ascii="Arial" w:eastAsia="Times" w:hAnsi="Arial"/>
        </w:rPr>
        <w:t xml:space="preserve"> diverted</w:t>
      </w:r>
      <w:r w:rsidR="00321D44" w:rsidRPr="00B97DAE">
        <w:rPr>
          <w:rFonts w:ascii="Arial" w:eastAsia="Times" w:hAnsi="Arial"/>
        </w:rPr>
        <w:t xml:space="preserve"> to a technical aspect of the Act</w:t>
      </w:r>
      <w:r w:rsidR="00BC66CE" w:rsidRPr="00B97DAE">
        <w:rPr>
          <w:rFonts w:ascii="Arial" w:eastAsia="Times" w:hAnsi="Arial"/>
        </w:rPr>
        <w:t xml:space="preserve"> which</w:t>
      </w:r>
      <w:r w:rsidR="00F107C1" w:rsidRPr="00B97DAE">
        <w:rPr>
          <w:rFonts w:ascii="Arial" w:eastAsia="Times" w:hAnsi="Arial"/>
        </w:rPr>
        <w:t xml:space="preserve"> because of its inherent limitations,</w:t>
      </w:r>
      <w:r w:rsidR="00BC66CE" w:rsidRPr="00B97DAE">
        <w:rPr>
          <w:rFonts w:ascii="Arial" w:eastAsia="Times" w:hAnsi="Arial"/>
        </w:rPr>
        <w:t xml:space="preserve"> gives rise to outcomes that are rarely a satisfactory response to the concerns of anyone involved.</w:t>
      </w:r>
    </w:p>
    <w:bookmarkEnd w:id="18"/>
    <w:p w14:paraId="615D88A4" w14:textId="77777777" w:rsidR="00FA22D7" w:rsidRPr="00D37149" w:rsidRDefault="00FA22D7" w:rsidP="00D37149">
      <w:pPr>
        <w:spacing w:after="120"/>
        <w:contextualSpacing/>
        <w:jc w:val="both"/>
        <w:rPr>
          <w:rFonts w:ascii="Arial" w:eastAsia="Times" w:hAnsi="Arial"/>
        </w:rPr>
      </w:pPr>
    </w:p>
    <w:p w14:paraId="5DFD9ACA" w14:textId="77777777" w:rsidR="00370586" w:rsidRPr="00053B9F" w:rsidRDefault="00370586" w:rsidP="00370586">
      <w:pPr>
        <w:spacing w:after="120"/>
        <w:contextualSpacing/>
        <w:jc w:val="both"/>
        <w:rPr>
          <w:rFonts w:ascii="Arial" w:eastAsia="Times" w:hAnsi="Arial"/>
          <w:b/>
          <w:sz w:val="24"/>
          <w:szCs w:val="24"/>
        </w:rPr>
      </w:pPr>
      <w:r w:rsidRPr="00053B9F">
        <w:rPr>
          <w:rFonts w:ascii="Arial" w:eastAsia="Times" w:hAnsi="Arial"/>
          <w:b/>
          <w:sz w:val="24"/>
          <w:szCs w:val="24"/>
        </w:rPr>
        <w:t>2.2  Distinct needs but compatible interests</w:t>
      </w:r>
    </w:p>
    <w:p w14:paraId="13C0569C" w14:textId="77777777" w:rsidR="00543059" w:rsidRDefault="00543059" w:rsidP="00370586">
      <w:pPr>
        <w:spacing w:after="120"/>
        <w:contextualSpacing/>
        <w:jc w:val="both"/>
        <w:rPr>
          <w:rFonts w:ascii="Arial" w:eastAsia="Times" w:hAnsi="Arial"/>
        </w:rPr>
      </w:pPr>
    </w:p>
    <w:p w14:paraId="652823A7" w14:textId="4085778A" w:rsidR="00370586" w:rsidRPr="00370586" w:rsidRDefault="00370586" w:rsidP="00370586">
      <w:pPr>
        <w:spacing w:after="120"/>
        <w:contextualSpacing/>
        <w:jc w:val="both"/>
        <w:rPr>
          <w:rFonts w:ascii="Arial" w:eastAsia="Times" w:hAnsi="Arial"/>
        </w:rPr>
      </w:pPr>
      <w:r w:rsidRPr="00370586">
        <w:rPr>
          <w:rFonts w:ascii="Arial" w:eastAsia="Times" w:hAnsi="Arial"/>
        </w:rPr>
        <w:t>Consumers and carers have distinct needs and expectations of mental health services.  Sometimes there can be a perception that these involve</w:t>
      </w:r>
      <w:r w:rsidR="00A85D4E">
        <w:rPr>
          <w:rFonts w:ascii="Arial" w:eastAsia="Times" w:hAnsi="Arial"/>
        </w:rPr>
        <w:t xml:space="preserve"> nearly</w:t>
      </w:r>
      <w:r w:rsidRPr="00370586">
        <w:rPr>
          <w:rFonts w:ascii="Arial" w:eastAsia="Times" w:hAnsi="Arial"/>
        </w:rPr>
        <w:t xml:space="preserve"> irreconcilable differences, but from the Tribunal’s experience it warrants exploration whether the current deficiencies in service provision create or at least magnify </w:t>
      </w:r>
      <w:r w:rsidR="00765C5E">
        <w:rPr>
          <w:rFonts w:ascii="Arial" w:eastAsia="Times" w:hAnsi="Arial"/>
        </w:rPr>
        <w:t xml:space="preserve">some </w:t>
      </w:r>
      <w:r w:rsidRPr="00370586">
        <w:rPr>
          <w:rFonts w:ascii="Arial" w:eastAsia="Times" w:hAnsi="Arial"/>
        </w:rPr>
        <w:t>tensions, making them appear more intractable than they need to be.</w:t>
      </w:r>
    </w:p>
    <w:p w14:paraId="4FECA990" w14:textId="77777777" w:rsidR="00370586" w:rsidRPr="00370586" w:rsidRDefault="00370586" w:rsidP="00370586">
      <w:pPr>
        <w:spacing w:after="120"/>
        <w:contextualSpacing/>
        <w:jc w:val="both"/>
        <w:rPr>
          <w:rFonts w:ascii="Arial" w:eastAsia="Times" w:hAnsi="Arial"/>
        </w:rPr>
      </w:pPr>
    </w:p>
    <w:p w14:paraId="4531E8BB" w14:textId="456E3ED8" w:rsidR="00370586" w:rsidRPr="00370586" w:rsidRDefault="00370586" w:rsidP="00370586">
      <w:pPr>
        <w:spacing w:after="120"/>
        <w:contextualSpacing/>
        <w:jc w:val="both"/>
        <w:rPr>
          <w:rFonts w:ascii="Arial" w:eastAsia="Times" w:hAnsi="Arial"/>
        </w:rPr>
      </w:pPr>
      <w:r w:rsidRPr="00370586">
        <w:rPr>
          <w:rFonts w:ascii="Arial" w:eastAsia="Times" w:hAnsi="Arial"/>
        </w:rPr>
        <w:t>Whether it be directly when attending hearings, or through a viewpoint being conveyed by the treating team</w:t>
      </w:r>
      <w:r w:rsidR="00FF4E0B">
        <w:rPr>
          <w:rFonts w:ascii="Arial" w:eastAsia="Times" w:hAnsi="Arial"/>
        </w:rPr>
        <w:t xml:space="preserve"> on their behalf</w:t>
      </w:r>
      <w:r w:rsidRPr="00370586">
        <w:rPr>
          <w:rFonts w:ascii="Arial" w:eastAsia="Times" w:hAnsi="Arial"/>
        </w:rPr>
        <w:t xml:space="preserve">, carers will often support the making of a TO.  Often this will be because they regard compulsory treatment as essential </w:t>
      </w:r>
      <w:r w:rsidR="00EC5C74">
        <w:rPr>
          <w:rFonts w:ascii="Arial" w:eastAsia="Times" w:hAnsi="Arial"/>
        </w:rPr>
        <w:t>as</w:t>
      </w:r>
      <w:r w:rsidR="00EC5C74" w:rsidRPr="00370586">
        <w:rPr>
          <w:rFonts w:ascii="Arial" w:eastAsia="Times" w:hAnsi="Arial"/>
        </w:rPr>
        <w:t xml:space="preserve"> </w:t>
      </w:r>
      <w:r w:rsidRPr="00370586">
        <w:rPr>
          <w:rFonts w:ascii="Arial" w:eastAsia="Times" w:hAnsi="Arial"/>
        </w:rPr>
        <w:t xml:space="preserve">the person they care for will otherwise refuse all treatment.  However, in many cases it will be because carers regard </w:t>
      </w:r>
      <w:proofErr w:type="spellStart"/>
      <w:r w:rsidRPr="00370586">
        <w:rPr>
          <w:rFonts w:ascii="Arial" w:eastAsia="Times" w:hAnsi="Arial"/>
        </w:rPr>
        <w:t>a</w:t>
      </w:r>
      <w:proofErr w:type="spellEnd"/>
      <w:r w:rsidRPr="00370586">
        <w:rPr>
          <w:rFonts w:ascii="Arial" w:eastAsia="Times" w:hAnsi="Arial"/>
        </w:rPr>
        <w:t xml:space="preserve"> TO as a means of ensuring adequate treatment, because in the past voluntary treatment has involved less assertive and/or intensive treatment (see above</w:t>
      </w:r>
      <w:r w:rsidR="00112010">
        <w:rPr>
          <w:rFonts w:ascii="Arial" w:eastAsia="Times" w:hAnsi="Arial"/>
        </w:rPr>
        <w:t xml:space="preserve"> 1.2.3</w:t>
      </w:r>
      <w:r w:rsidRPr="00370586">
        <w:rPr>
          <w:rFonts w:ascii="Arial" w:eastAsia="Times" w:hAnsi="Arial"/>
        </w:rPr>
        <w:t>), or a failure to respond to emerging relapses until they have become a full crisis (see below at</w:t>
      </w:r>
      <w:r w:rsidR="00112010">
        <w:rPr>
          <w:rFonts w:ascii="Arial" w:eastAsia="Times" w:hAnsi="Arial"/>
        </w:rPr>
        <w:t xml:space="preserve"> 3.1.2</w:t>
      </w:r>
      <w:r w:rsidRPr="00370586">
        <w:rPr>
          <w:rFonts w:ascii="Arial" w:eastAsia="Times" w:hAnsi="Arial"/>
        </w:rPr>
        <w:t>).  In cases such as these carers are corralled into advocating for compulsory treatment – which often means speaking against the preferences of the person they care for – when in fact what they are advocating for is effective treatment.</w:t>
      </w:r>
    </w:p>
    <w:p w14:paraId="26BA2B99" w14:textId="77777777" w:rsidR="00370586" w:rsidRPr="00370586" w:rsidRDefault="00370586" w:rsidP="00370586">
      <w:pPr>
        <w:spacing w:after="120"/>
        <w:contextualSpacing/>
        <w:jc w:val="both"/>
        <w:rPr>
          <w:rFonts w:ascii="Arial" w:eastAsia="Times" w:hAnsi="Arial"/>
        </w:rPr>
      </w:pPr>
    </w:p>
    <w:p w14:paraId="4F274201" w14:textId="3FFD74B8"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There will of course be differences across the perspectives of consumers and carers that are significant and in relation to which an appropriate balance needs to be struck.  However, some differences, when examined more closely, </w:t>
      </w:r>
      <w:r w:rsidR="00EC5C74">
        <w:rPr>
          <w:rFonts w:ascii="Arial" w:eastAsia="Times" w:hAnsi="Arial"/>
        </w:rPr>
        <w:t>may</w:t>
      </w:r>
      <w:r w:rsidR="00EC5C74" w:rsidRPr="00370586">
        <w:rPr>
          <w:rFonts w:ascii="Arial" w:eastAsia="Times" w:hAnsi="Arial"/>
        </w:rPr>
        <w:t xml:space="preserve"> recede and</w:t>
      </w:r>
      <w:r w:rsidR="00EC5C74">
        <w:rPr>
          <w:rFonts w:ascii="Arial" w:eastAsia="Times" w:hAnsi="Arial"/>
        </w:rPr>
        <w:t xml:space="preserve"> agreement or common ground identified,</w:t>
      </w:r>
      <w:r w:rsidR="00EC5C74" w:rsidRPr="00370586">
        <w:rPr>
          <w:rFonts w:ascii="Arial" w:eastAsia="Times" w:hAnsi="Arial"/>
        </w:rPr>
        <w:t xml:space="preserve"> </w:t>
      </w:r>
      <w:r w:rsidRPr="00370586">
        <w:rPr>
          <w:rFonts w:ascii="Arial" w:eastAsia="Times" w:hAnsi="Arial"/>
        </w:rPr>
        <w:t>particular</w:t>
      </w:r>
      <w:r w:rsidR="00EC5C74">
        <w:rPr>
          <w:rFonts w:ascii="Arial" w:eastAsia="Times" w:hAnsi="Arial"/>
        </w:rPr>
        <w:t>ly</w:t>
      </w:r>
      <w:r w:rsidRPr="00370586">
        <w:rPr>
          <w:rFonts w:ascii="Arial" w:eastAsia="Times" w:hAnsi="Arial"/>
        </w:rPr>
        <w:t xml:space="preserve"> where underlying interests are </w:t>
      </w:r>
      <w:r w:rsidR="004D6791">
        <w:rPr>
          <w:rFonts w:ascii="Arial" w:eastAsia="Times" w:hAnsi="Arial"/>
        </w:rPr>
        <w:t>(relatively) aligned</w:t>
      </w:r>
      <w:r w:rsidR="008266DE">
        <w:rPr>
          <w:rFonts w:ascii="Arial" w:eastAsia="Times" w:hAnsi="Arial"/>
        </w:rPr>
        <w:t>.</w:t>
      </w:r>
    </w:p>
    <w:p w14:paraId="301C0DC3" w14:textId="77777777" w:rsidR="00370586" w:rsidRPr="00370586" w:rsidRDefault="00370586" w:rsidP="00370586">
      <w:pPr>
        <w:spacing w:after="120"/>
        <w:contextualSpacing/>
        <w:jc w:val="both"/>
        <w:rPr>
          <w:rFonts w:ascii="Arial" w:eastAsia="Times" w:hAnsi="Arial"/>
        </w:rPr>
      </w:pPr>
    </w:p>
    <w:p w14:paraId="7E1D282C" w14:textId="77777777" w:rsidR="00543059" w:rsidRPr="00370586" w:rsidRDefault="00543059" w:rsidP="00370586">
      <w:pPr>
        <w:spacing w:after="120"/>
        <w:contextualSpacing/>
        <w:jc w:val="both"/>
        <w:rPr>
          <w:rFonts w:ascii="Arial" w:eastAsia="Times" w:hAnsi="Arial"/>
        </w:rPr>
      </w:pPr>
    </w:p>
    <w:p w14:paraId="069AFDBB" w14:textId="77777777" w:rsidR="00370586" w:rsidRPr="00370586" w:rsidRDefault="00370586" w:rsidP="00370586">
      <w:pPr>
        <w:keepNext/>
        <w:keepLines/>
        <w:spacing w:before="240" w:after="90"/>
        <w:contextualSpacing/>
        <w:jc w:val="both"/>
        <w:outlineLvl w:val="1"/>
        <w:rPr>
          <w:rFonts w:ascii="Arial" w:hAnsi="Arial"/>
          <w:b/>
          <w:sz w:val="28"/>
          <w:szCs w:val="28"/>
        </w:rPr>
      </w:pPr>
      <w:r w:rsidRPr="00370586">
        <w:rPr>
          <w:rFonts w:ascii="Arial" w:hAnsi="Arial"/>
          <w:b/>
          <w:sz w:val="28"/>
          <w:szCs w:val="28"/>
        </w:rPr>
        <w:t>3.  Is there anything else you would like to share with the Royal Commission (question 11)?</w:t>
      </w:r>
    </w:p>
    <w:p w14:paraId="03049FA4" w14:textId="77777777" w:rsidR="00370586" w:rsidRPr="00370586" w:rsidRDefault="00370586" w:rsidP="00370586">
      <w:pPr>
        <w:spacing w:after="120"/>
        <w:contextualSpacing/>
        <w:jc w:val="both"/>
        <w:rPr>
          <w:rFonts w:ascii="Arial" w:eastAsia="Times" w:hAnsi="Arial"/>
          <w:b/>
        </w:rPr>
      </w:pPr>
    </w:p>
    <w:p w14:paraId="636D0C99" w14:textId="77777777" w:rsidR="00370586" w:rsidRPr="00370586" w:rsidRDefault="00370586" w:rsidP="00370586">
      <w:pPr>
        <w:spacing w:after="120"/>
        <w:contextualSpacing/>
        <w:jc w:val="both"/>
        <w:rPr>
          <w:rFonts w:ascii="Arial" w:eastAsia="Times" w:hAnsi="Arial"/>
          <w:b/>
          <w:sz w:val="24"/>
          <w:szCs w:val="24"/>
        </w:rPr>
      </w:pPr>
      <w:r w:rsidRPr="00370586">
        <w:rPr>
          <w:rFonts w:ascii="Arial" w:eastAsia="Times" w:hAnsi="Arial"/>
          <w:b/>
          <w:sz w:val="24"/>
          <w:szCs w:val="24"/>
        </w:rPr>
        <w:t>3.1  Victoria’s exceptionally high rates of compulsory treatment</w:t>
      </w:r>
    </w:p>
    <w:p w14:paraId="6989485C" w14:textId="77777777" w:rsidR="00370586" w:rsidRPr="00370586" w:rsidRDefault="00370586" w:rsidP="00370586">
      <w:pPr>
        <w:spacing w:after="120"/>
        <w:contextualSpacing/>
        <w:jc w:val="both"/>
        <w:rPr>
          <w:rFonts w:ascii="Arial" w:eastAsia="Times" w:hAnsi="Arial"/>
        </w:rPr>
      </w:pPr>
    </w:p>
    <w:p w14:paraId="52A9EF27" w14:textId="3589B6F8" w:rsidR="00370586" w:rsidRPr="00370586" w:rsidRDefault="00370586" w:rsidP="00370586">
      <w:pPr>
        <w:spacing w:after="120"/>
        <w:contextualSpacing/>
        <w:jc w:val="both"/>
        <w:rPr>
          <w:rFonts w:ascii="Arial" w:eastAsia="Times" w:hAnsi="Arial"/>
        </w:rPr>
      </w:pPr>
      <w:r w:rsidRPr="00B97DAE">
        <w:rPr>
          <w:rFonts w:ascii="Arial" w:eastAsia="Times" w:hAnsi="Arial"/>
        </w:rPr>
        <w:t xml:space="preserve">As noted above, the </w:t>
      </w:r>
      <w:r w:rsidRPr="00B97DAE">
        <w:rPr>
          <w:rFonts w:ascii="Arial" w:eastAsia="Times" w:hAnsi="Arial"/>
          <w:i/>
        </w:rPr>
        <w:t>Mental Health Act 2014</w:t>
      </w:r>
      <w:r w:rsidRPr="00B97DAE">
        <w:rPr>
          <w:rFonts w:ascii="Arial" w:eastAsia="Times" w:hAnsi="Arial"/>
        </w:rPr>
        <w:t xml:space="preserve"> was a catalyst for reform and in that context, it is vital to acknowledge that after five years of operation some key expectations have not been realised.  This Act was intended to promote a reduction in Victoria’s very high rates of compulsory treatment.  This has</w:t>
      </w:r>
      <w:r w:rsidR="000E659B">
        <w:rPr>
          <w:rFonts w:ascii="Arial" w:eastAsia="Times" w:hAnsi="Arial"/>
        </w:rPr>
        <w:t xml:space="preserve"> not</w:t>
      </w:r>
      <w:r w:rsidRPr="00B97DAE">
        <w:rPr>
          <w:rFonts w:ascii="Arial" w:eastAsia="Times" w:hAnsi="Arial"/>
        </w:rPr>
        <w:t xml:space="preserve"> happened</w:t>
      </w:r>
      <w:r w:rsidR="00500864" w:rsidRPr="00B97DAE">
        <w:rPr>
          <w:rFonts w:ascii="Arial" w:eastAsia="Times" w:hAnsi="Arial"/>
        </w:rPr>
        <w:t xml:space="preserve"> to any significant extent</w:t>
      </w:r>
      <w:r w:rsidRPr="00B97DAE">
        <w:rPr>
          <w:rFonts w:ascii="Arial" w:eastAsia="Times" w:hAnsi="Arial"/>
        </w:rPr>
        <w:t>.  While the Tribunal does not hold population data – including details of how many people are on TOs at any given time – the constant increase in our caseload and the numbers of TOs being made are both indicators Victoria’s rate of compulsory treatment remains high.  However, there is some evidence (although not conclusive) that the duration of episodes of compulsory treatment have been reduced.</w:t>
      </w:r>
      <w:r w:rsidR="008266DE" w:rsidRPr="00B97DAE">
        <w:rPr>
          <w:rStyle w:val="FootnoteReference"/>
          <w:rFonts w:ascii="Arial" w:eastAsia="Times" w:hAnsi="Arial"/>
        </w:rPr>
        <w:footnoteReference w:id="51"/>
      </w:r>
    </w:p>
    <w:p w14:paraId="5C487D10" w14:textId="77777777" w:rsidR="00370586" w:rsidRPr="00370586" w:rsidRDefault="00370586" w:rsidP="00370586">
      <w:pPr>
        <w:spacing w:after="120"/>
        <w:contextualSpacing/>
        <w:jc w:val="both"/>
        <w:rPr>
          <w:rFonts w:ascii="Arial" w:eastAsia="Times" w:hAnsi="Arial"/>
        </w:rPr>
      </w:pPr>
    </w:p>
    <w:p w14:paraId="63F2BD1B" w14:textId="2FF8D97F"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From the Tribunal’s perspective Victoria’s rate of compulsory treatment (and other restrictive interventions) should be examined by the Royal Commission; and in making this suggestion the Tribunal acknowledges that as the statutory </w:t>
      </w:r>
      <w:r w:rsidR="00112010">
        <w:rPr>
          <w:rFonts w:ascii="Arial" w:eastAsia="Times" w:hAnsi="Arial"/>
        </w:rPr>
        <w:t>body</w:t>
      </w:r>
      <w:r w:rsidRPr="00370586">
        <w:rPr>
          <w:rFonts w:ascii="Arial" w:eastAsia="Times" w:hAnsi="Arial"/>
        </w:rPr>
        <w:t xml:space="preserve"> that makes compulsory TOs its practices and approach will need to be part of this examination and we would welcome this scrutiny.  While there was significant community consultation about compulsory treatment when the Act was being developed, this did not include exploration of whether, and if so how, limited resources and the current design of the mental health service system contribute to high rates of compulsory treatment.</w:t>
      </w:r>
    </w:p>
    <w:p w14:paraId="724D9D08" w14:textId="77777777" w:rsidR="00370586" w:rsidRPr="00370586" w:rsidRDefault="00370586" w:rsidP="00370586">
      <w:pPr>
        <w:spacing w:after="120"/>
        <w:contextualSpacing/>
        <w:jc w:val="both"/>
        <w:rPr>
          <w:rFonts w:ascii="Arial" w:eastAsia="Times" w:hAnsi="Arial"/>
        </w:rPr>
      </w:pPr>
    </w:p>
    <w:p w14:paraId="268E2F26" w14:textId="709A0280" w:rsidR="00370586" w:rsidRPr="00370586" w:rsidRDefault="00370586" w:rsidP="00370586">
      <w:pPr>
        <w:spacing w:after="120"/>
        <w:contextualSpacing/>
        <w:jc w:val="both"/>
        <w:rPr>
          <w:rFonts w:ascii="Arial" w:eastAsia="Times" w:hAnsi="Arial"/>
        </w:rPr>
      </w:pPr>
      <w:r w:rsidRPr="00370586">
        <w:rPr>
          <w:rFonts w:ascii="Arial" w:eastAsia="Times" w:hAnsi="Arial"/>
        </w:rPr>
        <w:t>Further dimensions of this issue that warrant examination include firstly, whether capacity restrain</w:t>
      </w:r>
      <w:r w:rsidR="00500864">
        <w:rPr>
          <w:rFonts w:ascii="Arial" w:eastAsia="Times" w:hAnsi="Arial"/>
        </w:rPr>
        <w:t>t</w:t>
      </w:r>
      <w:r w:rsidRPr="00370586">
        <w:rPr>
          <w:rFonts w:ascii="Arial" w:eastAsia="Times" w:hAnsi="Arial"/>
        </w:rPr>
        <w:t>s have the effect of distorting the intended operation of the Act’s compulsory treatment provisions, thereby limiting its effectiveness in preventing mental health crises and giving rise to irrational approaches to the principle of dignity of risk.  Secondly, whether there have been gaps in the mental health discourse – especially concerning risk – that have impeded the ability of the Act to foster less restrictive responses to the needs of individuals experiencing severe mental illness.</w:t>
      </w:r>
    </w:p>
    <w:p w14:paraId="37B3865E" w14:textId="77777777" w:rsidR="00370586" w:rsidRPr="00370586" w:rsidRDefault="00370586" w:rsidP="00370586">
      <w:pPr>
        <w:spacing w:after="120"/>
        <w:contextualSpacing/>
        <w:jc w:val="both"/>
        <w:rPr>
          <w:rFonts w:ascii="Arial" w:eastAsia="Times" w:hAnsi="Arial"/>
        </w:rPr>
      </w:pPr>
    </w:p>
    <w:p w14:paraId="7D369B83" w14:textId="77777777" w:rsidR="00370586" w:rsidRPr="00370586" w:rsidRDefault="00370586" w:rsidP="00370586">
      <w:pPr>
        <w:spacing w:after="120"/>
        <w:contextualSpacing/>
        <w:jc w:val="both"/>
        <w:rPr>
          <w:rFonts w:ascii="Arial" w:eastAsia="Times" w:hAnsi="Arial"/>
          <w:b/>
        </w:rPr>
      </w:pPr>
      <w:r w:rsidRPr="00370586">
        <w:rPr>
          <w:rFonts w:ascii="Arial" w:eastAsia="Times" w:hAnsi="Arial"/>
          <w:b/>
        </w:rPr>
        <w:t>3.1.1  Reduction in the duration of Treatment Orders and, potentially, the duration of episodes of compulsory treatment</w:t>
      </w:r>
    </w:p>
    <w:p w14:paraId="32F8E8DA" w14:textId="77777777" w:rsidR="00370586" w:rsidRPr="00370586" w:rsidRDefault="00370586" w:rsidP="00370586">
      <w:pPr>
        <w:spacing w:after="120"/>
        <w:contextualSpacing/>
        <w:jc w:val="both"/>
        <w:rPr>
          <w:rFonts w:ascii="Arial" w:eastAsia="Times" w:hAnsi="Arial"/>
        </w:rPr>
      </w:pPr>
    </w:p>
    <w:p w14:paraId="1209BB34" w14:textId="4F169883"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Under the former Act an Involuntary Treatment Order provided legal authority for inpatient treatment, </w:t>
      </w:r>
      <w:proofErr w:type="gramStart"/>
      <w:r w:rsidRPr="00370586">
        <w:rPr>
          <w:rFonts w:ascii="Arial" w:eastAsia="Times" w:hAnsi="Arial"/>
        </w:rPr>
        <w:t>and also</w:t>
      </w:r>
      <w:proofErr w:type="gramEnd"/>
      <w:r w:rsidRPr="00370586">
        <w:rPr>
          <w:rFonts w:ascii="Arial" w:eastAsia="Times" w:hAnsi="Arial"/>
        </w:rPr>
        <w:t xml:space="preserve"> acted as a platform for a CTO when a person was able to be treated in the community.  Authorised psychiatrists made Involuntary Treatment Orders and CTOs that were reviewed by the former Board.  Involuntary Treatment Orders had no expiry date and existed until a person was discharged from involuntary status by their psychiatrist or the Board.  CTOs could be made and renewed for a maximum of 12 months.  In the Board’s experience it was extremely rare to review CTOs that had been made for anything less than the full 12 months permitted under the former Act.</w:t>
      </w:r>
    </w:p>
    <w:p w14:paraId="1A5F82B9" w14:textId="77777777" w:rsidR="00370586" w:rsidRPr="00370586" w:rsidRDefault="00370586" w:rsidP="00370586">
      <w:pPr>
        <w:spacing w:after="120"/>
        <w:contextualSpacing/>
        <w:jc w:val="both"/>
        <w:rPr>
          <w:rFonts w:ascii="Arial" w:eastAsia="Times" w:hAnsi="Arial"/>
        </w:rPr>
      </w:pPr>
    </w:p>
    <w:p w14:paraId="5D26BBF6" w14:textId="329F2C09"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Since commencement of the current Act, across both CTOs and ITOs, the Tribunal has consistently set a duration significantly less than the permitted maximum.  In 2017/2018, </w:t>
      </w:r>
      <w:r w:rsidR="009609E4">
        <w:rPr>
          <w:rFonts w:ascii="Arial" w:eastAsia="Times" w:hAnsi="Arial"/>
        </w:rPr>
        <w:t>54</w:t>
      </w:r>
      <w:r w:rsidRPr="00370586">
        <w:rPr>
          <w:rFonts w:ascii="Arial" w:eastAsia="Times" w:hAnsi="Arial"/>
        </w:rPr>
        <w:t xml:space="preserve">% of CTOs and </w:t>
      </w:r>
      <w:r w:rsidR="009609E4">
        <w:rPr>
          <w:rFonts w:ascii="Arial" w:eastAsia="Times" w:hAnsi="Arial"/>
        </w:rPr>
        <w:t>26</w:t>
      </w:r>
      <w:r w:rsidRPr="00370586">
        <w:rPr>
          <w:rFonts w:ascii="Arial" w:eastAsia="Times" w:hAnsi="Arial"/>
        </w:rPr>
        <w:t>% of ITOs were made with a duration that was no greater than half the maximum duration allowed, i.e. CTOs had a duration of six months or less, and ITO’s three months or less.</w:t>
      </w:r>
    </w:p>
    <w:p w14:paraId="3205B485" w14:textId="77777777" w:rsidR="00370586" w:rsidRPr="00370586" w:rsidRDefault="00370586" w:rsidP="00370586">
      <w:pPr>
        <w:spacing w:after="120"/>
        <w:contextualSpacing/>
        <w:jc w:val="both"/>
        <w:rPr>
          <w:rFonts w:ascii="Arial" w:eastAsia="Times" w:hAnsi="Arial"/>
        </w:rPr>
      </w:pPr>
    </w:p>
    <w:p w14:paraId="1FEB183A"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In 2016, the Tribunal established a working group to investigate the Tribunal’s approach to setting the duration of TOs.  This quality assurance initiative focused on quantifying the extent to which the Tribunal sets a different duration to that requested by a patient’s treating team, and the key </w:t>
      </w:r>
      <w:r w:rsidRPr="00370586">
        <w:rPr>
          <w:rFonts w:ascii="Arial" w:eastAsia="Times" w:hAnsi="Arial"/>
        </w:rPr>
        <w:lastRenderedPageBreak/>
        <w:t>factors or considerations that informed the decision.  By way of a ‘snapshot’ the investigation found that:</w:t>
      </w:r>
    </w:p>
    <w:p w14:paraId="190D2E9B" w14:textId="77777777" w:rsidR="00370586" w:rsidRPr="00370586" w:rsidRDefault="00370586" w:rsidP="00370586">
      <w:pPr>
        <w:spacing w:after="120"/>
        <w:contextualSpacing/>
        <w:jc w:val="both"/>
        <w:rPr>
          <w:rFonts w:ascii="Arial" w:eastAsia="Times" w:hAnsi="Arial"/>
        </w:rPr>
      </w:pPr>
    </w:p>
    <w:p w14:paraId="29C1B95E" w14:textId="0E4487D1" w:rsidR="00370586" w:rsidRPr="00370586" w:rsidRDefault="00CB40BB" w:rsidP="00370586">
      <w:pPr>
        <w:numPr>
          <w:ilvl w:val="0"/>
          <w:numId w:val="34"/>
        </w:numPr>
        <w:spacing w:after="120"/>
        <w:contextualSpacing/>
        <w:jc w:val="both"/>
        <w:rPr>
          <w:rFonts w:ascii="Arial" w:eastAsia="Times" w:hAnsi="Arial"/>
        </w:rPr>
      </w:pPr>
      <w:r>
        <w:rPr>
          <w:rFonts w:ascii="Arial" w:eastAsia="Times" w:hAnsi="Arial"/>
        </w:rPr>
        <w:t>t</w:t>
      </w:r>
      <w:r w:rsidR="00370586" w:rsidRPr="00370586">
        <w:rPr>
          <w:rFonts w:ascii="Arial" w:eastAsia="Times" w:hAnsi="Arial"/>
        </w:rPr>
        <w:t xml:space="preserve">he Tribunal made TOs with a duration different to that requested by </w:t>
      </w:r>
      <w:r>
        <w:rPr>
          <w:rFonts w:ascii="Arial" w:eastAsia="Times" w:hAnsi="Arial"/>
        </w:rPr>
        <w:t xml:space="preserve">the </w:t>
      </w:r>
      <w:r w:rsidR="00370586" w:rsidRPr="00370586">
        <w:rPr>
          <w:rFonts w:ascii="Arial" w:eastAsia="Times" w:hAnsi="Arial"/>
        </w:rPr>
        <w:t>treating team in 20% of hearings.  In 92% of these matters a shorter TO was made, while a longer TO was made in 8%</w:t>
      </w:r>
      <w:r>
        <w:rPr>
          <w:rFonts w:ascii="Arial" w:eastAsia="Times" w:hAnsi="Arial"/>
        </w:rPr>
        <w:t>;</w:t>
      </w:r>
    </w:p>
    <w:p w14:paraId="07F10273" w14:textId="77777777" w:rsidR="00370586" w:rsidRPr="00370586" w:rsidRDefault="00370586" w:rsidP="00370586">
      <w:pPr>
        <w:spacing w:after="120"/>
        <w:ind w:left="720"/>
        <w:contextualSpacing/>
        <w:jc w:val="both"/>
        <w:rPr>
          <w:rFonts w:ascii="Arial" w:eastAsia="Times" w:hAnsi="Arial"/>
        </w:rPr>
      </w:pPr>
    </w:p>
    <w:p w14:paraId="43F7AB34" w14:textId="083426E0" w:rsidR="00370586" w:rsidRPr="00370586" w:rsidRDefault="00CB40BB" w:rsidP="00370586">
      <w:pPr>
        <w:numPr>
          <w:ilvl w:val="0"/>
          <w:numId w:val="34"/>
        </w:numPr>
        <w:spacing w:after="120"/>
        <w:contextualSpacing/>
        <w:jc w:val="both"/>
        <w:rPr>
          <w:rFonts w:ascii="Arial" w:eastAsia="Times" w:hAnsi="Arial"/>
        </w:rPr>
      </w:pPr>
      <w:r>
        <w:rPr>
          <w:rFonts w:ascii="Arial" w:eastAsia="Times" w:hAnsi="Arial"/>
        </w:rPr>
        <w:t>w</w:t>
      </w:r>
      <w:r w:rsidR="00370586" w:rsidRPr="00370586">
        <w:rPr>
          <w:rFonts w:ascii="Arial" w:eastAsia="Times" w:hAnsi="Arial"/>
        </w:rPr>
        <w:t>here a shorter TO was made the most commonly cited reason was adherence to the principles of the Act, followed by presentation of the parties at the hearing.  Two other less common reasons were the need for oversight by the Tribunal (i.e. making a shorter Order so that any further period of compulsory treatment would require the matter to come back to the Tribunal by way of an application for another TO); and incomplete information being available at the time of the hearing</w:t>
      </w:r>
      <w:r>
        <w:rPr>
          <w:rFonts w:ascii="Arial" w:eastAsia="Times" w:hAnsi="Arial"/>
        </w:rPr>
        <w:t>; and</w:t>
      </w:r>
    </w:p>
    <w:p w14:paraId="0F6FB0ED" w14:textId="77777777" w:rsidR="00370586" w:rsidRPr="00370586" w:rsidRDefault="00370586" w:rsidP="00370586">
      <w:pPr>
        <w:spacing w:after="120"/>
        <w:ind w:left="720"/>
        <w:contextualSpacing/>
        <w:jc w:val="both"/>
        <w:rPr>
          <w:rFonts w:ascii="Arial" w:eastAsia="Times" w:hAnsi="Arial"/>
        </w:rPr>
      </w:pPr>
    </w:p>
    <w:p w14:paraId="4AE32F11" w14:textId="53C4262E" w:rsidR="00370586" w:rsidRPr="00370586" w:rsidRDefault="00CB40BB" w:rsidP="00370586">
      <w:pPr>
        <w:numPr>
          <w:ilvl w:val="0"/>
          <w:numId w:val="34"/>
        </w:numPr>
        <w:spacing w:after="120"/>
        <w:contextualSpacing/>
        <w:jc w:val="both"/>
        <w:rPr>
          <w:rFonts w:ascii="Arial" w:eastAsia="Times" w:hAnsi="Arial"/>
        </w:rPr>
      </w:pPr>
      <w:r>
        <w:rPr>
          <w:rFonts w:ascii="Arial" w:eastAsia="Times" w:hAnsi="Arial"/>
        </w:rPr>
        <w:t>r</w:t>
      </w:r>
      <w:r w:rsidR="00370586" w:rsidRPr="00370586">
        <w:rPr>
          <w:rFonts w:ascii="Arial" w:eastAsia="Times" w:hAnsi="Arial"/>
        </w:rPr>
        <w:t>ates of attendance and participation in hearings by consumers, support persons and legal representatives was higher than the overall average in matters where a shorter TO was made.</w:t>
      </w:r>
    </w:p>
    <w:p w14:paraId="08917725" w14:textId="77777777" w:rsidR="00370586" w:rsidRPr="00370586" w:rsidRDefault="00370586" w:rsidP="00370586">
      <w:pPr>
        <w:spacing w:after="120"/>
        <w:contextualSpacing/>
        <w:jc w:val="both"/>
        <w:rPr>
          <w:rFonts w:ascii="Arial" w:eastAsia="Times" w:hAnsi="Arial"/>
        </w:rPr>
      </w:pPr>
    </w:p>
    <w:p w14:paraId="4F94835C" w14:textId="68BB880C"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The fact </w:t>
      </w:r>
      <w:r w:rsidR="00CB40BB">
        <w:rPr>
          <w:rFonts w:ascii="Arial" w:eastAsia="Times" w:hAnsi="Arial"/>
        </w:rPr>
        <w:t xml:space="preserve">that </w:t>
      </w:r>
      <w:r w:rsidRPr="00370586">
        <w:rPr>
          <w:rFonts w:ascii="Arial" w:eastAsia="Times" w:hAnsi="Arial"/>
        </w:rPr>
        <w:t xml:space="preserve">a significant proportion of TOs are being made to run for </w:t>
      </w:r>
      <w:proofErr w:type="gramStart"/>
      <w:r w:rsidRPr="00370586">
        <w:rPr>
          <w:rFonts w:ascii="Arial" w:eastAsia="Times" w:hAnsi="Arial"/>
        </w:rPr>
        <w:t>a period of time</w:t>
      </w:r>
      <w:proofErr w:type="gramEnd"/>
      <w:r w:rsidRPr="00370586">
        <w:rPr>
          <w:rFonts w:ascii="Arial" w:eastAsia="Times" w:hAnsi="Arial"/>
        </w:rPr>
        <w:t xml:space="preserve"> less than the allowed statutory maximum indicates that the Act may have impacted on the duration of episodes of compulsory treatment</w:t>
      </w:r>
      <w:r w:rsidR="00CB40BB">
        <w:rPr>
          <w:rFonts w:ascii="Arial" w:eastAsia="Times" w:hAnsi="Arial"/>
        </w:rPr>
        <w:t>.</w:t>
      </w:r>
      <w:r w:rsidR="00673621">
        <w:rPr>
          <w:rFonts w:ascii="Arial" w:eastAsia="Times" w:hAnsi="Arial"/>
        </w:rPr>
        <w:t xml:space="preserve"> </w:t>
      </w:r>
      <w:r w:rsidRPr="00370586">
        <w:rPr>
          <w:rFonts w:ascii="Arial" w:eastAsia="Times" w:hAnsi="Arial"/>
        </w:rPr>
        <w:t xml:space="preserve"> </w:t>
      </w:r>
      <w:r w:rsidR="00CB40BB">
        <w:rPr>
          <w:rFonts w:ascii="Arial" w:eastAsia="Times" w:hAnsi="Arial"/>
        </w:rPr>
        <w:t>H</w:t>
      </w:r>
      <w:r w:rsidRPr="00370586">
        <w:rPr>
          <w:rFonts w:ascii="Arial" w:eastAsia="Times" w:hAnsi="Arial"/>
        </w:rPr>
        <w:t>owever, there are at least two unknown factors that require a degree of caution regarding such conclusions</w:t>
      </w:r>
      <w:r w:rsidR="00740721">
        <w:rPr>
          <w:rFonts w:ascii="Arial" w:eastAsia="Times" w:hAnsi="Arial"/>
        </w:rPr>
        <w:t>.</w:t>
      </w:r>
    </w:p>
    <w:p w14:paraId="0F802DC0" w14:textId="77777777" w:rsidR="00370586" w:rsidRPr="00370586" w:rsidRDefault="00370586" w:rsidP="00370586">
      <w:pPr>
        <w:spacing w:after="120"/>
        <w:contextualSpacing/>
        <w:jc w:val="both"/>
        <w:rPr>
          <w:rFonts w:ascii="Arial" w:eastAsia="Times" w:hAnsi="Arial"/>
        </w:rPr>
      </w:pPr>
    </w:p>
    <w:p w14:paraId="4367E39C" w14:textId="78BCB061" w:rsidR="00370586" w:rsidRPr="00370586" w:rsidRDefault="00370586" w:rsidP="00370586">
      <w:pPr>
        <w:numPr>
          <w:ilvl w:val="0"/>
          <w:numId w:val="35"/>
        </w:numPr>
        <w:spacing w:after="120"/>
        <w:contextualSpacing/>
        <w:jc w:val="both"/>
        <w:rPr>
          <w:rFonts w:ascii="Arial" w:eastAsia="Times" w:hAnsi="Arial"/>
        </w:rPr>
      </w:pPr>
      <w:r w:rsidRPr="00370586">
        <w:rPr>
          <w:rFonts w:ascii="Arial" w:eastAsia="Times" w:hAnsi="Arial"/>
        </w:rPr>
        <w:t xml:space="preserve">At this point the Tribunal has not had the capacity to </w:t>
      </w:r>
      <w:r w:rsidR="00500864">
        <w:rPr>
          <w:rFonts w:ascii="Arial" w:eastAsia="Times" w:hAnsi="Arial"/>
        </w:rPr>
        <w:t xml:space="preserve">conduct a follow-up </w:t>
      </w:r>
      <w:r w:rsidRPr="00370586">
        <w:rPr>
          <w:rFonts w:ascii="Arial" w:eastAsia="Times" w:hAnsi="Arial"/>
        </w:rPr>
        <w:t>ex</w:t>
      </w:r>
      <w:r w:rsidR="00500864">
        <w:rPr>
          <w:rFonts w:ascii="Arial" w:eastAsia="Times" w:hAnsi="Arial"/>
        </w:rPr>
        <w:t xml:space="preserve">ploration of the extent to which </w:t>
      </w:r>
      <w:r w:rsidRPr="00370586">
        <w:rPr>
          <w:rFonts w:ascii="Arial" w:eastAsia="Times" w:hAnsi="Arial"/>
        </w:rPr>
        <w:t>in those cases where it makes shorter TOs</w:t>
      </w:r>
      <w:r w:rsidR="00112010">
        <w:rPr>
          <w:rFonts w:ascii="Arial" w:eastAsia="Times" w:hAnsi="Arial"/>
        </w:rPr>
        <w:t>,</w:t>
      </w:r>
      <w:r w:rsidRPr="00370586">
        <w:rPr>
          <w:rFonts w:ascii="Arial" w:eastAsia="Times" w:hAnsi="Arial"/>
        </w:rPr>
        <w:t xml:space="preserve"> compulsory treatment ends when the TO expires, or</w:t>
      </w:r>
      <w:r w:rsidR="00500864">
        <w:rPr>
          <w:rFonts w:ascii="Arial" w:eastAsia="Times" w:hAnsi="Arial"/>
        </w:rPr>
        <w:t xml:space="preserve"> instead</w:t>
      </w:r>
      <w:r w:rsidRPr="00370586">
        <w:rPr>
          <w:rFonts w:ascii="Arial" w:eastAsia="Times" w:hAnsi="Arial"/>
        </w:rPr>
        <w:t xml:space="preserve"> the person’s treating psychiatrist applies for a further TO.</w:t>
      </w:r>
    </w:p>
    <w:p w14:paraId="0393AEBE" w14:textId="77777777" w:rsidR="00370586" w:rsidRPr="00370586" w:rsidRDefault="00370586" w:rsidP="00370586">
      <w:pPr>
        <w:spacing w:after="120"/>
        <w:ind w:left="720"/>
        <w:contextualSpacing/>
        <w:jc w:val="both"/>
        <w:rPr>
          <w:rFonts w:ascii="Arial" w:eastAsia="Times" w:hAnsi="Arial"/>
        </w:rPr>
      </w:pPr>
    </w:p>
    <w:p w14:paraId="53A3650C" w14:textId="4470F806" w:rsidR="00370586" w:rsidRPr="00370586" w:rsidRDefault="00370586" w:rsidP="00370586">
      <w:pPr>
        <w:numPr>
          <w:ilvl w:val="0"/>
          <w:numId w:val="35"/>
        </w:numPr>
        <w:spacing w:after="120"/>
        <w:contextualSpacing/>
        <w:jc w:val="both"/>
        <w:rPr>
          <w:rFonts w:ascii="Arial" w:eastAsia="Times" w:hAnsi="Arial"/>
        </w:rPr>
      </w:pPr>
      <w:r w:rsidRPr="00370586">
        <w:rPr>
          <w:rFonts w:ascii="Arial" w:eastAsia="Times" w:hAnsi="Arial"/>
        </w:rPr>
        <w:t xml:space="preserve">While the former Board was aware that </w:t>
      </w:r>
      <w:proofErr w:type="gramStart"/>
      <w:r w:rsidRPr="00370586">
        <w:rPr>
          <w:rFonts w:ascii="Arial" w:eastAsia="Times" w:hAnsi="Arial"/>
        </w:rPr>
        <w:t>the clear majority of</w:t>
      </w:r>
      <w:proofErr w:type="gramEnd"/>
      <w:r w:rsidRPr="00370586">
        <w:rPr>
          <w:rFonts w:ascii="Arial" w:eastAsia="Times" w:hAnsi="Arial"/>
        </w:rPr>
        <w:t xml:space="preserve"> CTOs under the former Act were made by authorised psychiatrists to run for 12 months, it is not aware of any data regarding how often psychiatrists discharged patients from their involuntary status prior to the CTO expiring.</w:t>
      </w:r>
    </w:p>
    <w:p w14:paraId="3E6855C6" w14:textId="77777777" w:rsidR="00370586" w:rsidRPr="00370586" w:rsidRDefault="00370586" w:rsidP="00370586">
      <w:pPr>
        <w:spacing w:after="120"/>
        <w:contextualSpacing/>
        <w:jc w:val="both"/>
        <w:rPr>
          <w:rFonts w:ascii="Arial" w:eastAsia="Times" w:hAnsi="Arial"/>
          <w:b/>
        </w:rPr>
      </w:pPr>
    </w:p>
    <w:p w14:paraId="43AF73A8" w14:textId="77777777" w:rsidR="00370586" w:rsidRPr="00370586" w:rsidRDefault="00370586" w:rsidP="00370586">
      <w:pPr>
        <w:spacing w:after="120"/>
        <w:contextualSpacing/>
        <w:jc w:val="both"/>
        <w:rPr>
          <w:rFonts w:ascii="Arial" w:eastAsia="Times" w:hAnsi="Arial"/>
          <w:b/>
        </w:rPr>
      </w:pPr>
      <w:r w:rsidRPr="00370586">
        <w:rPr>
          <w:rFonts w:ascii="Arial" w:eastAsia="Times" w:hAnsi="Arial"/>
          <w:b/>
        </w:rPr>
        <w:t>3.1.2  Distorted operation of the Mental Health Act</w:t>
      </w:r>
    </w:p>
    <w:p w14:paraId="3CF4CEFF" w14:textId="77777777" w:rsidR="00370586" w:rsidRPr="00370586" w:rsidRDefault="00370586" w:rsidP="00370586">
      <w:pPr>
        <w:spacing w:after="120"/>
        <w:contextualSpacing/>
        <w:jc w:val="both"/>
        <w:rPr>
          <w:rFonts w:ascii="Arial" w:eastAsia="Times" w:hAnsi="Arial"/>
        </w:rPr>
      </w:pPr>
    </w:p>
    <w:p w14:paraId="16B5D3BF" w14:textId="757F6646" w:rsidR="00370586" w:rsidRPr="00370586" w:rsidRDefault="00370586" w:rsidP="00370586">
      <w:pPr>
        <w:spacing w:after="120"/>
        <w:contextualSpacing/>
        <w:jc w:val="both"/>
        <w:rPr>
          <w:rFonts w:ascii="Arial" w:eastAsia="Times" w:hAnsi="Arial"/>
        </w:rPr>
      </w:pPr>
      <w:r w:rsidRPr="00370586">
        <w:rPr>
          <w:rFonts w:ascii="Arial" w:eastAsia="Times" w:hAnsi="Arial"/>
        </w:rPr>
        <w:t>The relative scarcity of available services leads to the Act or compulsory treatment being used as a tool to ration or determine access.  This is not a function for which the Act is designed.  Consequently, it results in unfair allocation of resources (see above at</w:t>
      </w:r>
      <w:r w:rsidR="00112010">
        <w:rPr>
          <w:rFonts w:ascii="Arial" w:eastAsia="Times" w:hAnsi="Arial"/>
        </w:rPr>
        <w:t xml:space="preserve"> 1.2.3)</w:t>
      </w:r>
      <w:r w:rsidRPr="00370586">
        <w:rPr>
          <w:rFonts w:ascii="Arial" w:eastAsia="Times" w:hAnsi="Arial"/>
        </w:rPr>
        <w:t>, it also distorts the effective operation of the Act and leads to irrational responses to risk.  This is best illustrated by a consideration of two hypothetical consumers – ‘Jack’ and ‘Mary’.  Neither are individual case studies, nor are they novel, each is an amalgam of many individuals and they represent two cohorts of patients that are frequently involved in Tribunal hearings.</w:t>
      </w:r>
    </w:p>
    <w:p w14:paraId="25D7344B" w14:textId="77777777" w:rsidR="0008330E" w:rsidRDefault="0008330E" w:rsidP="0008330E">
      <w:pPr>
        <w:spacing w:before="240" w:after="200"/>
        <w:contextualSpacing/>
        <w:jc w:val="both"/>
        <w:rPr>
          <w:rFonts w:ascii="Arial" w:eastAsiaTheme="minorHAns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8330E" w:rsidRPr="00ED547D" w14:paraId="7BBB0869" w14:textId="77777777" w:rsidTr="006361EC">
        <w:tc>
          <w:tcPr>
            <w:tcW w:w="8522" w:type="dxa"/>
            <w:shd w:val="clear" w:color="auto" w:fill="EAF1DD" w:themeFill="accent3" w:themeFillTint="33"/>
          </w:tcPr>
          <w:p w14:paraId="4BFDDF83" w14:textId="09341523" w:rsidR="0008330E" w:rsidRPr="00ED547D" w:rsidRDefault="0008330E" w:rsidP="006361EC">
            <w:pPr>
              <w:keepNext/>
              <w:keepLines/>
              <w:spacing w:before="40"/>
              <w:jc w:val="center"/>
              <w:outlineLvl w:val="1"/>
              <w:rPr>
                <w:rFonts w:ascii="Arial" w:eastAsia="Calibri" w:hAnsi="Arial" w:cs="Arial"/>
                <w:b/>
                <w:color w:val="365F91" w:themeColor="accent1" w:themeShade="BF"/>
              </w:rPr>
            </w:pPr>
            <w:r w:rsidRPr="00ED547D">
              <w:rPr>
                <w:rFonts w:ascii="Arial" w:eastAsia="Calibri" w:hAnsi="Arial" w:cs="Arial"/>
                <w:b/>
                <w:color w:val="365F91" w:themeColor="accent1" w:themeShade="BF"/>
              </w:rPr>
              <w:t>‘J</w:t>
            </w:r>
            <w:r>
              <w:rPr>
                <w:rFonts w:ascii="Arial" w:eastAsia="Calibri" w:hAnsi="Arial" w:cs="Arial"/>
                <w:b/>
                <w:color w:val="365F91" w:themeColor="accent1" w:themeShade="BF"/>
              </w:rPr>
              <w:t>ack</w:t>
            </w:r>
            <w:r w:rsidRPr="00ED547D">
              <w:rPr>
                <w:rFonts w:ascii="Arial" w:eastAsia="Calibri" w:hAnsi="Arial" w:cs="Arial"/>
                <w:b/>
                <w:color w:val="365F91" w:themeColor="accent1" w:themeShade="BF"/>
              </w:rPr>
              <w:t>’</w:t>
            </w:r>
            <w:r>
              <w:rPr>
                <w:rFonts w:ascii="Arial" w:eastAsia="Calibri" w:hAnsi="Arial" w:cs="Arial"/>
                <w:b/>
                <w:color w:val="365F91" w:themeColor="accent1" w:themeShade="BF"/>
              </w:rPr>
              <w:t xml:space="preserve"> and ‘Mary’</w:t>
            </w:r>
          </w:p>
          <w:p w14:paraId="2DF401BF" w14:textId="26AFF9F9" w:rsidR="0008330E" w:rsidRPr="00370586" w:rsidRDefault="0008330E" w:rsidP="0008330E">
            <w:pPr>
              <w:spacing w:after="120"/>
              <w:contextualSpacing/>
              <w:jc w:val="both"/>
              <w:rPr>
                <w:rFonts w:ascii="Arial" w:eastAsia="Times" w:hAnsi="Arial"/>
              </w:rPr>
            </w:pPr>
            <w:r w:rsidRPr="00370586">
              <w:rPr>
                <w:rFonts w:ascii="Arial" w:eastAsia="Times" w:hAnsi="Arial"/>
              </w:rPr>
              <w:t>Jack is a ‘new patient’.  He is in his early 20’s and presenting with a first episode psychosis.  After some initial difficulties and a readmission very shortly after his first discharge from hospital, Jack and his treating team are developing a positive rapport.  Jack is still making sense of things but can at least partly identify with the notion of having symptoms of an illness, and particularly after his recent and rapid readmission to hospital, perceives a link between treatment and stability.</w:t>
            </w:r>
          </w:p>
          <w:p w14:paraId="04F3C5B5" w14:textId="77777777" w:rsidR="0008330E" w:rsidRPr="00370586" w:rsidRDefault="0008330E" w:rsidP="0008330E">
            <w:pPr>
              <w:spacing w:after="120"/>
              <w:contextualSpacing/>
              <w:jc w:val="both"/>
              <w:rPr>
                <w:rFonts w:ascii="Arial" w:eastAsia="Times" w:hAnsi="Arial"/>
              </w:rPr>
            </w:pPr>
          </w:p>
          <w:p w14:paraId="40CFB762" w14:textId="7B5CF407" w:rsidR="0008330E" w:rsidRPr="0008330E" w:rsidRDefault="0008330E" w:rsidP="0008330E">
            <w:pPr>
              <w:spacing w:after="120"/>
              <w:contextualSpacing/>
              <w:jc w:val="both"/>
              <w:rPr>
                <w:rFonts w:ascii="Arial" w:eastAsia="Times" w:hAnsi="Arial"/>
              </w:rPr>
            </w:pPr>
            <w:r w:rsidRPr="00370586">
              <w:rPr>
                <w:rFonts w:ascii="Arial" w:eastAsia="Times" w:hAnsi="Arial"/>
              </w:rPr>
              <w:t>Mary is an ‘experienced consumer’.  She is in her late 40’s and has a long history of bipolar affective disorder.  Mary has lengthy periods of stability – and is presently stable – but has also experienced severe relapses that in the past have had a devastating impact on her relationships, accommodation and employment.</w:t>
            </w:r>
          </w:p>
        </w:tc>
      </w:tr>
    </w:tbl>
    <w:p w14:paraId="3AAACDBE" w14:textId="77777777" w:rsidR="008D0B5D" w:rsidRDefault="008D0B5D" w:rsidP="00370586">
      <w:pPr>
        <w:spacing w:after="120"/>
        <w:contextualSpacing/>
        <w:jc w:val="both"/>
        <w:rPr>
          <w:rFonts w:ascii="Arial" w:eastAsia="Times" w:hAnsi="Arial"/>
        </w:rPr>
      </w:pPr>
    </w:p>
    <w:p w14:paraId="71F8038B" w14:textId="494DA91C" w:rsidR="00370586" w:rsidRPr="00370586" w:rsidRDefault="00370586" w:rsidP="00370586">
      <w:pPr>
        <w:spacing w:after="120"/>
        <w:contextualSpacing/>
        <w:jc w:val="both"/>
        <w:rPr>
          <w:rFonts w:ascii="Arial" w:eastAsia="Times" w:hAnsi="Arial"/>
        </w:rPr>
      </w:pPr>
      <w:r w:rsidRPr="00370586">
        <w:rPr>
          <w:rFonts w:ascii="Arial" w:eastAsia="Times" w:hAnsi="Arial"/>
        </w:rPr>
        <w:t>It is not uncommon in Tribunal hearings concerning patients like Jack or Mary, for treating teams to acknowledge that things are going well but to argue that to manage the risk of future relapse a compulsory TO is required to be able to ‘act if the need arises’.  When asked to elaborate on this</w:t>
      </w:r>
      <w:r w:rsidR="00673621">
        <w:rPr>
          <w:rFonts w:ascii="Arial" w:eastAsia="Times" w:hAnsi="Arial"/>
        </w:rPr>
        <w:t>,</w:t>
      </w:r>
      <w:r w:rsidRPr="00370586">
        <w:rPr>
          <w:rFonts w:ascii="Arial" w:eastAsia="Times" w:hAnsi="Arial"/>
        </w:rPr>
        <w:t xml:space="preserve"> the rationale that is </w:t>
      </w:r>
      <w:r w:rsidR="00673621">
        <w:rPr>
          <w:rFonts w:ascii="Arial" w:eastAsia="Times" w:hAnsi="Arial"/>
        </w:rPr>
        <w:t xml:space="preserve">often provided is </w:t>
      </w:r>
      <w:r w:rsidRPr="00370586">
        <w:rPr>
          <w:rFonts w:ascii="Arial" w:eastAsia="Times" w:hAnsi="Arial"/>
        </w:rPr>
        <w:t>that if a person is not on a TO, intervention will not be possible until a relapse fully plays out and a serious deterioration in Jack or Mary’s mental health, with the associated upheaval and distress for Jack, Mary and those who support them, has become an actuality.</w:t>
      </w:r>
    </w:p>
    <w:p w14:paraId="52ACDCA3" w14:textId="77777777" w:rsidR="00370586" w:rsidRPr="00370586" w:rsidRDefault="00370586" w:rsidP="00370586">
      <w:pPr>
        <w:spacing w:after="120"/>
        <w:contextualSpacing/>
        <w:jc w:val="both"/>
        <w:rPr>
          <w:rFonts w:ascii="Arial" w:eastAsia="Times" w:hAnsi="Arial"/>
        </w:rPr>
      </w:pPr>
    </w:p>
    <w:p w14:paraId="4C993DD8" w14:textId="33837561" w:rsidR="00370586" w:rsidRPr="00370586" w:rsidRDefault="00370586" w:rsidP="00370586">
      <w:pPr>
        <w:spacing w:after="120"/>
        <w:contextualSpacing/>
        <w:jc w:val="both"/>
        <w:rPr>
          <w:rFonts w:ascii="Arial" w:eastAsia="Times" w:hAnsi="Arial"/>
        </w:rPr>
      </w:pPr>
      <w:r w:rsidRPr="00370586">
        <w:rPr>
          <w:rFonts w:ascii="Arial" w:eastAsia="Times" w:hAnsi="Arial"/>
        </w:rPr>
        <w:lastRenderedPageBreak/>
        <w:t>But this is not what the Act requires.  The relevant provisions that govern the making of AO</w:t>
      </w:r>
      <w:r w:rsidR="00112010">
        <w:rPr>
          <w:rFonts w:ascii="Arial" w:eastAsia="Times" w:hAnsi="Arial"/>
        </w:rPr>
        <w:t>s</w:t>
      </w:r>
      <w:r w:rsidRPr="00370586">
        <w:rPr>
          <w:rFonts w:ascii="Arial" w:eastAsia="Times" w:hAnsi="Arial"/>
        </w:rPr>
        <w:t xml:space="preserve"> and TTOs do not ‘tie the hands of services’ and require them to passively observe while a person who is not already a compulsory patient descends into crisis.  On the contrary</w:t>
      </w:r>
      <w:r w:rsidR="00C80CC0">
        <w:rPr>
          <w:rFonts w:ascii="Arial" w:eastAsia="Times" w:hAnsi="Arial"/>
        </w:rPr>
        <w:t>,</w:t>
      </w:r>
      <w:r w:rsidRPr="00370586">
        <w:rPr>
          <w:rFonts w:ascii="Arial" w:eastAsia="Times" w:hAnsi="Arial"/>
        </w:rPr>
        <w:t xml:space="preserve"> the Act positions AOs and TTOs as mechanisms to be used to </w:t>
      </w:r>
      <w:r w:rsidRPr="00370586">
        <w:rPr>
          <w:rFonts w:ascii="Arial" w:eastAsia="Times" w:hAnsi="Arial"/>
          <w:b/>
          <w:i/>
        </w:rPr>
        <w:t>prevent</w:t>
      </w:r>
      <w:r w:rsidRPr="00370586">
        <w:rPr>
          <w:rFonts w:ascii="Arial" w:eastAsia="Times" w:hAnsi="Arial"/>
        </w:rPr>
        <w:t xml:space="preserve"> crises.</w:t>
      </w:r>
      <w:r w:rsidRPr="00370586">
        <w:rPr>
          <w:rFonts w:ascii="Arial" w:eastAsia="Times" w:hAnsi="Arial"/>
          <w:vertAlign w:val="superscript"/>
        </w:rPr>
        <w:footnoteReference w:id="52"/>
      </w:r>
      <w:r w:rsidRPr="00370586">
        <w:rPr>
          <w:rFonts w:ascii="Arial" w:eastAsia="Times" w:hAnsi="Arial"/>
        </w:rPr>
        <w:t xml:space="preserve">  While every case requires specific consideration and ultimately an Order might be made, increasingly the Tribunal is questioning the rationale advanced in support of TOs for Jack or Mary when the primary reason appears to be for it to operate as an insurance policy for the future.</w:t>
      </w:r>
    </w:p>
    <w:p w14:paraId="2DE65F23" w14:textId="77777777" w:rsidR="00370586" w:rsidRPr="00370586" w:rsidRDefault="00370586" w:rsidP="00370586">
      <w:pPr>
        <w:spacing w:after="120"/>
        <w:contextualSpacing/>
        <w:jc w:val="both"/>
        <w:rPr>
          <w:rFonts w:ascii="Arial" w:eastAsia="Times" w:hAnsi="Arial"/>
        </w:rPr>
      </w:pPr>
    </w:p>
    <w:p w14:paraId="79DC891E"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There is no legal reason for such an approach leaving Jack or Mary vulnerable as voluntary patients.  If at any point in the future there is evidence that demonstrates a serious deterioration in Jack or Mary’s mental health is emerging, but they are at that time refusing treatment, a compulsory intervention can be initiated with the clear purpose of stabilising their mental health and preventing further deterioration.  This appears to be routinely misunderstood and/or beyond the capacity of services which in a state of constant crisis management operate in salvage rather than prevention mode.</w:t>
      </w:r>
    </w:p>
    <w:p w14:paraId="1C854813" w14:textId="77777777" w:rsidR="00370586" w:rsidRPr="00370586" w:rsidRDefault="00370586" w:rsidP="00370586">
      <w:pPr>
        <w:spacing w:after="120"/>
        <w:contextualSpacing/>
        <w:jc w:val="both"/>
        <w:rPr>
          <w:rFonts w:ascii="Arial" w:eastAsia="Times" w:hAnsi="Arial"/>
        </w:rPr>
      </w:pPr>
    </w:p>
    <w:p w14:paraId="402AC443" w14:textId="16FD9C57"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A further pitfall of not fully appreciating </w:t>
      </w:r>
      <w:r w:rsidR="00363BEA">
        <w:rPr>
          <w:rFonts w:ascii="Arial" w:eastAsia="Times" w:hAnsi="Arial"/>
        </w:rPr>
        <w:t>the</w:t>
      </w:r>
      <w:r w:rsidR="00363BEA" w:rsidRPr="00370586">
        <w:rPr>
          <w:rFonts w:ascii="Arial" w:eastAsia="Times" w:hAnsi="Arial"/>
        </w:rPr>
        <w:t xml:space="preserve"> </w:t>
      </w:r>
      <w:r w:rsidRPr="00370586">
        <w:rPr>
          <w:rFonts w:ascii="Arial" w:eastAsia="Times" w:hAnsi="Arial"/>
        </w:rPr>
        <w:t>preventative focus of the Act, is that it gives rise to a paradoxical approach to the interpretation and application of the dignity of risk principle.</w:t>
      </w:r>
      <w:r w:rsidRPr="00370586">
        <w:rPr>
          <w:rFonts w:ascii="Arial" w:eastAsia="Times" w:hAnsi="Arial"/>
          <w:vertAlign w:val="superscript"/>
        </w:rPr>
        <w:footnoteReference w:id="53"/>
      </w:r>
      <w:r w:rsidRPr="00370586">
        <w:rPr>
          <w:rFonts w:ascii="Arial" w:eastAsia="Times" w:hAnsi="Arial"/>
        </w:rPr>
        <w:t xml:space="preserve">  Dignity of risk has been described or defined as the principle of allowing an individual the dignity afforded by risk-taking, with subsequent enhancement of personal growth and quality of life.  Positive risk taking is associated with improved autonomy, social interaction and health; the promotion of independence, self-determination and self-worth; and enabling people to construct lives that align with their values and personality.  Conversely, over-protection or denying people the dignity of risk is associated with removing hope, diminishing the person and preventing people achieving their potential.</w:t>
      </w:r>
      <w:r w:rsidRPr="00370586">
        <w:rPr>
          <w:rFonts w:ascii="Arial" w:eastAsia="Times" w:hAnsi="Arial"/>
          <w:vertAlign w:val="superscript"/>
        </w:rPr>
        <w:footnoteReference w:id="54"/>
      </w:r>
      <w:r w:rsidRPr="00370586">
        <w:rPr>
          <w:rFonts w:ascii="Arial" w:eastAsia="Times" w:hAnsi="Arial"/>
        </w:rPr>
        <w:t xml:space="preserve"> </w:t>
      </w:r>
    </w:p>
    <w:p w14:paraId="43B8237E" w14:textId="77777777" w:rsidR="00370586" w:rsidRPr="00370586" w:rsidRDefault="00370586" w:rsidP="00370586">
      <w:pPr>
        <w:spacing w:after="120"/>
        <w:contextualSpacing/>
        <w:jc w:val="both"/>
        <w:rPr>
          <w:rFonts w:ascii="Arial" w:eastAsia="Times" w:hAnsi="Arial"/>
        </w:rPr>
      </w:pPr>
    </w:p>
    <w:p w14:paraId="0A367ADC" w14:textId="41694182" w:rsidR="00370586" w:rsidRPr="00370586" w:rsidRDefault="00370586" w:rsidP="00370586">
      <w:pPr>
        <w:spacing w:after="120"/>
        <w:contextualSpacing/>
        <w:jc w:val="both"/>
        <w:rPr>
          <w:rFonts w:ascii="Arial" w:eastAsia="Times" w:hAnsi="Arial"/>
        </w:rPr>
      </w:pPr>
      <w:r w:rsidRPr="00370586">
        <w:rPr>
          <w:rFonts w:ascii="Arial" w:eastAsia="Times" w:hAnsi="Arial"/>
        </w:rPr>
        <w:t>Dignity of risk is not benign indifference – there are boundaries.  The Act directs that we are to respect a ‘degree’ of risk</w:t>
      </w:r>
      <w:r w:rsidR="00673621">
        <w:rPr>
          <w:rFonts w:ascii="Arial" w:eastAsia="Times" w:hAnsi="Arial"/>
        </w:rPr>
        <w:t>.  What</w:t>
      </w:r>
      <w:r w:rsidRPr="00370586">
        <w:rPr>
          <w:rFonts w:ascii="Arial" w:eastAsia="Times" w:hAnsi="Arial"/>
        </w:rPr>
        <w:t xml:space="preserve"> is an appropriate or permissible degree of risk cannot be defined in the abstract and is something that needs to be assessed on a case-by-case basis.  But what can be said is that mistakenly thinking that a crisis must have eventuated before intervening to support a person who is not presently on an Order</w:t>
      </w:r>
      <w:r w:rsidR="00112010">
        <w:rPr>
          <w:rFonts w:ascii="Arial" w:eastAsia="Times" w:hAnsi="Arial"/>
        </w:rPr>
        <w:t xml:space="preserve">, </w:t>
      </w:r>
      <w:r w:rsidRPr="00370586">
        <w:rPr>
          <w:rFonts w:ascii="Arial" w:eastAsia="Times" w:hAnsi="Arial"/>
        </w:rPr>
        <w:t>an approach arguably driven by scarcity of resources, potentially leads to a very illogical approach to the dignity of risk.</w:t>
      </w:r>
    </w:p>
    <w:p w14:paraId="6713F47B" w14:textId="77777777" w:rsidR="00370586" w:rsidRPr="00370586" w:rsidRDefault="00370586" w:rsidP="00370586">
      <w:pPr>
        <w:spacing w:after="120"/>
        <w:contextualSpacing/>
        <w:jc w:val="both"/>
        <w:rPr>
          <w:rFonts w:ascii="Arial" w:eastAsia="Times" w:hAnsi="Arial"/>
        </w:rPr>
      </w:pPr>
    </w:p>
    <w:p w14:paraId="0396F31F" w14:textId="7F3D211B"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It is relatively uncontroversial to propose that a person should be afforded the liberty to take on more risk, or make riskier decisions, when their level of appreciation or understanding of the relevant risks is higher, and/or other protective factors are present – which would include a high level of rapport or engagement with their treating team.  Returning to Jack and Mary, applying for or making a </w:t>
      </w:r>
      <w:r w:rsidR="00363BEA">
        <w:rPr>
          <w:rFonts w:ascii="Arial" w:eastAsia="Times" w:hAnsi="Arial"/>
        </w:rPr>
        <w:t>TO</w:t>
      </w:r>
      <w:r w:rsidRPr="00370586">
        <w:rPr>
          <w:rFonts w:ascii="Arial" w:eastAsia="Times" w:hAnsi="Arial"/>
        </w:rPr>
        <w:t xml:space="preserve"> in the brief scenarios outlined arguably amounts to denying them the dignity of risk at the time when they are best positioned to take on that risk:  Jack is collaborating with his treating team; Mary is stable and has many years’ experience of her illness to draw upon.  If this is</w:t>
      </w:r>
      <w:r w:rsidR="000E659B">
        <w:rPr>
          <w:rFonts w:ascii="Arial" w:eastAsia="Times" w:hAnsi="Arial"/>
        </w:rPr>
        <w:t xml:space="preserve"> not</w:t>
      </w:r>
      <w:r w:rsidRPr="00370586">
        <w:rPr>
          <w:rFonts w:ascii="Arial" w:eastAsia="Times" w:hAnsi="Arial"/>
        </w:rPr>
        <w:t xml:space="preserve"> the time to afford dignity of risk, when is?</w:t>
      </w:r>
    </w:p>
    <w:p w14:paraId="50F996F8" w14:textId="77777777" w:rsidR="00370586" w:rsidRPr="00370586" w:rsidRDefault="00370586" w:rsidP="00370586">
      <w:pPr>
        <w:spacing w:after="120"/>
        <w:contextualSpacing/>
        <w:jc w:val="both"/>
        <w:rPr>
          <w:rFonts w:ascii="Arial" w:eastAsia="Times" w:hAnsi="Arial"/>
        </w:rPr>
      </w:pPr>
    </w:p>
    <w:p w14:paraId="12219677" w14:textId="672C00EB" w:rsidR="00370586" w:rsidRDefault="00370586" w:rsidP="00370586">
      <w:pPr>
        <w:spacing w:after="120"/>
        <w:contextualSpacing/>
        <w:jc w:val="both"/>
        <w:rPr>
          <w:rFonts w:ascii="Arial" w:eastAsia="Times" w:hAnsi="Arial"/>
        </w:rPr>
      </w:pPr>
      <w:r w:rsidRPr="00370586">
        <w:rPr>
          <w:rFonts w:ascii="Arial" w:eastAsia="Times" w:hAnsi="Arial"/>
        </w:rPr>
        <w:t xml:space="preserve">Furthermore, let’s assume that a </w:t>
      </w:r>
      <w:r w:rsidR="00363BEA">
        <w:rPr>
          <w:rFonts w:ascii="Arial" w:eastAsia="Times" w:hAnsi="Arial"/>
        </w:rPr>
        <w:t>TO</w:t>
      </w:r>
      <w:r w:rsidRPr="00370586">
        <w:rPr>
          <w:rFonts w:ascii="Arial" w:eastAsia="Times" w:hAnsi="Arial"/>
        </w:rPr>
        <w:t xml:space="preserve"> is</w:t>
      </w:r>
      <w:r w:rsidR="000E659B">
        <w:rPr>
          <w:rFonts w:ascii="Arial" w:eastAsia="Times" w:hAnsi="Arial"/>
        </w:rPr>
        <w:t xml:space="preserve"> not</w:t>
      </w:r>
      <w:r w:rsidRPr="00370586">
        <w:rPr>
          <w:rFonts w:ascii="Arial" w:eastAsia="Times" w:hAnsi="Arial"/>
        </w:rPr>
        <w:t xml:space="preserve"> made for either Jack or Mary but at some </w:t>
      </w:r>
      <w:proofErr w:type="gramStart"/>
      <w:r w:rsidRPr="00370586">
        <w:rPr>
          <w:rFonts w:ascii="Arial" w:eastAsia="Times" w:hAnsi="Arial"/>
        </w:rPr>
        <w:t>point</w:t>
      </w:r>
      <w:proofErr w:type="gramEnd"/>
      <w:r w:rsidRPr="00370586">
        <w:rPr>
          <w:rFonts w:ascii="Arial" w:eastAsia="Times" w:hAnsi="Arial"/>
        </w:rPr>
        <w:t xml:space="preserve"> in the future they begin to disengage from treatment and their mental health starts to deteriorate.  If the preventative focus of the Act is misunderstood or overlooked, and intervention is delayed until a point when Jack or Mary’s deterioration becomes a full-blown relapse or crisis, we have seemingly afforded them the greatest dignity of risk at a time when they were far less likely to have been in a position take it on – when they were becoming more isolated and/or acutely symptomatic.</w:t>
      </w:r>
      <w:r w:rsidR="0008330E">
        <w:rPr>
          <w:rFonts w:ascii="Arial" w:eastAsia="Times" w:hAnsi="Arial"/>
        </w:rPr>
        <w:t xml:space="preserve">  What emerges is an approach in practice that can be the opposite of what is logical or ideal:</w:t>
      </w:r>
    </w:p>
    <w:p w14:paraId="5481CE2D" w14:textId="77777777" w:rsidR="008E5400" w:rsidRPr="00370586" w:rsidRDefault="008E5400" w:rsidP="00370586">
      <w:pPr>
        <w:spacing w:after="120"/>
        <w:contextualSpacing/>
        <w:jc w:val="both"/>
        <w:rPr>
          <w:rFonts w:ascii="Arial" w:eastAsia="Times" w:hAnsi="Arial"/>
        </w:rPr>
      </w:pPr>
    </w:p>
    <w:p w14:paraId="3A7FFBAC" w14:textId="47A4707B" w:rsidR="008E5400" w:rsidRPr="00370586" w:rsidRDefault="00C17252" w:rsidP="00370586">
      <w:pPr>
        <w:spacing w:after="120"/>
        <w:contextualSpacing/>
        <w:jc w:val="both"/>
        <w:rPr>
          <w:rFonts w:ascii="Arial" w:eastAsia="Times" w:hAnsi="Arial"/>
        </w:rPr>
      </w:pPr>
      <w:r>
        <w:rPr>
          <w:rFonts w:ascii="Arial" w:eastAsia="Times" w:hAnsi="Arial"/>
          <w:noProof/>
        </w:rPr>
        <w:lastRenderedPageBreak/>
        <w:drawing>
          <wp:inline distT="0" distB="0" distL="0" distR="0" wp14:anchorId="18949FE5" wp14:editId="21AEBD64">
            <wp:extent cx="4572635" cy="2755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p w14:paraId="320254D4" w14:textId="77777777" w:rsidR="00370586" w:rsidRPr="00370586" w:rsidRDefault="00370586" w:rsidP="00370586">
      <w:pPr>
        <w:spacing w:after="120"/>
        <w:contextualSpacing/>
        <w:jc w:val="both"/>
        <w:rPr>
          <w:rFonts w:ascii="Arial" w:eastAsia="Times" w:hAnsi="Arial"/>
        </w:rPr>
      </w:pPr>
    </w:p>
    <w:p w14:paraId="1E7D0F13" w14:textId="6756E75C" w:rsidR="00370586" w:rsidRPr="00370586" w:rsidRDefault="00370586" w:rsidP="00370586">
      <w:pPr>
        <w:spacing w:after="120"/>
        <w:contextualSpacing/>
        <w:jc w:val="both"/>
        <w:rPr>
          <w:rFonts w:ascii="Arial" w:eastAsia="Times" w:hAnsi="Arial"/>
        </w:rPr>
      </w:pPr>
      <w:r w:rsidRPr="00370586">
        <w:rPr>
          <w:rFonts w:ascii="Arial" w:eastAsia="Times" w:hAnsi="Arial"/>
        </w:rPr>
        <w:t>One further consequence of this misinterpretation of the Act is that it is applied in such a way that it can be as if there are two different sets of criteria depending on whether they are being considered in relation to a person who is voluntary, in contrast to a person who is a compulsory patient.  Put most simply, if a person is on an Order there is a very high bar in terms of how well they must be for an Order to be revoked.  Whereas for a person who is not on an Order the bar is inverted and they must be extraordinarily unwell for an Order to be made.  But this is not supported by the provisions of the Act which sets down one set of criteria that are to be applied regardless of a person’s legal status at a given point in time.</w:t>
      </w:r>
    </w:p>
    <w:p w14:paraId="3EB81F5F" w14:textId="77777777" w:rsidR="00370586" w:rsidRPr="00370586" w:rsidRDefault="00370586" w:rsidP="00370586">
      <w:pPr>
        <w:spacing w:after="120"/>
        <w:contextualSpacing/>
        <w:jc w:val="both"/>
        <w:rPr>
          <w:rFonts w:ascii="Arial" w:eastAsia="Times" w:hAnsi="Arial"/>
        </w:rPr>
      </w:pPr>
    </w:p>
    <w:p w14:paraId="389866B0" w14:textId="77777777" w:rsidR="00370586" w:rsidRPr="00370586" w:rsidRDefault="00370586" w:rsidP="00370586">
      <w:pPr>
        <w:spacing w:after="120"/>
        <w:contextualSpacing/>
        <w:jc w:val="both"/>
        <w:rPr>
          <w:rFonts w:ascii="Arial" w:eastAsia="Times" w:hAnsi="Arial"/>
          <w:b/>
        </w:rPr>
      </w:pPr>
      <w:r w:rsidRPr="00370586">
        <w:rPr>
          <w:rFonts w:ascii="Arial" w:eastAsia="Times" w:hAnsi="Arial"/>
          <w:b/>
        </w:rPr>
        <w:t>3.1.3  Limited discourse regarding risk</w:t>
      </w:r>
    </w:p>
    <w:p w14:paraId="49A84C59" w14:textId="77777777" w:rsidR="00370586" w:rsidRPr="00370586" w:rsidRDefault="00370586" w:rsidP="00370586">
      <w:pPr>
        <w:spacing w:after="120"/>
        <w:contextualSpacing/>
        <w:jc w:val="both"/>
        <w:rPr>
          <w:rFonts w:ascii="Arial" w:eastAsia="Times" w:hAnsi="Arial"/>
        </w:rPr>
      </w:pPr>
    </w:p>
    <w:p w14:paraId="5885C713"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Reflecting on the lead up to and commencement of the Act in 2014 there was arguably a significant gap, namely a balanced and frank discussion about risk, including the prevalence of retrospective blaming.  Quite rightly there was significant emphasis on promoting the Act’s focus on less restrictive interventions, reduced use of compulsory treatment and promoting dignity of risk.  But the ability of these aims to gain traction was in hindsight always going to be limited if unaccompanied by a strategy to build genuine risk fluency, not just in mental health services but also within the broader community.  </w:t>
      </w:r>
    </w:p>
    <w:p w14:paraId="1F330E74" w14:textId="77777777" w:rsidR="00370586" w:rsidRPr="00370586" w:rsidRDefault="00370586" w:rsidP="00370586">
      <w:pPr>
        <w:spacing w:after="120"/>
        <w:contextualSpacing/>
        <w:jc w:val="both"/>
        <w:rPr>
          <w:rFonts w:ascii="Arial" w:eastAsia="Times" w:hAnsi="Arial"/>
        </w:rPr>
      </w:pPr>
    </w:p>
    <w:p w14:paraId="04BE36DC"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Given the frequency with which risk is referred to in various discussions, including Tribunal hearings, (by Tribunal members as much as anyone else) an observer could legitimately conclude the Act is almost singularly-focussed on risk, but this is not the case.  The Act uses the term risk a total of eight times – and not one of these is in relation to the potential consequences of not making a compulsory TO.  The most critical use of the term risk within the Act is to challenge all of us to be less risk averse, i.e. section 11(1)(d) which sets down the dignity of risk principle.</w:t>
      </w:r>
    </w:p>
    <w:p w14:paraId="104B4AAD" w14:textId="77777777" w:rsidR="00370586" w:rsidRPr="00370586" w:rsidRDefault="00370586" w:rsidP="00370586">
      <w:pPr>
        <w:spacing w:after="120"/>
        <w:contextualSpacing/>
        <w:jc w:val="both"/>
        <w:rPr>
          <w:rFonts w:ascii="Arial" w:eastAsia="Times" w:hAnsi="Arial"/>
        </w:rPr>
      </w:pPr>
    </w:p>
    <w:p w14:paraId="337C7D87"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The relative absence of the term risk from the provisions of the Act is in stark contrast to, for example, what were proposed amendments to the </w:t>
      </w:r>
      <w:r w:rsidRPr="00370586">
        <w:rPr>
          <w:rFonts w:ascii="Arial" w:eastAsia="Times" w:hAnsi="Arial"/>
          <w:i/>
        </w:rPr>
        <w:t>Crimes (Mental Impairment and Unfitness to be Tried) Act 1997</w:t>
      </w:r>
      <w:r w:rsidRPr="00370586">
        <w:rPr>
          <w:rFonts w:ascii="Arial" w:eastAsia="Times" w:hAnsi="Arial"/>
        </w:rPr>
        <w:t xml:space="preserve"> (CMIA) that employed the term risk a total of 32 times, and in particular the formulation ‘unacceptable risk of a person causing harm’.</w:t>
      </w:r>
      <w:r w:rsidRPr="00370586">
        <w:rPr>
          <w:rFonts w:ascii="Arial" w:eastAsia="Times" w:hAnsi="Arial"/>
          <w:vertAlign w:val="superscript"/>
        </w:rPr>
        <w:footnoteReference w:id="55"/>
      </w:r>
      <w:r w:rsidRPr="00370586">
        <w:rPr>
          <w:rFonts w:ascii="Arial" w:eastAsia="Times" w:hAnsi="Arial"/>
        </w:rPr>
        <w:t xml:space="preserve">  So, while an amended CMIA would be accurately described as establishing a legal framework very much focused on risk, the Mental Health Act is something different.  This is not to suggest the Act is blind to or requires decision makers to ignore risk.  Instead it is a reminder that we potentially employ a reductive or limited consideration of risk and in turn persist with very high levels of compulsory treatment, when risk is approached as ‘the total issue’ rather than one dimension (albeit a very important dimension) of the issues to be considered when making decisions under the Act.  In the Tribunal’s experience ‘risk’ can be cited to cut off further discussion and exploration of options, and it can appear that actions will stall until an illusory and impossible risk-free option is identified.</w:t>
      </w:r>
    </w:p>
    <w:p w14:paraId="49E8841A" w14:textId="77777777" w:rsidR="00370586" w:rsidRPr="00370586" w:rsidRDefault="00370586" w:rsidP="00370586">
      <w:pPr>
        <w:spacing w:after="120"/>
        <w:contextualSpacing/>
        <w:jc w:val="both"/>
        <w:rPr>
          <w:rFonts w:ascii="Arial" w:eastAsia="Times" w:hAnsi="Arial"/>
        </w:rPr>
      </w:pPr>
    </w:p>
    <w:p w14:paraId="7820AE09" w14:textId="013D2D87"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This risk averse approach is at least partly attributable to a general lack of risk literacy within the community.  Whether in a clinical or legal setting decisions made under the Act are complex.  </w:t>
      </w:r>
      <w:r w:rsidRPr="00370586">
        <w:rPr>
          <w:rFonts w:ascii="Arial" w:eastAsia="Times" w:hAnsi="Arial"/>
        </w:rPr>
        <w:lastRenderedPageBreak/>
        <w:t>There will be those matters where the weight of information or evidence that is available overwhelmingly points to one conclusion, but more often there are equally valid considerations that pull in opposing directions, and the final decision is something about which reasonable minds can differ.  However, scrutiny and criticism of decision making by various entities and the general community is often and unreasonably conducted through a retrospective lens</w:t>
      </w:r>
      <w:r w:rsidR="00765C5E">
        <w:rPr>
          <w:rFonts w:ascii="Arial" w:eastAsia="Times" w:hAnsi="Arial"/>
        </w:rPr>
        <w:t xml:space="preserve"> that presumes there was a definitively correct or incorrect answer in all cases</w:t>
      </w:r>
      <w:r w:rsidRPr="00370586">
        <w:rPr>
          <w:rFonts w:ascii="Arial" w:eastAsia="Times" w:hAnsi="Arial"/>
        </w:rPr>
        <w:t>.</w:t>
      </w:r>
    </w:p>
    <w:p w14:paraId="18C1923F" w14:textId="77777777" w:rsidR="00370586" w:rsidRPr="00370586" w:rsidRDefault="00370586" w:rsidP="00370586">
      <w:pPr>
        <w:spacing w:after="120"/>
        <w:contextualSpacing/>
        <w:jc w:val="both"/>
        <w:rPr>
          <w:rFonts w:ascii="Arial" w:eastAsia="Times" w:hAnsi="Arial"/>
        </w:rPr>
      </w:pPr>
    </w:p>
    <w:p w14:paraId="551441D8" w14:textId="403FFDE1" w:rsidR="00370586" w:rsidRPr="00370586" w:rsidRDefault="002878A1" w:rsidP="00370586">
      <w:pPr>
        <w:spacing w:after="120"/>
        <w:contextualSpacing/>
        <w:jc w:val="both"/>
        <w:rPr>
          <w:rFonts w:ascii="Arial" w:eastAsia="Times" w:hAnsi="Arial"/>
        </w:rPr>
      </w:pPr>
      <w:r>
        <w:rPr>
          <w:rFonts w:ascii="Arial" w:eastAsia="Times" w:hAnsi="Arial"/>
        </w:rPr>
        <w:t>No one c</w:t>
      </w:r>
      <w:r w:rsidR="00370586" w:rsidRPr="00370586">
        <w:rPr>
          <w:rFonts w:ascii="Arial" w:eastAsia="Times" w:hAnsi="Arial"/>
        </w:rPr>
        <w:t xml:space="preserve">an predict the future; and this includes the future conduct and decision making of any person who has a degree of self-agency.  Not only do individual decision makers lack this predictive ability, so too do assessment tools, which can inform and contribute to sound decision making, but of course do not tell us that A+B will result in C.  We know this, but each time we read a headline along the lines of “How could this be </w:t>
      </w:r>
      <w:r w:rsidR="00370586" w:rsidRPr="00370586">
        <w:rPr>
          <w:rFonts w:ascii="Arial" w:eastAsia="Times" w:hAnsi="Arial"/>
          <w:b/>
          <w:i/>
        </w:rPr>
        <w:t>allowed</w:t>
      </w:r>
      <w:r w:rsidR="00370586" w:rsidRPr="00370586">
        <w:rPr>
          <w:rFonts w:ascii="Arial" w:eastAsia="Times" w:hAnsi="Arial"/>
        </w:rPr>
        <w:t xml:space="preserve"> to happen?” we confront the reality that firstly, </w:t>
      </w:r>
      <w:r>
        <w:rPr>
          <w:rFonts w:ascii="Arial" w:eastAsia="Times" w:hAnsi="Arial"/>
        </w:rPr>
        <w:t>there appears to be poor community understanding of this</w:t>
      </w:r>
      <w:r w:rsidR="00370586" w:rsidRPr="00370586">
        <w:rPr>
          <w:rFonts w:ascii="Arial" w:eastAsia="Times" w:hAnsi="Arial"/>
        </w:rPr>
        <w:t>, and secondly, there is a reluctance to be transparent with the community and acknowledge that not all risk can be eradicated.</w:t>
      </w:r>
    </w:p>
    <w:p w14:paraId="052ED5D6" w14:textId="77777777" w:rsidR="00370586" w:rsidRPr="00370586" w:rsidRDefault="00370586" w:rsidP="00370586">
      <w:pPr>
        <w:spacing w:after="120"/>
        <w:contextualSpacing/>
        <w:jc w:val="both"/>
        <w:rPr>
          <w:rFonts w:ascii="Arial" w:eastAsia="Times" w:hAnsi="Arial"/>
        </w:rPr>
      </w:pPr>
    </w:p>
    <w:p w14:paraId="70CE2877" w14:textId="51D4FDE1"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Acknowledging this is not to abrogate responsibility.  All decision makers must be accountable for their decisions, but that accountability should be for the </w:t>
      </w:r>
      <w:r w:rsidR="002878A1">
        <w:rPr>
          <w:rFonts w:ascii="Arial" w:eastAsia="Times" w:hAnsi="Arial"/>
        </w:rPr>
        <w:t>rigour</w:t>
      </w:r>
      <w:r w:rsidRPr="00370586">
        <w:rPr>
          <w:rFonts w:ascii="Arial" w:eastAsia="Times" w:hAnsi="Arial"/>
        </w:rPr>
        <w:t xml:space="preserve"> of their decision-making processes, and not for autonomous decisions and actions of individuals that occur after a decision has been made in accordance with</w:t>
      </w:r>
      <w:r w:rsidR="002878A1">
        <w:rPr>
          <w:rFonts w:ascii="Arial" w:eastAsia="Times" w:hAnsi="Arial"/>
        </w:rPr>
        <w:t xml:space="preserve"> sound and comprehensive</w:t>
      </w:r>
      <w:r w:rsidRPr="00370586">
        <w:rPr>
          <w:rFonts w:ascii="Arial" w:eastAsia="Times" w:hAnsi="Arial"/>
        </w:rPr>
        <w:t xml:space="preserve"> process</w:t>
      </w:r>
      <w:r w:rsidR="002878A1">
        <w:rPr>
          <w:rFonts w:ascii="Arial" w:eastAsia="Times" w:hAnsi="Arial"/>
        </w:rPr>
        <w:t>es</w:t>
      </w:r>
      <w:r w:rsidRPr="00370586">
        <w:rPr>
          <w:rFonts w:ascii="Arial" w:eastAsia="Times" w:hAnsi="Arial"/>
        </w:rPr>
        <w:t>.  The case of Helen is a</w:t>
      </w:r>
      <w:r w:rsidR="002878A1">
        <w:rPr>
          <w:rFonts w:ascii="Arial" w:eastAsia="Times" w:hAnsi="Arial"/>
        </w:rPr>
        <w:t>n</w:t>
      </w:r>
      <w:r w:rsidRPr="00370586">
        <w:rPr>
          <w:rFonts w:ascii="Arial" w:eastAsia="Times" w:hAnsi="Arial"/>
        </w:rPr>
        <w:t xml:space="preserve"> example.</w:t>
      </w:r>
    </w:p>
    <w:p w14:paraId="2FF34023" w14:textId="16D155EC" w:rsidR="00370586" w:rsidRDefault="00370586" w:rsidP="00370586">
      <w:pPr>
        <w:spacing w:after="120"/>
        <w:contextualSpacing/>
        <w:jc w:val="both"/>
        <w:rPr>
          <w:rFonts w:ascii="Arial" w:eastAsia="Times"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406AB1" w:rsidRPr="00406AB1" w14:paraId="09F24E40" w14:textId="77777777" w:rsidTr="007E7BF5">
        <w:tc>
          <w:tcPr>
            <w:tcW w:w="8522" w:type="dxa"/>
            <w:shd w:val="clear" w:color="auto" w:fill="EAF1DD" w:themeFill="accent3" w:themeFillTint="33"/>
          </w:tcPr>
          <w:p w14:paraId="752D3D11" w14:textId="62E5E44A" w:rsidR="00406AB1" w:rsidRPr="00406AB1" w:rsidRDefault="00406AB1" w:rsidP="00406AB1">
            <w:pPr>
              <w:keepNext/>
              <w:keepLines/>
              <w:spacing w:before="40"/>
              <w:jc w:val="center"/>
              <w:outlineLvl w:val="1"/>
              <w:rPr>
                <w:rFonts w:ascii="Arial" w:eastAsia="Calibri" w:hAnsi="Arial" w:cs="Arial"/>
                <w:b/>
                <w:color w:val="365F91" w:themeColor="accent1" w:themeShade="BF"/>
              </w:rPr>
            </w:pPr>
            <w:bookmarkStart w:id="19" w:name="_Hlk12352727"/>
            <w:r w:rsidRPr="00406AB1">
              <w:rPr>
                <w:rFonts w:ascii="Arial" w:eastAsia="Calibri" w:hAnsi="Arial" w:cs="Arial"/>
                <w:b/>
                <w:color w:val="365F91" w:themeColor="accent1" w:themeShade="BF"/>
              </w:rPr>
              <w:t>‘</w:t>
            </w:r>
            <w:r>
              <w:rPr>
                <w:rFonts w:ascii="Arial" w:eastAsia="Calibri" w:hAnsi="Arial" w:cs="Arial"/>
                <w:b/>
                <w:color w:val="365F91" w:themeColor="accent1" w:themeShade="BF"/>
              </w:rPr>
              <w:t>Helen</w:t>
            </w:r>
            <w:r w:rsidRPr="00406AB1">
              <w:rPr>
                <w:rFonts w:ascii="Arial" w:eastAsia="Calibri" w:hAnsi="Arial" w:cs="Arial"/>
                <w:b/>
                <w:color w:val="365F91" w:themeColor="accent1" w:themeShade="BF"/>
              </w:rPr>
              <w:t>’</w:t>
            </w:r>
          </w:p>
          <w:p w14:paraId="0BCB4655" w14:textId="3CE9F500" w:rsidR="00406AB1" w:rsidRPr="00406AB1" w:rsidRDefault="00406AB1" w:rsidP="00406AB1">
            <w:pPr>
              <w:numPr>
                <w:ilvl w:val="6"/>
                <w:numId w:val="2"/>
              </w:numPr>
              <w:spacing w:before="80" w:after="120"/>
              <w:jc w:val="both"/>
              <w:rPr>
                <w:rFonts w:ascii="Arial" w:hAnsi="Arial" w:cs="Arial"/>
                <w:bCs/>
              </w:rPr>
            </w:pPr>
            <w:r w:rsidRPr="00406AB1">
              <w:rPr>
                <w:rFonts w:ascii="Arial" w:hAnsi="Arial" w:cs="Arial"/>
                <w:bCs/>
              </w:rPr>
              <w:t>Helen was in her late 20’s and an inpatient in a secure setting, she had an extensive drug taking history dating back to her early teens, a long-standing diagnosis of a mental illness, and her most recent admission was triggered by increased drug use.  At the time of her hearing Helen’s acute symptoms had resolved, she was adhering to treatment, she was also six months pregnant.  Helen’s treating team were seeking an ITO.  This was an entirely reasonable proposal given the level of chaos and deprivation that had characterised Helen’s living conditions prior to her admission.</w:t>
            </w:r>
          </w:p>
          <w:p w14:paraId="4AE98797" w14:textId="578824C5" w:rsidR="00406AB1" w:rsidRPr="00406AB1" w:rsidRDefault="00406AB1" w:rsidP="00406AB1">
            <w:pPr>
              <w:numPr>
                <w:ilvl w:val="6"/>
                <w:numId w:val="2"/>
              </w:numPr>
              <w:spacing w:before="80" w:after="120"/>
              <w:jc w:val="both"/>
              <w:rPr>
                <w:rFonts w:ascii="Arial" w:hAnsi="Arial" w:cs="Arial"/>
                <w:bCs/>
              </w:rPr>
            </w:pPr>
            <w:r w:rsidRPr="00406AB1">
              <w:rPr>
                <w:rFonts w:ascii="Arial" w:hAnsi="Arial" w:cs="Arial"/>
                <w:bCs/>
              </w:rPr>
              <w:t>Helen’s legal representative and community advocate were both arguing for a CTO, and in support of this had developed a comprehensive support plan for Helen.  Various family members were moving to Melbourne to live with Helen, enforce a zero-tolerance policy regarding drugs and support her adherence to a CTO.  Helen’s background included extreme trauma, and it was explained that ongoing inpatient treatment could be particularly damaging for her.</w:t>
            </w:r>
          </w:p>
          <w:p w14:paraId="0FD8C460" w14:textId="5CAE6778" w:rsidR="00406AB1" w:rsidRPr="00406AB1" w:rsidRDefault="00406AB1" w:rsidP="00406AB1">
            <w:pPr>
              <w:numPr>
                <w:ilvl w:val="6"/>
                <w:numId w:val="2"/>
              </w:numPr>
              <w:spacing w:before="80" w:after="120"/>
              <w:jc w:val="both"/>
              <w:rPr>
                <w:rFonts w:ascii="Arial" w:hAnsi="Arial"/>
                <w:bCs/>
                <w:sz w:val="24"/>
                <w:szCs w:val="24"/>
              </w:rPr>
            </w:pPr>
            <w:r w:rsidRPr="00406AB1">
              <w:rPr>
                <w:rFonts w:ascii="Arial" w:hAnsi="Arial" w:cs="Arial"/>
                <w:bCs/>
              </w:rPr>
              <w:t>The Tribunal made a CTO.  Some months down the track in a subsequent hearing for Helen, the Tribunal found out what had happened after it made the CTO.  Helen did resume her drug use prior to having her baby, and the baby had been immediately taken into protective care.  What is to be taken from this – was the decision to make a CTO wrong?</w:t>
            </w:r>
          </w:p>
        </w:tc>
      </w:tr>
      <w:bookmarkEnd w:id="19"/>
    </w:tbl>
    <w:p w14:paraId="187ADBB2" w14:textId="77777777" w:rsidR="00370586" w:rsidRPr="00370586" w:rsidRDefault="00370586" w:rsidP="00370586">
      <w:pPr>
        <w:spacing w:after="120"/>
        <w:contextualSpacing/>
        <w:jc w:val="both"/>
        <w:rPr>
          <w:rFonts w:ascii="Arial" w:eastAsia="Times" w:hAnsi="Arial"/>
        </w:rPr>
      </w:pPr>
    </w:p>
    <w:p w14:paraId="3C4AFB94" w14:textId="3378C52A" w:rsidR="00370586" w:rsidRPr="00370586" w:rsidRDefault="00370586" w:rsidP="00370586">
      <w:pPr>
        <w:spacing w:after="120"/>
        <w:contextualSpacing/>
        <w:jc w:val="both"/>
        <w:rPr>
          <w:rFonts w:ascii="Arial" w:eastAsia="Times" w:hAnsi="Arial"/>
        </w:rPr>
      </w:pPr>
      <w:r w:rsidRPr="00370586">
        <w:rPr>
          <w:rFonts w:ascii="Arial" w:eastAsia="Times" w:hAnsi="Arial"/>
        </w:rPr>
        <w:t>The fact Helen’s community support plan failed is not the test or standard by which the quality of this decision should be assessed.  Not only would that approach require predictive powers, it also makes the erroneous assumption that the continued detention of Helen would not have a potential downside that was equally undesirable and serious.  All options in mental health, even those that might appear ‘safe’ or risk-averse, on closer examination do in fact carry risks.  So how should a decision be assessed?  What are the questions that should be asked in a retrospective assessment of decision-making, and especially in any assessment of whether risk was properly considered?  Dr Sally Wilkins proposes the following list:</w:t>
      </w:r>
      <w:r w:rsidRPr="00370586">
        <w:rPr>
          <w:rFonts w:ascii="Arial" w:eastAsia="Times" w:hAnsi="Arial"/>
          <w:vertAlign w:val="superscript"/>
        </w:rPr>
        <w:footnoteReference w:id="56"/>
      </w:r>
    </w:p>
    <w:p w14:paraId="23A23449" w14:textId="77777777" w:rsidR="00370586" w:rsidRPr="00370586" w:rsidRDefault="00370586" w:rsidP="00370586">
      <w:pPr>
        <w:spacing w:after="120"/>
        <w:contextualSpacing/>
        <w:jc w:val="both"/>
        <w:rPr>
          <w:rFonts w:ascii="Arial" w:eastAsia="Times" w:hAnsi="Arial"/>
        </w:rPr>
      </w:pPr>
    </w:p>
    <w:p w14:paraId="20BC8DFE" w14:textId="77777777" w:rsidR="00370586" w:rsidRPr="00370586" w:rsidRDefault="00370586" w:rsidP="00370586">
      <w:pPr>
        <w:numPr>
          <w:ilvl w:val="0"/>
          <w:numId w:val="36"/>
        </w:numPr>
        <w:spacing w:after="120"/>
        <w:contextualSpacing/>
        <w:jc w:val="both"/>
        <w:rPr>
          <w:rFonts w:ascii="Arial" w:eastAsia="Times" w:hAnsi="Arial"/>
        </w:rPr>
      </w:pPr>
      <w:r w:rsidRPr="00370586">
        <w:rPr>
          <w:rFonts w:ascii="Arial" w:eastAsia="Times" w:hAnsi="Arial"/>
        </w:rPr>
        <w:t>Did the decision maker turn their mind to the issue of risk, including the likelihood and consequences of different outcomes?</w:t>
      </w:r>
    </w:p>
    <w:p w14:paraId="7CA008F6" w14:textId="77777777" w:rsidR="00370586" w:rsidRPr="00370586" w:rsidRDefault="00370586" w:rsidP="00370586">
      <w:pPr>
        <w:numPr>
          <w:ilvl w:val="0"/>
          <w:numId w:val="36"/>
        </w:numPr>
        <w:spacing w:after="120"/>
        <w:contextualSpacing/>
        <w:jc w:val="both"/>
        <w:rPr>
          <w:rFonts w:ascii="Arial" w:eastAsia="Times" w:hAnsi="Arial"/>
        </w:rPr>
      </w:pPr>
      <w:r w:rsidRPr="00370586">
        <w:rPr>
          <w:rFonts w:ascii="Arial" w:eastAsia="Times" w:hAnsi="Arial"/>
        </w:rPr>
        <w:t>Was all the available information sought out?</w:t>
      </w:r>
    </w:p>
    <w:p w14:paraId="2284AE58" w14:textId="77777777" w:rsidR="00370586" w:rsidRPr="00370586" w:rsidRDefault="00370586" w:rsidP="00370586">
      <w:pPr>
        <w:numPr>
          <w:ilvl w:val="0"/>
          <w:numId w:val="36"/>
        </w:numPr>
        <w:spacing w:after="120"/>
        <w:contextualSpacing/>
        <w:jc w:val="both"/>
        <w:rPr>
          <w:rFonts w:ascii="Arial" w:eastAsia="Times" w:hAnsi="Arial"/>
        </w:rPr>
      </w:pPr>
      <w:r w:rsidRPr="00370586">
        <w:rPr>
          <w:rFonts w:ascii="Arial" w:eastAsia="Times" w:hAnsi="Arial"/>
        </w:rPr>
        <w:t>Was the perspective or view of those with relevant expertise (including direct knowledge of the individual situation) sought out?</w:t>
      </w:r>
    </w:p>
    <w:p w14:paraId="57212BE0" w14:textId="77777777" w:rsidR="00370586" w:rsidRPr="00370586" w:rsidRDefault="00370586" w:rsidP="00370586">
      <w:pPr>
        <w:numPr>
          <w:ilvl w:val="0"/>
          <w:numId w:val="36"/>
        </w:numPr>
        <w:spacing w:after="120"/>
        <w:contextualSpacing/>
        <w:jc w:val="both"/>
        <w:rPr>
          <w:rFonts w:ascii="Arial" w:eastAsia="Times" w:hAnsi="Arial"/>
        </w:rPr>
      </w:pPr>
      <w:r w:rsidRPr="00370586">
        <w:rPr>
          <w:rFonts w:ascii="Arial" w:eastAsia="Times" w:hAnsi="Arial"/>
        </w:rPr>
        <w:t>Were the pros and cons of alternate decisions identified and considered, including how they intersected with the individual’s preferences, values and long-term goals?</w:t>
      </w:r>
    </w:p>
    <w:p w14:paraId="2E9D1C46" w14:textId="77777777" w:rsidR="00370586" w:rsidRPr="00370586" w:rsidRDefault="00370586" w:rsidP="00370586">
      <w:pPr>
        <w:numPr>
          <w:ilvl w:val="0"/>
          <w:numId w:val="36"/>
        </w:numPr>
        <w:spacing w:after="120"/>
        <w:contextualSpacing/>
        <w:jc w:val="both"/>
        <w:rPr>
          <w:rFonts w:ascii="Arial" w:eastAsia="Times" w:hAnsi="Arial"/>
        </w:rPr>
      </w:pPr>
      <w:r w:rsidRPr="00370586">
        <w:rPr>
          <w:rFonts w:ascii="Arial" w:eastAsia="Times" w:hAnsi="Arial"/>
        </w:rPr>
        <w:lastRenderedPageBreak/>
        <w:t>Was the law applied correctly?</w:t>
      </w:r>
    </w:p>
    <w:p w14:paraId="5C52727C" w14:textId="77777777" w:rsidR="00370586" w:rsidRPr="00370586" w:rsidRDefault="00370586" w:rsidP="00370586">
      <w:pPr>
        <w:spacing w:after="120"/>
        <w:contextualSpacing/>
        <w:jc w:val="both"/>
        <w:rPr>
          <w:rFonts w:ascii="Arial" w:eastAsia="Times" w:hAnsi="Arial"/>
        </w:rPr>
      </w:pPr>
    </w:p>
    <w:p w14:paraId="61FEDCB5"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Using a comprehensive and nuanced list such as this to reflect upon and assess previous decisions is robust and rigorous.  It can also add to future quality improvement as questions of this type, should they be answered in the negative, inherently identify a step or practice that can be integrated or approached better in future decision making.  Importantly, such an analysis adds far more to learning and improvement than does an assessment rooted in a culture of blame (“something bad happened following your decision – it follows it’s your fault”).  Something that is vital if we are going to adhere to the Act’s implicit and explicit challenge to be less risk averse.</w:t>
      </w:r>
    </w:p>
    <w:p w14:paraId="0965E78B" w14:textId="77777777" w:rsidR="00370586" w:rsidRPr="00370586" w:rsidRDefault="00370586" w:rsidP="00370586">
      <w:pPr>
        <w:spacing w:after="120"/>
        <w:contextualSpacing/>
        <w:jc w:val="both"/>
        <w:rPr>
          <w:rFonts w:ascii="Arial" w:eastAsia="Times" w:hAnsi="Arial"/>
        </w:rPr>
      </w:pPr>
    </w:p>
    <w:p w14:paraId="25708688"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These issues are complex but a lesson from the first five years of operation of the Act is that a broader community discussion about mental health and risk is needed if we are to successfully design, implement and then maintain a mental health service system that responds better to the needs of consumers, and is less reliant on compulsory treatment.</w:t>
      </w:r>
    </w:p>
    <w:p w14:paraId="55BDD902" w14:textId="77777777" w:rsidR="00AE30CB" w:rsidRDefault="00AE30CB" w:rsidP="00370586">
      <w:pPr>
        <w:spacing w:after="120"/>
        <w:contextualSpacing/>
        <w:jc w:val="both"/>
        <w:rPr>
          <w:rFonts w:ascii="Arial" w:eastAsia="Times" w:hAnsi="Arial"/>
        </w:rPr>
      </w:pPr>
      <w:bookmarkStart w:id="20" w:name="_Hlk12789624"/>
    </w:p>
    <w:bookmarkEnd w:id="20"/>
    <w:p w14:paraId="5A1FB113" w14:textId="77777777" w:rsidR="00765C5E" w:rsidRPr="00370586" w:rsidRDefault="00765C5E" w:rsidP="00370586">
      <w:pPr>
        <w:spacing w:after="120"/>
        <w:contextualSpacing/>
        <w:jc w:val="both"/>
        <w:rPr>
          <w:rFonts w:ascii="Arial" w:eastAsia="Times" w:hAnsi="Arial"/>
        </w:rPr>
      </w:pPr>
    </w:p>
    <w:p w14:paraId="5E83A34D" w14:textId="77777777" w:rsidR="00370586" w:rsidRPr="00370586" w:rsidRDefault="00370586" w:rsidP="00370586">
      <w:pPr>
        <w:keepNext/>
        <w:keepLines/>
        <w:spacing w:before="240" w:after="90"/>
        <w:contextualSpacing/>
        <w:jc w:val="both"/>
        <w:outlineLvl w:val="1"/>
        <w:rPr>
          <w:rFonts w:ascii="Arial" w:hAnsi="Arial"/>
          <w:b/>
          <w:sz w:val="28"/>
          <w:szCs w:val="28"/>
        </w:rPr>
      </w:pPr>
      <w:r w:rsidRPr="00370586">
        <w:rPr>
          <w:rFonts w:ascii="Arial" w:hAnsi="Arial"/>
          <w:b/>
          <w:sz w:val="28"/>
          <w:szCs w:val="28"/>
        </w:rPr>
        <w:t>4.  What can be done now to prepare for changes to Victoria’s mental health systems and support improvements to last (question 10)?</w:t>
      </w:r>
    </w:p>
    <w:p w14:paraId="7B1CB123" w14:textId="77777777" w:rsidR="00370586" w:rsidRPr="00370586" w:rsidRDefault="00370586" w:rsidP="00370586">
      <w:pPr>
        <w:spacing w:after="120"/>
        <w:jc w:val="both"/>
        <w:rPr>
          <w:rFonts w:ascii="Arial" w:eastAsia="Times" w:hAnsi="Arial"/>
        </w:rPr>
      </w:pPr>
    </w:p>
    <w:p w14:paraId="16C488B3" w14:textId="77777777" w:rsidR="00370586" w:rsidRPr="00053B9F" w:rsidRDefault="00370586" w:rsidP="00370586">
      <w:pPr>
        <w:spacing w:after="120"/>
        <w:contextualSpacing/>
        <w:jc w:val="both"/>
        <w:rPr>
          <w:rFonts w:ascii="Arial" w:eastAsia="Times" w:hAnsi="Arial"/>
          <w:b/>
          <w:sz w:val="24"/>
          <w:szCs w:val="24"/>
        </w:rPr>
      </w:pPr>
      <w:r w:rsidRPr="00053B9F">
        <w:rPr>
          <w:rFonts w:ascii="Arial" w:eastAsia="Times" w:hAnsi="Arial"/>
          <w:b/>
          <w:sz w:val="24"/>
          <w:szCs w:val="24"/>
        </w:rPr>
        <w:t>4.1  Developing a consistent and robust culture of service delivery</w:t>
      </w:r>
    </w:p>
    <w:p w14:paraId="0CBCED9B" w14:textId="77777777" w:rsidR="00370586" w:rsidRPr="00370586" w:rsidRDefault="00370586" w:rsidP="00370586">
      <w:pPr>
        <w:spacing w:after="120"/>
        <w:contextualSpacing/>
        <w:jc w:val="both"/>
        <w:rPr>
          <w:rFonts w:ascii="Arial" w:eastAsia="Times" w:hAnsi="Arial"/>
        </w:rPr>
      </w:pPr>
    </w:p>
    <w:p w14:paraId="46F41E16" w14:textId="0B086D42" w:rsidR="00370586" w:rsidRPr="00B97DAE" w:rsidRDefault="00CB70F8" w:rsidP="00370586">
      <w:pPr>
        <w:spacing w:after="120"/>
        <w:contextualSpacing/>
        <w:jc w:val="both"/>
        <w:rPr>
          <w:rFonts w:ascii="Arial" w:eastAsia="Times" w:hAnsi="Arial"/>
        </w:rPr>
      </w:pPr>
      <w:r w:rsidRPr="00B97DAE">
        <w:rPr>
          <w:rFonts w:ascii="Arial" w:eastAsia="Times" w:hAnsi="Arial"/>
        </w:rPr>
        <w:t>T</w:t>
      </w:r>
      <w:r w:rsidR="00D5184F" w:rsidRPr="00B97DAE">
        <w:rPr>
          <w:rFonts w:ascii="Arial" w:eastAsia="Times" w:hAnsi="Arial"/>
        </w:rPr>
        <w:t xml:space="preserve">o be </w:t>
      </w:r>
      <w:r w:rsidR="00370586" w:rsidRPr="00B97DAE">
        <w:rPr>
          <w:rFonts w:ascii="Arial" w:eastAsia="Times" w:hAnsi="Arial"/>
        </w:rPr>
        <w:t xml:space="preserve">sustainable and capable of continued evolution </w:t>
      </w:r>
      <w:r w:rsidRPr="00B97DAE">
        <w:rPr>
          <w:rFonts w:ascii="Arial" w:eastAsia="Times" w:hAnsi="Arial"/>
        </w:rPr>
        <w:t>in</w:t>
      </w:r>
      <w:r w:rsidR="00370586" w:rsidRPr="00B97DAE">
        <w:rPr>
          <w:rFonts w:ascii="Arial" w:eastAsia="Times" w:hAnsi="Arial"/>
        </w:rPr>
        <w:t xml:space="preserve"> respon</w:t>
      </w:r>
      <w:r w:rsidRPr="00B97DAE">
        <w:rPr>
          <w:rFonts w:ascii="Arial" w:eastAsia="Times" w:hAnsi="Arial"/>
        </w:rPr>
        <w:t>se</w:t>
      </w:r>
      <w:r w:rsidR="00370586" w:rsidRPr="00B97DAE">
        <w:rPr>
          <w:rFonts w:ascii="Arial" w:eastAsia="Times" w:hAnsi="Arial"/>
        </w:rPr>
        <w:t xml:space="preserve"> to the changing needs and expectations of consumers and carers, </w:t>
      </w:r>
      <w:r w:rsidR="00D5184F" w:rsidRPr="00B97DAE">
        <w:rPr>
          <w:rFonts w:ascii="Arial" w:eastAsia="Times" w:hAnsi="Arial"/>
        </w:rPr>
        <w:t>the future mental health system</w:t>
      </w:r>
      <w:r w:rsidR="00370586" w:rsidRPr="00B97DAE">
        <w:rPr>
          <w:rFonts w:ascii="Arial" w:eastAsia="Times" w:hAnsi="Arial"/>
        </w:rPr>
        <w:t xml:space="preserve"> must be underpinned by a culture of patient focussed, empathic service delivery that is consistent across its constituent parts, robust and proactively monitored.  That culture can be articulated now, and steps taken to embed it so that there is a platform for the service system that emerges from the recommendations of this Royal Commission.</w:t>
      </w:r>
    </w:p>
    <w:p w14:paraId="1E331679" w14:textId="77777777" w:rsidR="00370586" w:rsidRPr="00B97DAE" w:rsidRDefault="00370586" w:rsidP="00370586">
      <w:pPr>
        <w:spacing w:after="120"/>
        <w:contextualSpacing/>
        <w:jc w:val="both"/>
        <w:rPr>
          <w:rFonts w:ascii="Arial" w:eastAsia="Times" w:hAnsi="Arial"/>
        </w:rPr>
      </w:pPr>
    </w:p>
    <w:p w14:paraId="5F4E5B8D" w14:textId="67B3830E" w:rsidR="00370586" w:rsidRPr="00370586" w:rsidRDefault="00370586" w:rsidP="00370586">
      <w:pPr>
        <w:spacing w:after="120"/>
        <w:contextualSpacing/>
        <w:jc w:val="both"/>
        <w:rPr>
          <w:rFonts w:ascii="Arial" w:eastAsia="Times" w:hAnsi="Arial"/>
        </w:rPr>
      </w:pPr>
      <w:r w:rsidRPr="00B97DAE">
        <w:rPr>
          <w:rFonts w:ascii="Arial" w:eastAsia="Times" w:hAnsi="Arial"/>
        </w:rPr>
        <w:t xml:space="preserve">Limited capacity and the gap between supply and demand lies at the heart of many of the problems of the current system.  </w:t>
      </w:r>
      <w:r w:rsidR="001E5FA4" w:rsidRPr="00B97DAE">
        <w:rPr>
          <w:rFonts w:ascii="Arial" w:eastAsia="Times" w:hAnsi="Arial"/>
        </w:rPr>
        <w:t xml:space="preserve">But from the Tribunal’s perspective a further contributor is  what is arguably a less obvious consequence of years of under-resourcing, and that is an erosion of culture.  This is evidenced by many of the significant issues that are the focus of this submission.  For instance, the lack of collaboration between separate parts of the current system referred to </w:t>
      </w:r>
      <w:r w:rsidR="00112010">
        <w:rPr>
          <w:rFonts w:ascii="Arial" w:eastAsia="Times" w:hAnsi="Arial"/>
        </w:rPr>
        <w:t>at 1.1.2.</w:t>
      </w:r>
      <w:r w:rsidR="001E5FA4" w:rsidRPr="00B97DAE">
        <w:rPr>
          <w:rFonts w:ascii="Arial" w:eastAsia="Times" w:hAnsi="Arial"/>
        </w:rPr>
        <w:t xml:space="preserve">  The Tribunal recognises that when resourcing is inadequate cross-service collaboration may be difficult and slow, but abandoning efforts to collaborate points to a more fundamental and profound deficit.  </w:t>
      </w:r>
      <w:r w:rsidR="00D5184F" w:rsidRPr="00B97DAE">
        <w:rPr>
          <w:rFonts w:ascii="Arial" w:eastAsia="Times" w:hAnsi="Arial"/>
        </w:rPr>
        <w:t>T</w:t>
      </w:r>
      <w:r w:rsidRPr="00B97DAE">
        <w:rPr>
          <w:rFonts w:ascii="Arial" w:eastAsia="Times" w:hAnsi="Arial"/>
        </w:rPr>
        <w:t xml:space="preserve">he Tribunal observes </w:t>
      </w:r>
      <w:r w:rsidR="00D5184F" w:rsidRPr="00B97DAE">
        <w:rPr>
          <w:rFonts w:ascii="Arial" w:eastAsia="Times" w:hAnsi="Arial"/>
        </w:rPr>
        <w:t>additional</w:t>
      </w:r>
      <w:r w:rsidRPr="00B97DAE">
        <w:rPr>
          <w:rFonts w:ascii="Arial" w:eastAsia="Times" w:hAnsi="Arial"/>
        </w:rPr>
        <w:t xml:space="preserve"> symptoms of this erosion</w:t>
      </w:r>
      <w:r w:rsidR="00D5184F" w:rsidRPr="00B97DAE">
        <w:rPr>
          <w:rFonts w:ascii="Arial" w:eastAsia="Times" w:hAnsi="Arial"/>
        </w:rPr>
        <w:t>,</w:t>
      </w:r>
      <w:r w:rsidRPr="00B97DAE">
        <w:rPr>
          <w:rFonts w:ascii="Arial" w:eastAsia="Times" w:hAnsi="Arial"/>
        </w:rPr>
        <w:t xml:space="preserve"> which is occurring not through deliberate intention, but because of services being constantly stretched.</w:t>
      </w:r>
      <w:r w:rsidRPr="00370586">
        <w:rPr>
          <w:rFonts w:ascii="Arial" w:eastAsia="Times" w:hAnsi="Arial"/>
        </w:rPr>
        <w:t xml:space="preserve">  </w:t>
      </w:r>
    </w:p>
    <w:p w14:paraId="5C1B20FD" w14:textId="77777777" w:rsidR="00370586" w:rsidRPr="00370586" w:rsidRDefault="00370586" w:rsidP="00370586">
      <w:pPr>
        <w:spacing w:after="120"/>
        <w:contextualSpacing/>
        <w:jc w:val="both"/>
        <w:rPr>
          <w:rFonts w:ascii="Arial" w:eastAsia="Times" w:hAnsi="Arial"/>
        </w:rPr>
      </w:pPr>
    </w:p>
    <w:p w14:paraId="17CD71EA" w14:textId="77777777" w:rsidR="00370586" w:rsidRPr="00370586" w:rsidRDefault="00370586" w:rsidP="00370586">
      <w:pPr>
        <w:spacing w:after="120"/>
        <w:contextualSpacing/>
        <w:jc w:val="both"/>
        <w:rPr>
          <w:rFonts w:ascii="Arial" w:eastAsia="Times" w:hAnsi="Arial"/>
          <w:b/>
        </w:rPr>
      </w:pPr>
      <w:r w:rsidRPr="00370586">
        <w:rPr>
          <w:rFonts w:ascii="Arial" w:eastAsia="Times" w:hAnsi="Arial"/>
          <w:b/>
        </w:rPr>
        <w:t>4.1.1  Different rates of patient and carer attendance at Mental Health Tribunal hearings</w:t>
      </w:r>
    </w:p>
    <w:p w14:paraId="3F97D5FB" w14:textId="77777777" w:rsidR="00370586" w:rsidRPr="00370586" w:rsidRDefault="00370586" w:rsidP="00370586">
      <w:pPr>
        <w:spacing w:after="120"/>
        <w:contextualSpacing/>
        <w:jc w:val="both"/>
        <w:rPr>
          <w:rFonts w:ascii="Arial" w:eastAsia="Times" w:hAnsi="Arial"/>
        </w:rPr>
      </w:pPr>
    </w:p>
    <w:p w14:paraId="3EF8CBF6"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The Tribunal is obliged to notify patients and carers of upcoming hearings.  Recently the Tribunal has implemented a range of initiatives to encourage higher rates of attendance including simplified written notices of hearing; designing a more user-friendly and accessible website; implementing periodic surveys to explore how consumers and carers experience hearings; and examining strategies to find out why people choose to not attend.  Increasing attendance levels remains a constant priority of the Tribunal.</w:t>
      </w:r>
    </w:p>
    <w:p w14:paraId="69B564AC" w14:textId="77777777" w:rsidR="00370586" w:rsidRPr="00370586" w:rsidRDefault="00370586" w:rsidP="00370586">
      <w:pPr>
        <w:spacing w:after="120"/>
        <w:contextualSpacing/>
        <w:jc w:val="both"/>
        <w:rPr>
          <w:rFonts w:ascii="Arial" w:eastAsia="Times" w:hAnsi="Arial"/>
        </w:rPr>
      </w:pPr>
    </w:p>
    <w:p w14:paraId="6EE3FF2F" w14:textId="0A0D56D9" w:rsidR="00370586" w:rsidRPr="00370586" w:rsidRDefault="00370586" w:rsidP="00370586">
      <w:pPr>
        <w:spacing w:after="120"/>
        <w:contextualSpacing/>
        <w:jc w:val="both"/>
        <w:rPr>
          <w:rFonts w:ascii="Arial" w:eastAsia="Times" w:hAnsi="Arial"/>
        </w:rPr>
      </w:pPr>
      <w:r w:rsidRPr="00370586">
        <w:rPr>
          <w:rFonts w:ascii="Arial" w:eastAsia="Times" w:hAnsi="Arial"/>
        </w:rPr>
        <w:t>Services also play a key role in facilitating patient and carer attendance.  This role can be very practical (e.g. assisting a community patient to attend the clinic for their hearing) but it is also about actively encouraging attendance by helping people prepare, reassuring them about what will happen, and encouraging them to attend and have their say.  As explained earlier (see</w:t>
      </w:r>
      <w:r w:rsidR="00112010">
        <w:rPr>
          <w:rFonts w:ascii="Arial" w:eastAsia="Times" w:hAnsi="Arial"/>
        </w:rPr>
        <w:t xml:space="preserve"> 2.1</w:t>
      </w:r>
      <w:r w:rsidRPr="00370586">
        <w:rPr>
          <w:rFonts w:ascii="Arial" w:eastAsia="Times" w:hAnsi="Arial"/>
        </w:rPr>
        <w:t>), services play an essential role in relation to carer attendance at hearings given the Tribunal relies upon the contact details of carers recorded by services to forward hearing notices.</w:t>
      </w:r>
    </w:p>
    <w:p w14:paraId="3BC1B313" w14:textId="77777777" w:rsidR="00370586" w:rsidRPr="00370586" w:rsidRDefault="00370586" w:rsidP="00370586">
      <w:pPr>
        <w:spacing w:after="120"/>
        <w:contextualSpacing/>
        <w:jc w:val="both"/>
        <w:rPr>
          <w:rFonts w:ascii="Arial" w:eastAsia="Times" w:hAnsi="Arial"/>
        </w:rPr>
      </w:pPr>
    </w:p>
    <w:p w14:paraId="2E7B277B" w14:textId="3CC96E37" w:rsidR="00AC4F3F" w:rsidRPr="00B97DAE" w:rsidRDefault="00370586" w:rsidP="00370586">
      <w:pPr>
        <w:spacing w:after="120"/>
        <w:contextualSpacing/>
        <w:jc w:val="both"/>
        <w:rPr>
          <w:rFonts w:ascii="Arial" w:eastAsia="Times" w:hAnsi="Arial"/>
        </w:rPr>
      </w:pPr>
      <w:r w:rsidRPr="00B97DAE">
        <w:rPr>
          <w:rFonts w:ascii="Arial" w:eastAsia="Times" w:hAnsi="Arial"/>
        </w:rPr>
        <w:t>Across the 57 services where the Tribunal conducts hearing</w:t>
      </w:r>
      <w:r w:rsidR="00112010">
        <w:rPr>
          <w:rFonts w:ascii="Arial" w:eastAsia="Times" w:hAnsi="Arial"/>
        </w:rPr>
        <w:t>s</w:t>
      </w:r>
      <w:r w:rsidRPr="00B97DAE">
        <w:rPr>
          <w:rFonts w:ascii="Arial" w:eastAsia="Times" w:hAnsi="Arial"/>
        </w:rPr>
        <w:t xml:space="preserve"> there is enormous variation in the rates of attendance</w:t>
      </w:r>
      <w:r w:rsidR="00363BEA" w:rsidRPr="00B97DAE">
        <w:rPr>
          <w:rFonts w:ascii="Arial" w:eastAsia="Times" w:hAnsi="Arial"/>
        </w:rPr>
        <w:t>.</w:t>
      </w:r>
    </w:p>
    <w:p w14:paraId="19523F67" w14:textId="77777777" w:rsidR="00AC4F3F" w:rsidRPr="00B97DAE" w:rsidRDefault="00AC4F3F" w:rsidP="00AC4F3F">
      <w:pPr>
        <w:spacing w:after="120"/>
        <w:contextualSpacing/>
        <w:jc w:val="both"/>
        <w:rPr>
          <w:rFonts w:ascii="Arial" w:eastAsia="Times" w:hAnsi="Arial"/>
        </w:rPr>
      </w:pPr>
    </w:p>
    <w:p w14:paraId="6027D458" w14:textId="76A122D9" w:rsidR="00AC4F3F" w:rsidRPr="00B97DAE" w:rsidRDefault="00AC4F3F" w:rsidP="00AC4F3F">
      <w:pPr>
        <w:pStyle w:val="ListParagraph"/>
        <w:numPr>
          <w:ilvl w:val="0"/>
          <w:numId w:val="43"/>
        </w:numPr>
        <w:spacing w:after="120"/>
        <w:ind w:left="714" w:hanging="357"/>
        <w:contextualSpacing/>
        <w:jc w:val="both"/>
        <w:rPr>
          <w:rFonts w:ascii="Arial" w:eastAsia="Times" w:hAnsi="Arial"/>
          <w:sz w:val="20"/>
          <w:szCs w:val="20"/>
        </w:rPr>
      </w:pPr>
      <w:r w:rsidRPr="00B97DAE">
        <w:rPr>
          <w:rFonts w:ascii="Arial" w:eastAsia="Times" w:hAnsi="Arial"/>
          <w:sz w:val="20"/>
          <w:szCs w:val="20"/>
        </w:rPr>
        <w:t>For inpatient units, the highest rate of patient attendance is 88%, the lowest is 55%.  Carer / support person attendance ranges from 2% to 11%.</w:t>
      </w:r>
    </w:p>
    <w:p w14:paraId="730A263B" w14:textId="36BF83FE" w:rsidR="00AC4F3F" w:rsidRPr="00B97DAE" w:rsidRDefault="00AC4F3F" w:rsidP="00AC4F3F">
      <w:pPr>
        <w:pStyle w:val="ListParagraph"/>
        <w:numPr>
          <w:ilvl w:val="0"/>
          <w:numId w:val="43"/>
        </w:numPr>
        <w:spacing w:after="120"/>
        <w:ind w:left="714" w:hanging="357"/>
        <w:contextualSpacing/>
        <w:jc w:val="both"/>
        <w:rPr>
          <w:rFonts w:ascii="Arial" w:eastAsia="Times" w:hAnsi="Arial"/>
          <w:sz w:val="20"/>
          <w:szCs w:val="20"/>
        </w:rPr>
      </w:pPr>
      <w:r w:rsidRPr="00B97DAE">
        <w:rPr>
          <w:rFonts w:ascii="Arial" w:eastAsia="Times" w:hAnsi="Arial"/>
          <w:sz w:val="20"/>
          <w:szCs w:val="20"/>
        </w:rPr>
        <w:t>For community clinics the highest rate of patient attendance is 65%, while the lowest is 27%.  Carer / support person attendance ranges from 1% to 16%.</w:t>
      </w:r>
    </w:p>
    <w:p w14:paraId="3FC2EEBF" w14:textId="5B332161" w:rsidR="00AC4F3F" w:rsidRPr="00B97DAE" w:rsidRDefault="00AC4F3F" w:rsidP="00AC4F3F">
      <w:pPr>
        <w:pStyle w:val="ListParagraph"/>
        <w:numPr>
          <w:ilvl w:val="0"/>
          <w:numId w:val="43"/>
        </w:numPr>
        <w:spacing w:after="120"/>
        <w:ind w:left="714" w:hanging="357"/>
        <w:contextualSpacing/>
        <w:jc w:val="both"/>
        <w:rPr>
          <w:rFonts w:ascii="Arial" w:eastAsia="Times" w:hAnsi="Arial"/>
          <w:sz w:val="20"/>
          <w:szCs w:val="20"/>
        </w:rPr>
      </w:pPr>
      <w:r w:rsidRPr="00B97DAE">
        <w:rPr>
          <w:rFonts w:ascii="Arial" w:eastAsia="Times" w:hAnsi="Arial"/>
          <w:sz w:val="20"/>
          <w:szCs w:val="20"/>
        </w:rPr>
        <w:lastRenderedPageBreak/>
        <w:t>For venues where hearings are conducted for both hospital and community-based patients the highest rate of patient attendance is 76% and the lowest is 51%, while carer / support person attendance ranges from 7% to 32%.</w:t>
      </w:r>
    </w:p>
    <w:p w14:paraId="3A27267E" w14:textId="77777777" w:rsidR="00370586" w:rsidRPr="00370586" w:rsidRDefault="00370586" w:rsidP="00370586">
      <w:pPr>
        <w:spacing w:after="120"/>
        <w:contextualSpacing/>
        <w:jc w:val="both"/>
        <w:rPr>
          <w:rFonts w:ascii="Arial" w:eastAsia="Times" w:hAnsi="Arial"/>
        </w:rPr>
      </w:pPr>
    </w:p>
    <w:p w14:paraId="0AFC91DC" w14:textId="0D78FDE7"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Variations in attendance levels do need to be interpreted cautiously as there will be some venues where there are features of the patient population that contribute to different attendance rates.  However, even with this caveat, the Tribunal’s view is that a factor contributing to these variances is that some services have a culture that places far more </w:t>
      </w:r>
      <w:r w:rsidR="00AC4F3F">
        <w:rPr>
          <w:rFonts w:ascii="Arial" w:eastAsia="Times" w:hAnsi="Arial"/>
        </w:rPr>
        <w:t>importance</w:t>
      </w:r>
      <w:r w:rsidRPr="00370586">
        <w:rPr>
          <w:rFonts w:ascii="Arial" w:eastAsia="Times" w:hAnsi="Arial"/>
        </w:rPr>
        <w:t xml:space="preserve"> on, and effort into encouraging their compulsory patients</w:t>
      </w:r>
      <w:r w:rsidR="00112010">
        <w:rPr>
          <w:rFonts w:ascii="Arial" w:eastAsia="Times" w:hAnsi="Arial"/>
        </w:rPr>
        <w:t xml:space="preserve"> and their support people</w:t>
      </w:r>
      <w:r w:rsidRPr="00370586">
        <w:rPr>
          <w:rFonts w:ascii="Arial" w:eastAsia="Times" w:hAnsi="Arial"/>
        </w:rPr>
        <w:t xml:space="preserve"> to be part of the process that independently evaluates whether they should continue to be on TOs.</w:t>
      </w:r>
    </w:p>
    <w:p w14:paraId="16744F7C" w14:textId="77777777" w:rsidR="00370586" w:rsidRPr="00370586" w:rsidRDefault="00370586" w:rsidP="00370586">
      <w:pPr>
        <w:spacing w:after="120"/>
        <w:contextualSpacing/>
        <w:jc w:val="both"/>
        <w:rPr>
          <w:rFonts w:ascii="Arial" w:eastAsia="Times" w:hAnsi="Arial"/>
        </w:rPr>
      </w:pPr>
    </w:p>
    <w:p w14:paraId="071A021F" w14:textId="7606723F" w:rsidR="00370586" w:rsidRPr="00370586" w:rsidRDefault="00370586" w:rsidP="00370586">
      <w:pPr>
        <w:spacing w:after="120"/>
        <w:contextualSpacing/>
        <w:jc w:val="both"/>
        <w:rPr>
          <w:rFonts w:ascii="Arial" w:eastAsia="Times" w:hAnsi="Arial"/>
        </w:rPr>
      </w:pPr>
      <w:r w:rsidRPr="00370586">
        <w:rPr>
          <w:rFonts w:ascii="Arial" w:eastAsia="Times" w:hAnsi="Arial"/>
        </w:rPr>
        <w:t xml:space="preserve">In the Tribunal’s first survey of consumers and carers experience of hearings, 36% of respondents stated no one helped them prepare for their hearing.  </w:t>
      </w:r>
      <w:r w:rsidR="00E35255">
        <w:rPr>
          <w:rFonts w:ascii="Arial" w:eastAsia="Times" w:hAnsi="Arial"/>
        </w:rPr>
        <w:t>Similarly,</w:t>
      </w:r>
      <w:r w:rsidRPr="00370586">
        <w:rPr>
          <w:rFonts w:ascii="Arial" w:eastAsia="Times" w:hAnsi="Arial"/>
        </w:rPr>
        <w:t xml:space="preserve"> </w:t>
      </w:r>
      <w:r w:rsidR="009E46D6">
        <w:rPr>
          <w:rFonts w:ascii="Arial" w:eastAsia="Times" w:hAnsi="Arial"/>
        </w:rPr>
        <w:t>in a workshop exploring reasons for non-attendance at hearings</w:t>
      </w:r>
      <w:r w:rsidR="009E46D6" w:rsidRPr="00370586">
        <w:rPr>
          <w:rFonts w:ascii="Arial" w:eastAsia="Times" w:hAnsi="Arial"/>
        </w:rPr>
        <w:t xml:space="preserve"> </w:t>
      </w:r>
      <w:r w:rsidR="009E46D6">
        <w:rPr>
          <w:rFonts w:ascii="Arial" w:eastAsia="Times" w:hAnsi="Arial"/>
        </w:rPr>
        <w:t xml:space="preserve">that was conducted as part of </w:t>
      </w:r>
      <w:r w:rsidRPr="00370586">
        <w:rPr>
          <w:rFonts w:ascii="Arial" w:eastAsia="Times" w:hAnsi="Arial"/>
        </w:rPr>
        <w:t>the Tribunal’s 2019 Consumer and Carer forum</w:t>
      </w:r>
      <w:r w:rsidR="00E35255">
        <w:rPr>
          <w:rFonts w:ascii="Arial" w:eastAsia="Times" w:hAnsi="Arial"/>
        </w:rPr>
        <w:t xml:space="preserve">, </w:t>
      </w:r>
      <w:proofErr w:type="gramStart"/>
      <w:r w:rsidR="00E35255">
        <w:rPr>
          <w:rFonts w:ascii="Arial" w:eastAsia="Times" w:hAnsi="Arial"/>
        </w:rPr>
        <w:t>a number of</w:t>
      </w:r>
      <w:proofErr w:type="gramEnd"/>
      <w:r w:rsidR="00E35255">
        <w:rPr>
          <w:rFonts w:ascii="Arial" w:eastAsia="Times" w:hAnsi="Arial"/>
        </w:rPr>
        <w:t xml:space="preserve"> participants described a lack of support or encouragement to attend</w:t>
      </w:r>
      <w:r w:rsidRPr="00370586">
        <w:rPr>
          <w:rFonts w:ascii="Arial" w:eastAsia="Times" w:hAnsi="Arial"/>
        </w:rPr>
        <w:t>.</w:t>
      </w:r>
      <w:r w:rsidR="00E35255">
        <w:rPr>
          <w:rFonts w:ascii="Arial" w:eastAsia="Times" w:hAnsi="Arial"/>
        </w:rPr>
        <w:t xml:space="preserve">  Some participants also referred to the </w:t>
      </w:r>
      <w:r w:rsidR="00D54B79">
        <w:rPr>
          <w:rFonts w:ascii="Arial" w:eastAsia="Times" w:hAnsi="Arial"/>
        </w:rPr>
        <w:t xml:space="preserve">impact of medication not being considered by services when hearing times were being arranged, and </w:t>
      </w:r>
      <w:proofErr w:type="gramStart"/>
      <w:r w:rsidR="00D54B79">
        <w:rPr>
          <w:rFonts w:ascii="Arial" w:eastAsia="Times" w:hAnsi="Arial"/>
        </w:rPr>
        <w:t>as a consequence</w:t>
      </w:r>
      <w:proofErr w:type="gramEnd"/>
      <w:r w:rsidR="00D54B79">
        <w:rPr>
          <w:rFonts w:ascii="Arial" w:eastAsia="Times" w:hAnsi="Arial"/>
        </w:rPr>
        <w:t xml:space="preserve"> being unable to attend (or if they did attend being unable to participate meaningfully).</w:t>
      </w:r>
    </w:p>
    <w:p w14:paraId="0BD009F9" w14:textId="77777777" w:rsidR="00370586" w:rsidRPr="00370586" w:rsidRDefault="00370586" w:rsidP="00370586">
      <w:pPr>
        <w:spacing w:after="120"/>
        <w:contextualSpacing/>
        <w:jc w:val="both"/>
        <w:rPr>
          <w:rFonts w:ascii="Arial" w:eastAsia="Times" w:hAnsi="Arial"/>
        </w:rPr>
      </w:pPr>
    </w:p>
    <w:p w14:paraId="4F10C2A0" w14:textId="596FEA7F" w:rsidR="00370586" w:rsidRPr="009609E4" w:rsidRDefault="00370586" w:rsidP="00370586">
      <w:pPr>
        <w:spacing w:after="120"/>
        <w:contextualSpacing/>
        <w:jc w:val="both"/>
        <w:rPr>
          <w:rFonts w:ascii="Arial" w:eastAsia="Times" w:hAnsi="Arial"/>
          <w:b/>
        </w:rPr>
      </w:pPr>
      <w:bookmarkStart w:id="21" w:name="_Hlk12538410"/>
      <w:r w:rsidRPr="009609E4">
        <w:rPr>
          <w:rFonts w:ascii="Arial" w:eastAsia="Times" w:hAnsi="Arial"/>
          <w:b/>
        </w:rPr>
        <w:t>4.1.</w:t>
      </w:r>
      <w:r w:rsidR="000A6F50" w:rsidRPr="009609E4">
        <w:rPr>
          <w:rFonts w:ascii="Arial" w:eastAsia="Times" w:hAnsi="Arial"/>
          <w:b/>
        </w:rPr>
        <w:t>2</w:t>
      </w:r>
      <w:r w:rsidRPr="009609E4">
        <w:rPr>
          <w:rFonts w:ascii="Arial" w:eastAsia="Times" w:hAnsi="Arial"/>
          <w:b/>
        </w:rPr>
        <w:t xml:space="preserve">  </w:t>
      </w:r>
      <w:r w:rsidR="00701103" w:rsidRPr="009609E4">
        <w:rPr>
          <w:rFonts w:ascii="Arial" w:eastAsia="Times" w:hAnsi="Arial"/>
          <w:b/>
        </w:rPr>
        <w:t xml:space="preserve">Engagement </w:t>
      </w:r>
      <w:r w:rsidR="003C141B" w:rsidRPr="009609E4">
        <w:rPr>
          <w:rFonts w:ascii="Arial" w:eastAsia="Times" w:hAnsi="Arial"/>
          <w:b/>
        </w:rPr>
        <w:t xml:space="preserve">of services </w:t>
      </w:r>
      <w:r w:rsidR="00701103" w:rsidRPr="009609E4">
        <w:rPr>
          <w:rFonts w:ascii="Arial" w:eastAsia="Times" w:hAnsi="Arial"/>
          <w:b/>
        </w:rPr>
        <w:t xml:space="preserve">with </w:t>
      </w:r>
      <w:r w:rsidRPr="009609E4">
        <w:rPr>
          <w:rFonts w:ascii="Arial" w:eastAsia="Times" w:hAnsi="Arial"/>
          <w:b/>
        </w:rPr>
        <w:t>M</w:t>
      </w:r>
      <w:r w:rsidR="00E421AF" w:rsidRPr="009609E4">
        <w:rPr>
          <w:rFonts w:ascii="Arial" w:eastAsia="Times" w:hAnsi="Arial"/>
          <w:b/>
        </w:rPr>
        <w:t xml:space="preserve">ental </w:t>
      </w:r>
      <w:r w:rsidRPr="009609E4">
        <w:rPr>
          <w:rFonts w:ascii="Arial" w:eastAsia="Times" w:hAnsi="Arial"/>
          <w:b/>
        </w:rPr>
        <w:t>H</w:t>
      </w:r>
      <w:r w:rsidR="00E421AF" w:rsidRPr="009609E4">
        <w:rPr>
          <w:rFonts w:ascii="Arial" w:eastAsia="Times" w:hAnsi="Arial"/>
          <w:b/>
        </w:rPr>
        <w:t xml:space="preserve">ealth </w:t>
      </w:r>
      <w:r w:rsidRPr="009609E4">
        <w:rPr>
          <w:rFonts w:ascii="Arial" w:eastAsia="Times" w:hAnsi="Arial"/>
          <w:b/>
        </w:rPr>
        <w:t>T</w:t>
      </w:r>
      <w:r w:rsidR="00E421AF" w:rsidRPr="009609E4">
        <w:rPr>
          <w:rFonts w:ascii="Arial" w:eastAsia="Times" w:hAnsi="Arial"/>
          <w:b/>
        </w:rPr>
        <w:t>ribunal</w:t>
      </w:r>
      <w:r w:rsidR="00AC4F3F" w:rsidRPr="009609E4">
        <w:rPr>
          <w:rFonts w:ascii="Arial" w:eastAsia="Times" w:hAnsi="Arial"/>
          <w:b/>
        </w:rPr>
        <w:t xml:space="preserve"> hearings</w:t>
      </w:r>
    </w:p>
    <w:bookmarkEnd w:id="21"/>
    <w:p w14:paraId="5107468C" w14:textId="77777777" w:rsidR="00370586" w:rsidRPr="009609E4" w:rsidRDefault="00370586" w:rsidP="00370586">
      <w:pPr>
        <w:spacing w:after="120"/>
        <w:contextualSpacing/>
        <w:jc w:val="both"/>
        <w:rPr>
          <w:rFonts w:ascii="Arial" w:eastAsia="Times" w:hAnsi="Arial"/>
        </w:rPr>
      </w:pPr>
    </w:p>
    <w:p w14:paraId="5EA42C90" w14:textId="743D5795" w:rsidR="00F05D16" w:rsidRPr="009609E4" w:rsidRDefault="00370586" w:rsidP="00370586">
      <w:pPr>
        <w:spacing w:after="120"/>
        <w:contextualSpacing/>
        <w:jc w:val="both"/>
        <w:rPr>
          <w:rFonts w:ascii="Arial" w:eastAsia="Times" w:hAnsi="Arial"/>
        </w:rPr>
      </w:pPr>
      <w:r w:rsidRPr="009609E4">
        <w:rPr>
          <w:rFonts w:ascii="Arial" w:eastAsia="Times" w:hAnsi="Arial"/>
        </w:rPr>
        <w:t xml:space="preserve">By the end of its life the former Board had been completely marginalised.  The legislative framework defining its review role was largely passive and there were no consequences for services not preparing for hearings, (in its final year of operation </w:t>
      </w:r>
      <w:r w:rsidR="00F05D16" w:rsidRPr="009609E4">
        <w:rPr>
          <w:rFonts w:ascii="Arial" w:eastAsia="Times" w:hAnsi="Arial"/>
        </w:rPr>
        <w:t>4,000</w:t>
      </w:r>
      <w:r w:rsidRPr="009609E4">
        <w:rPr>
          <w:rFonts w:ascii="Arial" w:eastAsia="Times" w:hAnsi="Arial"/>
        </w:rPr>
        <w:t xml:space="preserve"> hearings – equivalent to </w:t>
      </w:r>
      <w:r w:rsidR="00F05D16" w:rsidRPr="009609E4">
        <w:rPr>
          <w:rFonts w:ascii="Arial" w:eastAsia="Times" w:hAnsi="Arial"/>
        </w:rPr>
        <w:t>40</w:t>
      </w:r>
      <w:r w:rsidRPr="009609E4">
        <w:rPr>
          <w:rFonts w:ascii="Arial" w:eastAsia="Times" w:hAnsi="Arial"/>
        </w:rPr>
        <w:t>% - were adjourned</w:t>
      </w:r>
      <w:r w:rsidR="00F05D16" w:rsidRPr="009609E4">
        <w:rPr>
          <w:rFonts w:ascii="Arial" w:eastAsia="Times" w:hAnsi="Arial"/>
        </w:rPr>
        <w:t xml:space="preserve"> or rescheduled</w:t>
      </w:r>
      <w:r w:rsidRPr="009609E4">
        <w:rPr>
          <w:rFonts w:ascii="Arial" w:eastAsia="Times" w:hAnsi="Arial"/>
        </w:rPr>
        <w:t>)</w:t>
      </w:r>
      <w:r w:rsidR="002E28B2" w:rsidRPr="009609E4">
        <w:rPr>
          <w:rFonts w:ascii="Arial" w:eastAsia="Times" w:hAnsi="Arial"/>
        </w:rPr>
        <w:t>. S</w:t>
      </w:r>
      <w:r w:rsidRPr="009609E4">
        <w:rPr>
          <w:rFonts w:ascii="Arial" w:eastAsia="Times" w:hAnsi="Arial"/>
        </w:rPr>
        <w:t>everal services also acknowledged there was no senior staff member who had responsibility for hearings.  There have been dramatic improvements partly due to necessity</w:t>
      </w:r>
      <w:r w:rsidR="00F05D16" w:rsidRPr="009609E4">
        <w:rPr>
          <w:rFonts w:ascii="Arial" w:eastAsia="Times" w:hAnsi="Arial"/>
        </w:rPr>
        <w:t>,</w:t>
      </w:r>
      <w:r w:rsidRPr="009609E4">
        <w:rPr>
          <w:rFonts w:ascii="Arial" w:eastAsia="Times" w:hAnsi="Arial"/>
        </w:rPr>
        <w:t xml:space="preserve"> (the Tribunal’s functions under the current Act are not passive and delayed hearings do have consequences) and partly due to attitudinal change.  Despite this the Tribunal continues to encounter less than satisfactory engagement with its processes.</w:t>
      </w:r>
      <w:r w:rsidR="00F05D16" w:rsidRPr="009609E4">
        <w:rPr>
          <w:rFonts w:ascii="Arial" w:eastAsia="Times" w:hAnsi="Arial"/>
        </w:rPr>
        <w:t xml:space="preserve">  </w:t>
      </w:r>
      <w:r w:rsidRPr="009609E4">
        <w:rPr>
          <w:rFonts w:ascii="Arial" w:eastAsia="Times" w:hAnsi="Arial"/>
        </w:rPr>
        <w:t>This can play out in various ways</w:t>
      </w:r>
      <w:r w:rsidR="00363BEA" w:rsidRPr="009609E4">
        <w:rPr>
          <w:rFonts w:ascii="Arial" w:eastAsia="Times" w:hAnsi="Arial"/>
        </w:rPr>
        <w:t>.</w:t>
      </w:r>
    </w:p>
    <w:p w14:paraId="6BE91937" w14:textId="3DE97D73" w:rsidR="00F05D16" w:rsidRPr="009609E4" w:rsidRDefault="00F05D16" w:rsidP="00F05D16">
      <w:pPr>
        <w:spacing w:after="120"/>
        <w:contextualSpacing/>
        <w:jc w:val="both"/>
        <w:rPr>
          <w:rFonts w:ascii="Arial" w:eastAsia="Times" w:hAnsi="Arial"/>
        </w:rPr>
      </w:pPr>
    </w:p>
    <w:p w14:paraId="417E795F" w14:textId="4DE8449E" w:rsidR="00363BEA" w:rsidRPr="009609E4" w:rsidRDefault="00673621" w:rsidP="00F05D16">
      <w:pPr>
        <w:spacing w:after="120"/>
        <w:contextualSpacing/>
        <w:jc w:val="both"/>
        <w:rPr>
          <w:rFonts w:ascii="Arial" w:eastAsia="Times" w:hAnsi="Arial"/>
          <w:b/>
          <w:i/>
        </w:rPr>
      </w:pPr>
      <w:r w:rsidRPr="009609E4">
        <w:rPr>
          <w:rFonts w:ascii="Arial" w:eastAsia="Times" w:hAnsi="Arial"/>
          <w:b/>
          <w:i/>
        </w:rPr>
        <w:t xml:space="preserve">4.1.2(a)  </w:t>
      </w:r>
      <w:r w:rsidR="00363BEA" w:rsidRPr="009609E4">
        <w:rPr>
          <w:rFonts w:ascii="Arial" w:eastAsia="Times" w:hAnsi="Arial"/>
          <w:b/>
          <w:i/>
        </w:rPr>
        <w:t>Quality of Reports</w:t>
      </w:r>
      <w:r w:rsidR="00E74801" w:rsidRPr="009609E4">
        <w:rPr>
          <w:rFonts w:ascii="Arial" w:eastAsia="Times" w:hAnsi="Arial"/>
          <w:b/>
          <w:i/>
        </w:rPr>
        <w:t xml:space="preserve"> for Tribunal Hearings</w:t>
      </w:r>
    </w:p>
    <w:p w14:paraId="3829E406" w14:textId="77777777" w:rsidR="00363BEA" w:rsidRPr="009609E4" w:rsidRDefault="00363BEA" w:rsidP="00363BEA">
      <w:pPr>
        <w:spacing w:after="120"/>
        <w:contextualSpacing/>
        <w:jc w:val="both"/>
        <w:rPr>
          <w:rFonts w:ascii="Arial" w:eastAsia="Times" w:hAnsi="Arial"/>
        </w:rPr>
      </w:pPr>
    </w:p>
    <w:p w14:paraId="6BE46F66" w14:textId="77777777" w:rsidR="00363BEA" w:rsidRPr="009609E4" w:rsidRDefault="00370586" w:rsidP="00363BEA">
      <w:pPr>
        <w:spacing w:after="120"/>
        <w:contextualSpacing/>
        <w:jc w:val="both"/>
        <w:rPr>
          <w:rFonts w:ascii="Arial" w:eastAsia="Times" w:hAnsi="Arial"/>
        </w:rPr>
      </w:pPr>
      <w:r w:rsidRPr="009609E4">
        <w:rPr>
          <w:rFonts w:ascii="Arial" w:eastAsia="Times" w:hAnsi="Arial"/>
        </w:rPr>
        <w:t>Reports for hearings may be incomplete</w:t>
      </w:r>
      <w:r w:rsidR="00A11649" w:rsidRPr="009609E4">
        <w:rPr>
          <w:rFonts w:ascii="Arial" w:eastAsia="Times" w:hAnsi="Arial"/>
        </w:rPr>
        <w:t xml:space="preserve">, inaccurate </w:t>
      </w:r>
      <w:r w:rsidRPr="009609E4">
        <w:rPr>
          <w:rFonts w:ascii="Arial" w:eastAsia="Times" w:hAnsi="Arial"/>
        </w:rPr>
        <w:t xml:space="preserve">or out of date – sometimes by months if they are simply an old report that is being resubmitted without being revised.  </w:t>
      </w:r>
      <w:r w:rsidR="00F05D16" w:rsidRPr="009609E4">
        <w:rPr>
          <w:rFonts w:ascii="Arial" w:eastAsia="Times" w:hAnsi="Arial"/>
        </w:rPr>
        <w:t xml:space="preserve">Reports </w:t>
      </w:r>
      <w:r w:rsidR="00F109E1" w:rsidRPr="009609E4">
        <w:rPr>
          <w:rFonts w:ascii="Arial" w:eastAsia="Times" w:hAnsi="Arial"/>
        </w:rPr>
        <w:t xml:space="preserve">for Tribunal hearings </w:t>
      </w:r>
      <w:r w:rsidR="00F05D16" w:rsidRPr="009609E4">
        <w:rPr>
          <w:rFonts w:ascii="Arial" w:eastAsia="Times" w:hAnsi="Arial"/>
        </w:rPr>
        <w:t>are often exclusively medical in that they</w:t>
      </w:r>
      <w:r w:rsidR="00363BEA" w:rsidRPr="009609E4">
        <w:rPr>
          <w:rFonts w:ascii="Arial" w:eastAsia="Times" w:hAnsi="Arial"/>
        </w:rPr>
        <w:t>:</w:t>
      </w:r>
    </w:p>
    <w:p w14:paraId="53BD93D1" w14:textId="77777777" w:rsidR="00363BEA" w:rsidRPr="009609E4" w:rsidRDefault="00363BEA" w:rsidP="00363BEA">
      <w:pPr>
        <w:spacing w:after="120"/>
        <w:contextualSpacing/>
        <w:jc w:val="both"/>
        <w:rPr>
          <w:rFonts w:ascii="Arial" w:eastAsia="Times" w:hAnsi="Arial"/>
        </w:rPr>
      </w:pPr>
    </w:p>
    <w:p w14:paraId="7584E015" w14:textId="3EA34657" w:rsidR="00363BEA" w:rsidRPr="009609E4" w:rsidRDefault="00F05D16" w:rsidP="00673621">
      <w:pPr>
        <w:pStyle w:val="ListParagraph"/>
        <w:numPr>
          <w:ilvl w:val="0"/>
          <w:numId w:val="46"/>
        </w:numPr>
        <w:spacing w:after="120"/>
        <w:contextualSpacing/>
        <w:jc w:val="both"/>
        <w:rPr>
          <w:rFonts w:ascii="Arial" w:eastAsia="Times" w:hAnsi="Arial"/>
        </w:rPr>
      </w:pPr>
      <w:r w:rsidRPr="009609E4">
        <w:rPr>
          <w:rFonts w:ascii="Arial" w:eastAsia="Times" w:hAnsi="Arial"/>
          <w:sz w:val="20"/>
          <w:szCs w:val="20"/>
        </w:rPr>
        <w:t>focus on diagnosis and pharmacological treatment</w:t>
      </w:r>
      <w:r w:rsidR="00F109E1" w:rsidRPr="009609E4">
        <w:rPr>
          <w:rFonts w:ascii="Arial" w:eastAsia="Times" w:hAnsi="Arial"/>
          <w:sz w:val="20"/>
          <w:szCs w:val="20"/>
        </w:rPr>
        <w:t xml:space="preserve">; </w:t>
      </w:r>
    </w:p>
    <w:p w14:paraId="072A94F2" w14:textId="2BCBE705" w:rsidR="00363BEA" w:rsidRPr="009609E4" w:rsidRDefault="00112010" w:rsidP="00673621">
      <w:pPr>
        <w:pStyle w:val="ListParagraph"/>
        <w:numPr>
          <w:ilvl w:val="0"/>
          <w:numId w:val="46"/>
        </w:numPr>
        <w:spacing w:after="120"/>
        <w:contextualSpacing/>
        <w:jc w:val="both"/>
        <w:rPr>
          <w:rFonts w:ascii="Arial" w:eastAsia="Times" w:hAnsi="Arial"/>
        </w:rPr>
      </w:pPr>
      <w:r>
        <w:rPr>
          <w:rFonts w:ascii="Arial" w:eastAsia="Times" w:hAnsi="Arial"/>
          <w:sz w:val="20"/>
          <w:szCs w:val="20"/>
        </w:rPr>
        <w:t>use large amounts of</w:t>
      </w:r>
      <w:r w:rsidR="00F109E1" w:rsidRPr="009609E4">
        <w:rPr>
          <w:rFonts w:ascii="Arial" w:eastAsia="Times" w:hAnsi="Arial"/>
          <w:sz w:val="20"/>
          <w:szCs w:val="20"/>
        </w:rPr>
        <w:t xml:space="preserve"> jargon and acronyms (</w:t>
      </w:r>
      <w:proofErr w:type="gramStart"/>
      <w:r w:rsidR="00F109E1" w:rsidRPr="009609E4">
        <w:rPr>
          <w:rFonts w:ascii="Arial" w:eastAsia="Times" w:hAnsi="Arial"/>
          <w:sz w:val="20"/>
          <w:szCs w:val="20"/>
        </w:rPr>
        <w:t>a number of</w:t>
      </w:r>
      <w:proofErr w:type="gramEnd"/>
      <w:r w:rsidR="00F109E1" w:rsidRPr="009609E4">
        <w:rPr>
          <w:rFonts w:ascii="Arial" w:eastAsia="Times" w:hAnsi="Arial"/>
          <w:sz w:val="20"/>
          <w:szCs w:val="20"/>
        </w:rPr>
        <w:t xml:space="preserve"> which </w:t>
      </w:r>
      <w:r w:rsidR="00363BEA" w:rsidRPr="009609E4">
        <w:rPr>
          <w:rFonts w:ascii="Arial" w:eastAsia="Times" w:hAnsi="Arial"/>
          <w:sz w:val="20"/>
          <w:szCs w:val="20"/>
        </w:rPr>
        <w:t xml:space="preserve">are </w:t>
      </w:r>
      <w:r w:rsidR="00F109E1" w:rsidRPr="009609E4">
        <w:rPr>
          <w:rFonts w:ascii="Arial" w:eastAsia="Times" w:hAnsi="Arial"/>
          <w:sz w:val="20"/>
          <w:szCs w:val="20"/>
        </w:rPr>
        <w:t>service specific and not commonly understood</w:t>
      </w:r>
      <w:r w:rsidR="00673621" w:rsidRPr="009609E4">
        <w:rPr>
          <w:rFonts w:ascii="Arial" w:eastAsia="Times" w:hAnsi="Arial"/>
          <w:sz w:val="20"/>
          <w:szCs w:val="20"/>
        </w:rPr>
        <w:t>)</w:t>
      </w:r>
      <w:r w:rsidR="00F109E1" w:rsidRPr="009609E4">
        <w:rPr>
          <w:rFonts w:ascii="Arial" w:eastAsia="Times" w:hAnsi="Arial"/>
          <w:sz w:val="20"/>
          <w:szCs w:val="20"/>
        </w:rPr>
        <w:t xml:space="preserve">; </w:t>
      </w:r>
    </w:p>
    <w:p w14:paraId="2F17F3B0" w14:textId="77777777" w:rsidR="00363BEA" w:rsidRPr="009609E4" w:rsidRDefault="00F109E1" w:rsidP="00673621">
      <w:pPr>
        <w:pStyle w:val="ListParagraph"/>
        <w:numPr>
          <w:ilvl w:val="0"/>
          <w:numId w:val="46"/>
        </w:numPr>
        <w:spacing w:after="120"/>
        <w:contextualSpacing/>
        <w:jc w:val="both"/>
        <w:rPr>
          <w:rFonts w:ascii="Arial" w:eastAsia="Times" w:hAnsi="Arial"/>
        </w:rPr>
      </w:pPr>
      <w:r w:rsidRPr="009609E4">
        <w:rPr>
          <w:rFonts w:ascii="Arial" w:eastAsia="Times" w:hAnsi="Arial"/>
          <w:sz w:val="20"/>
          <w:szCs w:val="20"/>
        </w:rPr>
        <w:t xml:space="preserve">fail to articulate a potential pathway to voluntary treatment; and </w:t>
      </w:r>
    </w:p>
    <w:p w14:paraId="3D2405D9" w14:textId="77777777" w:rsidR="00363BEA" w:rsidRPr="009609E4" w:rsidRDefault="00F109E1" w:rsidP="00673621">
      <w:pPr>
        <w:pStyle w:val="ListParagraph"/>
        <w:numPr>
          <w:ilvl w:val="0"/>
          <w:numId w:val="46"/>
        </w:numPr>
        <w:spacing w:after="120"/>
        <w:contextualSpacing/>
        <w:jc w:val="both"/>
        <w:rPr>
          <w:rFonts w:ascii="Arial" w:eastAsia="Times" w:hAnsi="Arial"/>
        </w:rPr>
      </w:pPr>
      <w:r w:rsidRPr="009609E4">
        <w:rPr>
          <w:rFonts w:ascii="Arial" w:eastAsia="Times" w:hAnsi="Arial"/>
          <w:sz w:val="20"/>
          <w:szCs w:val="20"/>
        </w:rPr>
        <w:t xml:space="preserve">use language that is reductive of the consumer’s experience and not recovery-focused, for example symptoms of illness are recorded as factual, while experiences of side-effects are alleged, or complaints.  </w:t>
      </w:r>
    </w:p>
    <w:p w14:paraId="68FD177C" w14:textId="2F43D5C0" w:rsidR="00363BEA" w:rsidRPr="009609E4" w:rsidRDefault="00363BEA" w:rsidP="00363BEA">
      <w:pPr>
        <w:spacing w:after="120"/>
        <w:contextualSpacing/>
        <w:jc w:val="both"/>
        <w:rPr>
          <w:rFonts w:ascii="Arial" w:eastAsia="Times" w:hAnsi="Arial"/>
        </w:rPr>
      </w:pPr>
    </w:p>
    <w:p w14:paraId="7C32DFF1" w14:textId="586BF859" w:rsidR="00BB3F78" w:rsidRPr="009609E4" w:rsidRDefault="00F109E1" w:rsidP="00673621">
      <w:pPr>
        <w:spacing w:after="120"/>
        <w:contextualSpacing/>
        <w:jc w:val="both"/>
        <w:rPr>
          <w:rFonts w:ascii="Arial" w:eastAsia="Times" w:hAnsi="Arial"/>
        </w:rPr>
      </w:pPr>
      <w:r w:rsidRPr="009609E4">
        <w:rPr>
          <w:rFonts w:ascii="Arial" w:eastAsia="Times" w:hAnsi="Arial"/>
        </w:rPr>
        <w:t>The Tribunal recognises the template it provides for reports is a contributing factor and it is being reviewed with the aim of reducing its length, and framing questions in such a way that they prompt a patient-focused summary of a treating team’s reasons for thinking the treatment criteria are met.  Ideally this could be developed jointly as part of various earlier discussions occurring between a patient and their treating team, rather than being a separate document prepared only for the Tribunal, that can be demoralising for patients and amplify differences with their treating team.</w:t>
      </w:r>
    </w:p>
    <w:p w14:paraId="18717BC5" w14:textId="77777777" w:rsidR="00363BEA" w:rsidRPr="009609E4" w:rsidRDefault="00363BEA" w:rsidP="00363BEA">
      <w:pPr>
        <w:spacing w:after="120"/>
        <w:contextualSpacing/>
        <w:jc w:val="both"/>
        <w:rPr>
          <w:rFonts w:ascii="Arial" w:eastAsia="Times" w:hAnsi="Arial"/>
          <w:b/>
        </w:rPr>
      </w:pPr>
    </w:p>
    <w:p w14:paraId="5EF3DE26" w14:textId="52845A37" w:rsidR="00363BEA" w:rsidRPr="009609E4" w:rsidRDefault="00E74801" w:rsidP="00673621">
      <w:pPr>
        <w:spacing w:after="120"/>
        <w:contextualSpacing/>
        <w:jc w:val="both"/>
        <w:rPr>
          <w:rFonts w:ascii="Arial" w:eastAsia="Times" w:hAnsi="Arial"/>
          <w:b/>
          <w:i/>
        </w:rPr>
      </w:pPr>
      <w:r w:rsidRPr="009609E4">
        <w:rPr>
          <w:rFonts w:ascii="Arial" w:eastAsia="Times" w:hAnsi="Arial"/>
          <w:b/>
          <w:i/>
        </w:rPr>
        <w:t xml:space="preserve">4.1.2(b)  </w:t>
      </w:r>
      <w:r w:rsidR="00363BEA" w:rsidRPr="009609E4">
        <w:rPr>
          <w:rFonts w:ascii="Arial" w:eastAsia="Times" w:hAnsi="Arial"/>
          <w:b/>
          <w:i/>
        </w:rPr>
        <w:t>Access to Information</w:t>
      </w:r>
    </w:p>
    <w:p w14:paraId="49E4B5C7" w14:textId="77777777" w:rsidR="00363BEA" w:rsidRPr="009609E4" w:rsidRDefault="00363BEA" w:rsidP="00363BEA">
      <w:pPr>
        <w:spacing w:after="120"/>
        <w:contextualSpacing/>
        <w:jc w:val="both"/>
        <w:rPr>
          <w:rFonts w:ascii="Arial" w:eastAsia="Times" w:hAnsi="Arial"/>
        </w:rPr>
      </w:pPr>
    </w:p>
    <w:p w14:paraId="0ECAD042" w14:textId="6F1FA992" w:rsidR="00BB3F78" w:rsidRPr="009609E4" w:rsidRDefault="00A11649" w:rsidP="00673621">
      <w:pPr>
        <w:spacing w:after="120"/>
        <w:contextualSpacing/>
        <w:jc w:val="both"/>
        <w:rPr>
          <w:rFonts w:ascii="Arial" w:eastAsia="Times" w:hAnsi="Arial"/>
        </w:rPr>
      </w:pPr>
      <w:r w:rsidRPr="009609E4">
        <w:rPr>
          <w:rFonts w:ascii="Arial" w:eastAsia="Times" w:hAnsi="Arial"/>
        </w:rPr>
        <w:t xml:space="preserve">A further issue in relation to the reports that treating teams prepare for hearings is that under the Act they are required to provide a copy of the report to the patient at least 48 hours before the hearing.  The patient is also entitled to access </w:t>
      </w:r>
      <w:r w:rsidR="00BB3F78" w:rsidRPr="009609E4">
        <w:rPr>
          <w:rFonts w:ascii="Arial" w:eastAsia="Times" w:hAnsi="Arial"/>
        </w:rPr>
        <w:t xml:space="preserve">relevant </w:t>
      </w:r>
      <w:r w:rsidRPr="009609E4">
        <w:rPr>
          <w:rFonts w:ascii="Arial" w:eastAsia="Times" w:hAnsi="Arial"/>
        </w:rPr>
        <w:t xml:space="preserve">information on their clinical file </w:t>
      </w:r>
      <w:r w:rsidR="00BB3F78" w:rsidRPr="009609E4">
        <w:rPr>
          <w:rFonts w:ascii="Arial" w:eastAsia="Times" w:hAnsi="Arial"/>
        </w:rPr>
        <w:t>in the same time frame.</w:t>
      </w:r>
      <w:r w:rsidR="00BB3F78" w:rsidRPr="009609E4">
        <w:rPr>
          <w:rStyle w:val="FootnoteReference"/>
          <w:rFonts w:ascii="Arial" w:eastAsia="Times" w:hAnsi="Arial"/>
        </w:rPr>
        <w:footnoteReference w:id="57"/>
      </w:r>
      <w:r w:rsidR="00BB3F78" w:rsidRPr="009609E4">
        <w:rPr>
          <w:rFonts w:ascii="Arial" w:eastAsia="Times" w:hAnsi="Arial"/>
        </w:rPr>
        <w:t xml:space="preserve">  Given the issues at stake, on an objective measure this is not an onerous obligation.  Yet access to information including reports is  not always provided to patients in the timeframe set down in the Act.  During April-May 2019 11% of patients did not receive a copy of their report </w:t>
      </w:r>
      <w:r w:rsidR="00BB3F78" w:rsidRPr="009609E4">
        <w:rPr>
          <w:rFonts w:ascii="Arial" w:eastAsia="Times" w:hAnsi="Arial"/>
        </w:rPr>
        <w:lastRenderedPageBreak/>
        <w:t xml:space="preserve">in the specified timeframe, </w:t>
      </w:r>
      <w:r w:rsidR="00B97DAE" w:rsidRPr="009609E4">
        <w:rPr>
          <w:rFonts w:ascii="Arial" w:eastAsia="Times" w:hAnsi="Arial"/>
        </w:rPr>
        <w:t>9</w:t>
      </w:r>
      <w:r w:rsidR="00BB3F78" w:rsidRPr="009609E4">
        <w:rPr>
          <w:rFonts w:ascii="Arial" w:eastAsia="Times" w:hAnsi="Arial"/>
        </w:rPr>
        <w:t xml:space="preserve">% of patients attending their hearing </w:t>
      </w:r>
      <w:r w:rsidR="000A6F50" w:rsidRPr="009609E4">
        <w:rPr>
          <w:rFonts w:ascii="Arial" w:eastAsia="Times" w:hAnsi="Arial"/>
        </w:rPr>
        <w:t xml:space="preserve">said they had not been given access to their file despite wanting to review its contents.  </w:t>
      </w:r>
      <w:r w:rsidR="00BB3F78" w:rsidRPr="009609E4">
        <w:rPr>
          <w:rFonts w:ascii="Arial" w:eastAsia="Times" w:hAnsi="Arial"/>
        </w:rPr>
        <w:t>This is more than a procedural matter</w:t>
      </w:r>
      <w:r w:rsidR="000A6F50" w:rsidRPr="009609E4">
        <w:rPr>
          <w:rFonts w:ascii="Arial" w:eastAsia="Times" w:hAnsi="Arial"/>
        </w:rPr>
        <w:t xml:space="preserve"> it discloses a degree of asymmetry in relation to the practical application of the Act</w:t>
      </w:r>
      <w:r w:rsidR="00AF4644" w:rsidRPr="009609E4">
        <w:rPr>
          <w:rFonts w:ascii="Arial" w:eastAsia="Times" w:hAnsi="Arial"/>
        </w:rPr>
        <w:t xml:space="preserve"> in that </w:t>
      </w:r>
      <w:r w:rsidR="00BB3F78" w:rsidRPr="009609E4">
        <w:rPr>
          <w:rFonts w:ascii="Arial" w:eastAsia="Times" w:hAnsi="Arial"/>
        </w:rPr>
        <w:t xml:space="preserve"> a</w:t>
      </w:r>
      <w:r w:rsidR="00AF4644" w:rsidRPr="009609E4">
        <w:rPr>
          <w:rFonts w:ascii="Arial" w:eastAsia="Times" w:hAnsi="Arial"/>
        </w:rPr>
        <w:t xml:space="preserve"> clear</w:t>
      </w:r>
      <w:r w:rsidR="00BB3F78" w:rsidRPr="009609E4">
        <w:rPr>
          <w:rFonts w:ascii="Arial" w:eastAsia="Times" w:hAnsi="Arial"/>
        </w:rPr>
        <w:t xml:space="preserve"> obligation owed to a compulsory patient is </w:t>
      </w:r>
      <w:r w:rsidR="000A6F50" w:rsidRPr="009609E4">
        <w:rPr>
          <w:rFonts w:ascii="Arial" w:eastAsia="Times" w:hAnsi="Arial"/>
        </w:rPr>
        <w:t xml:space="preserve">treated as </w:t>
      </w:r>
      <w:r w:rsidR="00BB3F78" w:rsidRPr="009609E4">
        <w:rPr>
          <w:rFonts w:ascii="Arial" w:eastAsia="Times" w:hAnsi="Arial"/>
        </w:rPr>
        <w:t>discretionary.</w:t>
      </w:r>
      <w:r w:rsidR="000A6F50" w:rsidRPr="009609E4">
        <w:rPr>
          <w:rStyle w:val="FootnoteReference"/>
          <w:rFonts w:ascii="Arial" w:eastAsia="Times" w:hAnsi="Arial"/>
        </w:rPr>
        <w:footnoteReference w:id="58"/>
      </w:r>
    </w:p>
    <w:p w14:paraId="37BAE99F" w14:textId="77777777" w:rsidR="00363BEA" w:rsidRPr="009609E4" w:rsidRDefault="00363BEA" w:rsidP="00363BEA">
      <w:pPr>
        <w:rPr>
          <w:rFonts w:ascii="Arial" w:eastAsia="Times" w:hAnsi="Arial"/>
          <w:b/>
        </w:rPr>
      </w:pPr>
    </w:p>
    <w:p w14:paraId="012C7C70" w14:textId="377F92B6" w:rsidR="000A6F50" w:rsidRPr="009609E4" w:rsidRDefault="00E74801" w:rsidP="00E74801">
      <w:pPr>
        <w:rPr>
          <w:rFonts w:ascii="Arial" w:eastAsia="Times" w:hAnsi="Arial"/>
          <w:b/>
          <w:i/>
        </w:rPr>
      </w:pPr>
      <w:r w:rsidRPr="009609E4">
        <w:rPr>
          <w:rFonts w:ascii="Arial" w:eastAsia="Times" w:hAnsi="Arial"/>
          <w:b/>
          <w:i/>
        </w:rPr>
        <w:t xml:space="preserve">4.1.2(c)  </w:t>
      </w:r>
      <w:r w:rsidR="00363BEA" w:rsidRPr="009609E4">
        <w:rPr>
          <w:rFonts w:ascii="Arial" w:eastAsia="Times" w:hAnsi="Arial"/>
          <w:b/>
          <w:i/>
        </w:rPr>
        <w:t>Hearing Attendance</w:t>
      </w:r>
    </w:p>
    <w:p w14:paraId="07924F1F" w14:textId="77777777" w:rsidR="00363BEA" w:rsidRPr="009609E4" w:rsidRDefault="00363BEA" w:rsidP="00363BEA">
      <w:pPr>
        <w:spacing w:after="120"/>
        <w:contextualSpacing/>
        <w:jc w:val="both"/>
        <w:rPr>
          <w:rFonts w:ascii="Arial" w:eastAsia="Times" w:hAnsi="Arial"/>
        </w:rPr>
      </w:pPr>
    </w:p>
    <w:p w14:paraId="3FBC18C7" w14:textId="1D7B6C08" w:rsidR="003B3539" w:rsidRPr="009609E4" w:rsidRDefault="001C629E" w:rsidP="00E74801">
      <w:pPr>
        <w:spacing w:after="120"/>
        <w:contextualSpacing/>
        <w:jc w:val="both"/>
        <w:rPr>
          <w:rFonts w:ascii="Arial" w:eastAsia="Times" w:hAnsi="Arial"/>
        </w:rPr>
      </w:pPr>
      <w:r w:rsidRPr="009609E4">
        <w:rPr>
          <w:rFonts w:ascii="Arial" w:eastAsia="Times" w:hAnsi="Arial"/>
        </w:rPr>
        <w:t>Hearing attendances on the part of the treating</w:t>
      </w:r>
      <w:r w:rsidR="004F29EE" w:rsidRPr="009609E4">
        <w:rPr>
          <w:rFonts w:ascii="Arial" w:eastAsia="Times" w:hAnsi="Arial"/>
        </w:rPr>
        <w:t xml:space="preserve"> </w:t>
      </w:r>
      <w:r w:rsidRPr="009609E4">
        <w:rPr>
          <w:rFonts w:ascii="Arial" w:eastAsia="Times" w:hAnsi="Arial"/>
        </w:rPr>
        <w:t xml:space="preserve">team are also informative.  </w:t>
      </w:r>
      <w:r w:rsidR="009609E4">
        <w:rPr>
          <w:rFonts w:ascii="Arial" w:eastAsia="Times" w:hAnsi="Arial"/>
        </w:rPr>
        <w:t>For hearings conducted over the period April-May 2019,</w:t>
      </w:r>
      <w:r w:rsidR="00BB51CA" w:rsidRPr="009609E4">
        <w:rPr>
          <w:rFonts w:ascii="Arial" w:eastAsia="Times" w:hAnsi="Arial"/>
        </w:rPr>
        <w:t xml:space="preserve"> the p</w:t>
      </w:r>
      <w:r w:rsidR="009609E4">
        <w:rPr>
          <w:rFonts w:ascii="Arial" w:eastAsia="Times" w:hAnsi="Arial"/>
        </w:rPr>
        <w:t>atient</w:t>
      </w:r>
      <w:r w:rsidR="00BB51CA" w:rsidRPr="009609E4">
        <w:rPr>
          <w:rFonts w:ascii="Arial" w:eastAsia="Times" w:hAnsi="Arial"/>
        </w:rPr>
        <w:t xml:space="preserve">’s treating psychiatrist attended in 27% of hearings, their case manager / key clinician in 42%, and in all but a very small number of hearings a </w:t>
      </w:r>
      <w:r w:rsidR="003B3539" w:rsidRPr="009609E4">
        <w:rPr>
          <w:rFonts w:ascii="Arial" w:eastAsia="Times" w:hAnsi="Arial"/>
        </w:rPr>
        <w:t>doctor</w:t>
      </w:r>
      <w:r w:rsidR="00BB51CA" w:rsidRPr="009609E4">
        <w:rPr>
          <w:rFonts w:ascii="Arial" w:eastAsia="Times" w:hAnsi="Arial"/>
        </w:rPr>
        <w:t xml:space="preserve"> (ranging from a senior registrar to very junior medical officer) attended.  For t</w:t>
      </w:r>
      <w:r w:rsidR="004F29EE" w:rsidRPr="009609E4">
        <w:rPr>
          <w:rFonts w:ascii="Arial" w:eastAsia="Times" w:hAnsi="Arial"/>
        </w:rPr>
        <w:t>horough, effective and solution-focused Tribunal hearing</w:t>
      </w:r>
      <w:r w:rsidR="00BB51CA" w:rsidRPr="009609E4">
        <w:rPr>
          <w:rFonts w:ascii="Arial" w:eastAsia="Times" w:hAnsi="Arial"/>
        </w:rPr>
        <w:t>s</w:t>
      </w:r>
      <w:r w:rsidR="004F29EE" w:rsidRPr="009609E4">
        <w:rPr>
          <w:rFonts w:ascii="Arial" w:eastAsia="Times" w:hAnsi="Arial"/>
        </w:rPr>
        <w:t xml:space="preserve"> </w:t>
      </w:r>
      <w:r w:rsidR="00BB51CA" w:rsidRPr="009609E4">
        <w:rPr>
          <w:rFonts w:ascii="Arial" w:eastAsia="Times" w:hAnsi="Arial"/>
        </w:rPr>
        <w:t>it is essential to have representatives of the treating team who know the person and can address the medico-legal issues that need to be considered</w:t>
      </w:r>
      <w:r w:rsidR="003B3539" w:rsidRPr="009609E4">
        <w:rPr>
          <w:rFonts w:ascii="Arial" w:eastAsia="Times" w:hAnsi="Arial"/>
        </w:rPr>
        <w:t>;</w:t>
      </w:r>
      <w:r w:rsidR="00BB51CA" w:rsidRPr="009609E4">
        <w:rPr>
          <w:rFonts w:ascii="Arial" w:eastAsia="Times" w:hAnsi="Arial"/>
        </w:rPr>
        <w:t xml:space="preserve"> are familiar with the broader psycho-social support</w:t>
      </w:r>
      <w:r w:rsidR="003B3539" w:rsidRPr="009609E4">
        <w:rPr>
          <w:rFonts w:ascii="Arial" w:eastAsia="Times" w:hAnsi="Arial"/>
        </w:rPr>
        <w:t>s</w:t>
      </w:r>
      <w:r w:rsidR="00BB51CA" w:rsidRPr="009609E4">
        <w:rPr>
          <w:rFonts w:ascii="Arial" w:eastAsia="Times" w:hAnsi="Arial"/>
        </w:rPr>
        <w:t xml:space="preserve"> that are or can be provided</w:t>
      </w:r>
      <w:r w:rsidR="003B3539" w:rsidRPr="009609E4">
        <w:rPr>
          <w:rFonts w:ascii="Arial" w:eastAsia="Times" w:hAnsi="Arial"/>
        </w:rPr>
        <w:t>;</w:t>
      </w:r>
      <w:r w:rsidR="00BB51CA" w:rsidRPr="009609E4">
        <w:rPr>
          <w:rFonts w:ascii="Arial" w:eastAsia="Times" w:hAnsi="Arial"/>
        </w:rPr>
        <w:t xml:space="preserve"> and who have both the knowledge of the person </w:t>
      </w:r>
      <w:r w:rsidR="003B3539" w:rsidRPr="009609E4">
        <w:rPr>
          <w:rFonts w:ascii="Arial" w:eastAsia="Times" w:hAnsi="Arial"/>
        </w:rPr>
        <w:t xml:space="preserve">and </w:t>
      </w:r>
      <w:r w:rsidR="00BB51CA" w:rsidRPr="009609E4">
        <w:rPr>
          <w:rFonts w:ascii="Arial" w:eastAsia="Times" w:hAnsi="Arial"/>
        </w:rPr>
        <w:t>authority to meaningfully discuss options and alternatives for a person’s treatment.</w:t>
      </w:r>
      <w:r w:rsidR="003B3539" w:rsidRPr="009609E4">
        <w:rPr>
          <w:rFonts w:ascii="Arial" w:eastAsia="Times" w:hAnsi="Arial"/>
        </w:rPr>
        <w:t xml:space="preserve">  Often this will not be the case, which suggests a failure to understand that the Tribunal is there as an inquisitorial body to explore the circumstances of an individual patient from all </w:t>
      </w:r>
      <w:proofErr w:type="gramStart"/>
      <w:r w:rsidR="003B3539" w:rsidRPr="009609E4">
        <w:rPr>
          <w:rFonts w:ascii="Arial" w:eastAsia="Times" w:hAnsi="Arial"/>
        </w:rPr>
        <w:t>angles, and</w:t>
      </w:r>
      <w:proofErr w:type="gramEnd"/>
      <w:r w:rsidR="003B3539" w:rsidRPr="009609E4">
        <w:rPr>
          <w:rFonts w:ascii="Arial" w:eastAsia="Times" w:hAnsi="Arial"/>
        </w:rPr>
        <w:t xml:space="preserve"> consider and weigh all perspectives.  This lack of understanding is most pronounced when, as does happen, the Tribunal’s role is framed as ‘undermining’ or even ‘sabotaging’ treatment; and (especially in relation to ECT hearings) a decision contrary to the perspective of the treating team can be met with incredulity that the Tribunal’s role is anything other than to grant the Order that is being requested.</w:t>
      </w:r>
    </w:p>
    <w:p w14:paraId="09D60CD3" w14:textId="77777777" w:rsidR="00370586" w:rsidRPr="009609E4" w:rsidRDefault="00370586" w:rsidP="00F05D16">
      <w:pPr>
        <w:spacing w:after="120"/>
        <w:contextualSpacing/>
        <w:jc w:val="both"/>
        <w:rPr>
          <w:rFonts w:ascii="Arial" w:eastAsia="Times" w:hAnsi="Arial"/>
        </w:rPr>
      </w:pPr>
    </w:p>
    <w:p w14:paraId="73B6A6EF" w14:textId="44006BAF" w:rsidR="00370586" w:rsidRPr="00370586" w:rsidRDefault="00E74801" w:rsidP="00370586">
      <w:pPr>
        <w:spacing w:after="120"/>
        <w:contextualSpacing/>
        <w:jc w:val="both"/>
        <w:rPr>
          <w:rFonts w:ascii="Arial" w:eastAsia="Times" w:hAnsi="Arial"/>
        </w:rPr>
      </w:pPr>
      <w:r w:rsidRPr="009609E4">
        <w:rPr>
          <w:rFonts w:ascii="Arial" w:eastAsia="Times" w:hAnsi="Arial"/>
        </w:rPr>
        <w:t>Regarding each of the matters</w:t>
      </w:r>
      <w:r w:rsidR="009609E4">
        <w:rPr>
          <w:rFonts w:ascii="Arial" w:eastAsia="Times" w:hAnsi="Arial"/>
        </w:rPr>
        <w:t xml:space="preserve"> referred to at 4.1</w:t>
      </w:r>
      <w:r w:rsidR="00950137">
        <w:rPr>
          <w:rFonts w:ascii="Arial" w:eastAsia="Times" w:hAnsi="Arial"/>
        </w:rPr>
        <w:t>.2</w:t>
      </w:r>
      <w:r w:rsidR="009609E4">
        <w:rPr>
          <w:rFonts w:ascii="Arial" w:eastAsia="Times" w:hAnsi="Arial"/>
        </w:rPr>
        <w:t xml:space="preserve"> – 4.1.2</w:t>
      </w:r>
      <w:r w:rsidRPr="009609E4">
        <w:rPr>
          <w:rFonts w:ascii="Arial" w:eastAsia="Times" w:hAnsi="Arial"/>
        </w:rPr>
        <w:t xml:space="preserve"> t</w:t>
      </w:r>
      <w:r w:rsidR="00370586" w:rsidRPr="009609E4">
        <w:rPr>
          <w:rFonts w:ascii="Arial" w:eastAsia="Times" w:hAnsi="Arial"/>
        </w:rPr>
        <w:t xml:space="preserve">he issue is not the Tribunal </w:t>
      </w:r>
      <w:r w:rsidR="00370586" w:rsidRPr="009609E4">
        <w:rPr>
          <w:rFonts w:ascii="Arial" w:eastAsia="Times" w:hAnsi="Arial"/>
          <w:i/>
        </w:rPr>
        <w:t>per se</w:t>
      </w:r>
      <w:r w:rsidR="00370586" w:rsidRPr="009609E4">
        <w:rPr>
          <w:rFonts w:ascii="Arial" w:eastAsia="Times" w:hAnsi="Arial"/>
        </w:rPr>
        <w:t>, but what this</w:t>
      </w:r>
      <w:r w:rsidR="00E76A95" w:rsidRPr="009609E4">
        <w:rPr>
          <w:rFonts w:ascii="Arial" w:eastAsia="Times" w:hAnsi="Arial"/>
        </w:rPr>
        <w:t xml:space="preserve"> level of engagement, or lack of engagement,</w:t>
      </w:r>
      <w:r w:rsidR="00370586" w:rsidRPr="009609E4">
        <w:rPr>
          <w:rFonts w:ascii="Arial" w:eastAsia="Times" w:hAnsi="Arial"/>
        </w:rPr>
        <w:t xml:space="preserve"> indicates regarding attitudes to compulsory treatment.  There is an under-appreciation of the power and privilege vested in the mental health system in that it has available to it mechanisms that can compel individuals to have treatment they </w:t>
      </w:r>
      <w:r w:rsidR="004F29EE" w:rsidRPr="009609E4">
        <w:rPr>
          <w:rFonts w:ascii="Arial" w:eastAsia="Times" w:hAnsi="Arial"/>
        </w:rPr>
        <w:t>might</w:t>
      </w:r>
      <w:r w:rsidR="00370586" w:rsidRPr="009609E4">
        <w:rPr>
          <w:rFonts w:ascii="Arial" w:eastAsia="Times" w:hAnsi="Arial"/>
        </w:rPr>
        <w:t xml:space="preserve"> otherwise refuse.  The seriousness of deciding to use those mechanisms should never be underestimated</w:t>
      </w:r>
      <w:r w:rsidR="00AF4644" w:rsidRPr="009609E4">
        <w:rPr>
          <w:rFonts w:ascii="Arial" w:eastAsia="Times" w:hAnsi="Arial"/>
        </w:rPr>
        <w:t>.  S</w:t>
      </w:r>
      <w:r w:rsidR="00370586" w:rsidRPr="009609E4">
        <w:rPr>
          <w:rFonts w:ascii="Arial" w:eastAsia="Times" w:hAnsi="Arial"/>
        </w:rPr>
        <w:t xml:space="preserve">erious engagement with the processes that provide oversight is an indivisible aspect of compulsory </w:t>
      </w:r>
      <w:proofErr w:type="gramStart"/>
      <w:r w:rsidR="00370586" w:rsidRPr="009609E4">
        <w:rPr>
          <w:rFonts w:ascii="Arial" w:eastAsia="Times" w:hAnsi="Arial"/>
        </w:rPr>
        <w:t>treatment,</w:t>
      </w:r>
      <w:r w:rsidR="004F29EE" w:rsidRPr="009609E4">
        <w:rPr>
          <w:rFonts w:ascii="Arial" w:eastAsia="Times" w:hAnsi="Arial"/>
        </w:rPr>
        <w:t xml:space="preserve"> and</w:t>
      </w:r>
      <w:proofErr w:type="gramEnd"/>
      <w:r w:rsidR="004F29EE" w:rsidRPr="009609E4">
        <w:rPr>
          <w:rFonts w:ascii="Arial" w:eastAsia="Times" w:hAnsi="Arial"/>
        </w:rPr>
        <w:t xml:space="preserve"> </w:t>
      </w:r>
      <w:r w:rsidR="00B45876" w:rsidRPr="009609E4">
        <w:rPr>
          <w:rFonts w:ascii="Arial" w:eastAsia="Times" w:hAnsi="Arial"/>
        </w:rPr>
        <w:t xml:space="preserve">demonstrates </w:t>
      </w:r>
      <w:r w:rsidR="004F29EE" w:rsidRPr="009609E4">
        <w:rPr>
          <w:rFonts w:ascii="Arial" w:eastAsia="Times" w:hAnsi="Arial"/>
        </w:rPr>
        <w:t>respect for individuals receiving treatment compulsorily</w:t>
      </w:r>
      <w:r w:rsidR="0037152F" w:rsidRPr="009609E4">
        <w:rPr>
          <w:rFonts w:ascii="Arial" w:eastAsia="Times" w:hAnsi="Arial"/>
        </w:rPr>
        <w:t>.  B</w:t>
      </w:r>
      <w:r w:rsidR="00370586" w:rsidRPr="009609E4">
        <w:rPr>
          <w:rFonts w:ascii="Arial" w:eastAsia="Times" w:hAnsi="Arial"/>
        </w:rPr>
        <w:t xml:space="preserve">ut this engagement can </w:t>
      </w:r>
      <w:r w:rsidR="00E76A95" w:rsidRPr="009609E4">
        <w:rPr>
          <w:rFonts w:ascii="Arial" w:eastAsia="Times" w:hAnsi="Arial"/>
        </w:rPr>
        <w:t>at time</w:t>
      </w:r>
      <w:r w:rsidR="00305212" w:rsidRPr="009609E4">
        <w:rPr>
          <w:rFonts w:ascii="Arial" w:eastAsia="Times" w:hAnsi="Arial"/>
        </w:rPr>
        <w:t>s</w:t>
      </w:r>
      <w:r w:rsidR="00E76A95" w:rsidRPr="009609E4">
        <w:rPr>
          <w:rFonts w:ascii="Arial" w:eastAsia="Times" w:hAnsi="Arial"/>
        </w:rPr>
        <w:t xml:space="preserve"> </w:t>
      </w:r>
      <w:r w:rsidR="00370586" w:rsidRPr="009609E4">
        <w:rPr>
          <w:rFonts w:ascii="Arial" w:eastAsia="Times" w:hAnsi="Arial"/>
        </w:rPr>
        <w:t>appear perfunctory.</w:t>
      </w:r>
    </w:p>
    <w:p w14:paraId="412F0613" w14:textId="77777777" w:rsidR="00370586" w:rsidRPr="00370586" w:rsidRDefault="00370586" w:rsidP="00370586">
      <w:pPr>
        <w:spacing w:after="120"/>
        <w:contextualSpacing/>
        <w:jc w:val="both"/>
        <w:rPr>
          <w:rFonts w:ascii="Arial" w:eastAsia="Times" w:hAnsi="Arial"/>
        </w:rPr>
      </w:pPr>
    </w:p>
    <w:p w14:paraId="4408EC6E" w14:textId="5F2FEB25" w:rsidR="00370586" w:rsidRPr="00370586" w:rsidRDefault="00370586" w:rsidP="00370586">
      <w:pPr>
        <w:spacing w:after="120"/>
        <w:contextualSpacing/>
        <w:jc w:val="both"/>
        <w:rPr>
          <w:rFonts w:ascii="Arial" w:eastAsia="Times" w:hAnsi="Arial"/>
          <w:b/>
        </w:rPr>
      </w:pPr>
      <w:r w:rsidRPr="00370586">
        <w:rPr>
          <w:rFonts w:ascii="Arial" w:eastAsia="Times" w:hAnsi="Arial"/>
          <w:b/>
        </w:rPr>
        <w:t>4.1.</w:t>
      </w:r>
      <w:r w:rsidR="000C7332">
        <w:rPr>
          <w:rFonts w:ascii="Arial" w:eastAsia="Times" w:hAnsi="Arial"/>
          <w:b/>
        </w:rPr>
        <w:t>3</w:t>
      </w:r>
      <w:r w:rsidRPr="00370586">
        <w:rPr>
          <w:rFonts w:ascii="Arial" w:eastAsia="Times" w:hAnsi="Arial"/>
          <w:b/>
        </w:rPr>
        <w:t xml:space="preserve">  Electroconvulsive treatment</w:t>
      </w:r>
    </w:p>
    <w:p w14:paraId="25631686" w14:textId="77777777" w:rsidR="00370586" w:rsidRPr="00370586" w:rsidRDefault="00370586" w:rsidP="00370586">
      <w:pPr>
        <w:spacing w:after="120"/>
        <w:contextualSpacing/>
        <w:jc w:val="both"/>
        <w:rPr>
          <w:rFonts w:ascii="Arial" w:eastAsia="Times" w:hAnsi="Arial"/>
        </w:rPr>
      </w:pPr>
    </w:p>
    <w:p w14:paraId="6563CEFF" w14:textId="1C057EEE" w:rsidR="00370586" w:rsidRPr="00370586" w:rsidRDefault="00370586" w:rsidP="00370586">
      <w:pPr>
        <w:spacing w:after="120"/>
        <w:contextualSpacing/>
        <w:jc w:val="both"/>
        <w:rPr>
          <w:rFonts w:ascii="Arial" w:eastAsia="Times" w:hAnsi="Arial"/>
        </w:rPr>
      </w:pPr>
      <w:r w:rsidRPr="00370586">
        <w:rPr>
          <w:rFonts w:ascii="Arial" w:eastAsia="Times" w:hAnsi="Arial"/>
        </w:rPr>
        <w:t>Vesting the Tribunal with an ECT jurisdiction has drawn</w:t>
      </w:r>
      <w:r w:rsidR="00112010">
        <w:rPr>
          <w:rFonts w:ascii="Arial" w:eastAsia="Times" w:hAnsi="Arial"/>
        </w:rPr>
        <w:t xml:space="preserve"> us</w:t>
      </w:r>
      <w:r w:rsidRPr="00370586">
        <w:rPr>
          <w:rFonts w:ascii="Arial" w:eastAsia="Times" w:hAnsi="Arial"/>
        </w:rPr>
        <w:t xml:space="preserve"> further </w:t>
      </w:r>
      <w:r w:rsidR="00765C5E">
        <w:rPr>
          <w:rFonts w:ascii="Arial" w:eastAsia="Times" w:hAnsi="Arial"/>
        </w:rPr>
        <w:t>and</w:t>
      </w:r>
      <w:r w:rsidRPr="00370586">
        <w:rPr>
          <w:rFonts w:ascii="Arial" w:eastAsia="Times" w:hAnsi="Arial"/>
        </w:rPr>
        <w:t xml:space="preserve"> more directly into the ‘treatment space’.  This has provided the Tribunal with a new perspective on some</w:t>
      </w:r>
      <w:r w:rsidR="00E14319">
        <w:rPr>
          <w:rFonts w:ascii="Arial" w:eastAsia="Times" w:hAnsi="Arial"/>
        </w:rPr>
        <w:t xml:space="preserve"> issues, including</w:t>
      </w:r>
      <w:r w:rsidRPr="00370586">
        <w:rPr>
          <w:rFonts w:ascii="Arial" w:eastAsia="Times" w:hAnsi="Arial"/>
        </w:rPr>
        <w:t xml:space="preserve"> differences in </w:t>
      </w:r>
      <w:r w:rsidR="00E14319">
        <w:rPr>
          <w:rFonts w:ascii="Arial" w:eastAsia="Times" w:hAnsi="Arial"/>
        </w:rPr>
        <w:t>approach</w:t>
      </w:r>
      <w:r w:rsidRPr="00370586">
        <w:rPr>
          <w:rFonts w:ascii="Arial" w:eastAsia="Times" w:hAnsi="Arial"/>
        </w:rPr>
        <w:t xml:space="preserve"> across Health Services</w:t>
      </w:r>
      <w:r w:rsidR="00E14319">
        <w:rPr>
          <w:rFonts w:ascii="Arial" w:eastAsia="Times" w:hAnsi="Arial"/>
        </w:rPr>
        <w:t>,</w:t>
      </w:r>
      <w:r w:rsidRPr="00370586">
        <w:rPr>
          <w:rFonts w:ascii="Arial" w:eastAsia="Times" w:hAnsi="Arial"/>
        </w:rPr>
        <w:t xml:space="preserve"> that are arguably also reflective of culture.  These concern ECT availability and the significant variation in the rates of urgent ECT applications across different services.</w:t>
      </w:r>
    </w:p>
    <w:p w14:paraId="4108EEF1" w14:textId="77777777" w:rsidR="00370586" w:rsidRPr="00370586" w:rsidRDefault="00370586" w:rsidP="00370586">
      <w:pPr>
        <w:spacing w:after="120"/>
        <w:contextualSpacing/>
        <w:jc w:val="both"/>
        <w:rPr>
          <w:rFonts w:ascii="Arial" w:eastAsia="Times" w:hAnsi="Arial"/>
        </w:rPr>
      </w:pPr>
    </w:p>
    <w:p w14:paraId="0EC37962" w14:textId="7263B33B" w:rsidR="00370586" w:rsidRPr="00370586" w:rsidRDefault="00370586" w:rsidP="00370586">
      <w:pPr>
        <w:numPr>
          <w:ilvl w:val="0"/>
          <w:numId w:val="41"/>
        </w:numPr>
        <w:spacing w:after="120"/>
        <w:contextualSpacing/>
        <w:jc w:val="both"/>
        <w:rPr>
          <w:rFonts w:ascii="Arial" w:eastAsia="Times" w:hAnsi="Arial"/>
        </w:rPr>
      </w:pPr>
      <w:r w:rsidRPr="00370586">
        <w:rPr>
          <w:rFonts w:ascii="Arial" w:eastAsia="Times" w:hAnsi="Arial"/>
        </w:rPr>
        <w:t>Regarding ECT applications, the Tribunal must finalise any application for an ECT Order within five business days.</w:t>
      </w:r>
      <w:r w:rsidRPr="00370586">
        <w:rPr>
          <w:rFonts w:ascii="Arial" w:eastAsia="Times" w:hAnsi="Arial"/>
          <w:vertAlign w:val="superscript"/>
        </w:rPr>
        <w:footnoteReference w:id="59"/>
      </w:r>
      <w:r w:rsidRPr="00370586">
        <w:rPr>
          <w:rFonts w:ascii="Arial" w:eastAsia="Times" w:hAnsi="Arial"/>
        </w:rPr>
        <w:t xml:space="preserve">  Applicant psychiatrists can apply for an urgent hearing if a course of ECT is needed to save the life of a patient, prevent serious damage to the health of a person, or to prevent significant pain and distress.</w:t>
      </w:r>
      <w:r w:rsidRPr="00370586">
        <w:rPr>
          <w:rFonts w:ascii="Arial" w:eastAsia="Times" w:hAnsi="Arial"/>
          <w:vertAlign w:val="superscript"/>
        </w:rPr>
        <w:footnoteReference w:id="60"/>
      </w:r>
      <w:r w:rsidRPr="00370586">
        <w:rPr>
          <w:rFonts w:ascii="Arial" w:eastAsia="Times" w:hAnsi="Arial"/>
        </w:rPr>
        <w:t xml:space="preserve">  When the Act was passed it was envisaged urgent applications would be uncommon,</w:t>
      </w:r>
      <w:r w:rsidR="003B3539">
        <w:rPr>
          <w:rStyle w:val="FootnoteReference"/>
          <w:rFonts w:ascii="Arial" w:eastAsia="Times" w:hAnsi="Arial"/>
        </w:rPr>
        <w:footnoteReference w:id="61"/>
      </w:r>
      <w:r w:rsidRPr="00370586">
        <w:rPr>
          <w:rFonts w:ascii="Arial" w:eastAsia="Times" w:hAnsi="Arial"/>
        </w:rPr>
        <w:t xml:space="preserve"> but on average over the Act’s five years of operation,</w:t>
      </w:r>
      <w:r w:rsidR="00E14319" w:rsidRPr="00E14319">
        <w:rPr>
          <w:rFonts w:ascii="Arial" w:eastAsia="Times" w:hAnsi="Arial"/>
        </w:rPr>
        <w:t xml:space="preserve"> 56% of ECT Order applications have been urgent. </w:t>
      </w:r>
      <w:r w:rsidR="00E14319">
        <w:rPr>
          <w:rFonts w:ascii="Arial" w:eastAsia="Times" w:hAnsi="Arial"/>
        </w:rPr>
        <w:t xml:space="preserve"> </w:t>
      </w:r>
      <w:r w:rsidR="00E14319" w:rsidRPr="00E14319">
        <w:rPr>
          <w:rFonts w:ascii="Arial" w:eastAsia="Times" w:hAnsi="Arial"/>
        </w:rPr>
        <w:t>Furthermore, there is an enormous variation across inpatient units with the lowest rate of urgent applications being 29% and the highest 92%.</w:t>
      </w:r>
      <w:r w:rsidR="00E14319">
        <w:rPr>
          <w:rFonts w:ascii="Arial" w:eastAsia="Times" w:hAnsi="Arial"/>
        </w:rPr>
        <w:t xml:space="preserve">  The</w:t>
      </w:r>
      <w:r w:rsidRPr="00370586">
        <w:rPr>
          <w:rFonts w:ascii="Arial" w:eastAsia="Times" w:hAnsi="Arial"/>
        </w:rPr>
        <w:t xml:space="preserve"> Tribunal recognises that no one reason explains this variation, but one reason is undoubtedly local culture.  Some</w:t>
      </w:r>
      <w:r w:rsidR="00FF25D2">
        <w:rPr>
          <w:rFonts w:ascii="Arial" w:eastAsia="Times" w:hAnsi="Arial"/>
        </w:rPr>
        <w:t xml:space="preserve"> </w:t>
      </w:r>
      <w:r w:rsidRPr="00370586">
        <w:rPr>
          <w:rFonts w:ascii="Arial" w:eastAsia="Times" w:hAnsi="Arial"/>
        </w:rPr>
        <w:t xml:space="preserve">services will progress to using compulsory ECT much more </w:t>
      </w:r>
      <w:r w:rsidR="00765C5E">
        <w:rPr>
          <w:rFonts w:ascii="Arial" w:eastAsia="Times" w:hAnsi="Arial"/>
        </w:rPr>
        <w:t>cautious</w:t>
      </w:r>
      <w:r w:rsidRPr="00370586">
        <w:rPr>
          <w:rFonts w:ascii="Arial" w:eastAsia="Times" w:hAnsi="Arial"/>
        </w:rPr>
        <w:t>ly than others.</w:t>
      </w:r>
    </w:p>
    <w:p w14:paraId="7C14524E" w14:textId="77777777" w:rsidR="00370586" w:rsidRPr="00370586" w:rsidRDefault="00370586" w:rsidP="00370586">
      <w:pPr>
        <w:spacing w:after="120"/>
        <w:ind w:left="720"/>
        <w:contextualSpacing/>
        <w:jc w:val="both"/>
        <w:rPr>
          <w:rFonts w:ascii="Arial" w:eastAsia="Times" w:hAnsi="Arial"/>
        </w:rPr>
      </w:pPr>
    </w:p>
    <w:p w14:paraId="32A672E6" w14:textId="0C642B6D" w:rsidR="00370586" w:rsidRPr="00370586" w:rsidRDefault="00370586" w:rsidP="00370586">
      <w:pPr>
        <w:numPr>
          <w:ilvl w:val="0"/>
          <w:numId w:val="41"/>
        </w:numPr>
        <w:spacing w:after="120"/>
        <w:contextualSpacing/>
        <w:jc w:val="both"/>
        <w:rPr>
          <w:rFonts w:ascii="Arial" w:eastAsia="Times" w:hAnsi="Arial"/>
        </w:rPr>
      </w:pPr>
      <w:r w:rsidRPr="00370586">
        <w:rPr>
          <w:rFonts w:ascii="Arial" w:eastAsia="Times" w:hAnsi="Arial"/>
        </w:rPr>
        <w:lastRenderedPageBreak/>
        <w:t>Two aspects of ECT availability concern the Tribunal.  Firstly, most services will only administer ECT on set days of the week, most commonly Monday, Wednesday and Friday.  This is problematic because requests for urgent hearings will often be at least partly motivated by the need to fit the patient within the service’s ECT schedule.  Urgent</w:t>
      </w:r>
      <w:r w:rsidR="00FF25D2">
        <w:rPr>
          <w:rFonts w:ascii="Arial" w:eastAsia="Times" w:hAnsi="Arial"/>
        </w:rPr>
        <w:t xml:space="preserve"> </w:t>
      </w:r>
      <w:r w:rsidRPr="00370586">
        <w:rPr>
          <w:rFonts w:ascii="Arial" w:eastAsia="Times" w:hAnsi="Arial"/>
        </w:rPr>
        <w:t>hearings mean patients have less time to prepare for their hearing and seek support or advice, yet it is always patients who are expected to bear these consequences – service flexibility, such as administering treatment on a Tuesday or Thursday, is an impossible alternative.  The Tribunal is also concerned that not all services are equipped to offer ultra-brief ECT; and, while there has been a shift, some services are reluctant to use anything other than bi-temporal ECT.</w:t>
      </w:r>
    </w:p>
    <w:p w14:paraId="36929F12" w14:textId="77777777" w:rsidR="00370586" w:rsidRPr="00370586" w:rsidRDefault="00370586" w:rsidP="00370586">
      <w:pPr>
        <w:spacing w:after="120"/>
        <w:contextualSpacing/>
        <w:jc w:val="both"/>
        <w:rPr>
          <w:rFonts w:ascii="Arial" w:eastAsia="Times" w:hAnsi="Arial"/>
        </w:rPr>
      </w:pPr>
    </w:p>
    <w:p w14:paraId="05A0C327" w14:textId="5765222B" w:rsidR="00AA790B" w:rsidRDefault="00370586" w:rsidP="00370586">
      <w:pPr>
        <w:spacing w:after="120"/>
        <w:contextualSpacing/>
        <w:jc w:val="both"/>
        <w:rPr>
          <w:rFonts w:ascii="Arial" w:eastAsia="Times" w:hAnsi="Arial"/>
        </w:rPr>
      </w:pPr>
      <w:r w:rsidRPr="00370586">
        <w:rPr>
          <w:rFonts w:ascii="Arial" w:eastAsia="Times" w:hAnsi="Arial"/>
        </w:rPr>
        <w:t xml:space="preserve">The Tribunal’s view is that approaches to ECT provide a significant glimpse into service culture.  As noted above (see </w:t>
      </w:r>
      <w:r w:rsidR="00112010">
        <w:rPr>
          <w:rFonts w:ascii="Arial" w:eastAsia="Times" w:hAnsi="Arial"/>
        </w:rPr>
        <w:t>Part A - 5</w:t>
      </w:r>
      <w:r w:rsidRPr="00370586">
        <w:rPr>
          <w:rFonts w:ascii="Arial" w:eastAsia="Times" w:hAnsi="Arial"/>
        </w:rPr>
        <w:t>) ECT</w:t>
      </w:r>
      <w:r w:rsidR="009609E4">
        <w:rPr>
          <w:rFonts w:ascii="Arial" w:eastAsia="Times" w:hAnsi="Arial"/>
        </w:rPr>
        <w:t xml:space="preserve"> continues to be</w:t>
      </w:r>
      <w:r w:rsidRPr="00370586">
        <w:rPr>
          <w:rFonts w:ascii="Arial" w:eastAsia="Times" w:hAnsi="Arial"/>
        </w:rPr>
        <w:t xml:space="preserve"> a contentious treatment.  Given </w:t>
      </w:r>
      <w:r w:rsidR="00B038B8">
        <w:rPr>
          <w:rFonts w:ascii="Arial" w:eastAsia="Times" w:hAnsi="Arial"/>
        </w:rPr>
        <w:t>this</w:t>
      </w:r>
      <w:r w:rsidRPr="00370586">
        <w:rPr>
          <w:rFonts w:ascii="Arial" w:eastAsia="Times" w:hAnsi="Arial"/>
        </w:rPr>
        <w:t xml:space="preserve">, </w:t>
      </w:r>
      <w:r w:rsidR="00B038B8">
        <w:rPr>
          <w:rFonts w:ascii="Arial" w:eastAsia="Times" w:hAnsi="Arial"/>
        </w:rPr>
        <w:t xml:space="preserve">the </w:t>
      </w:r>
      <w:r w:rsidRPr="00370586">
        <w:rPr>
          <w:rFonts w:ascii="Arial" w:eastAsia="Times" w:hAnsi="Arial"/>
        </w:rPr>
        <w:t>highly varied approaches to its use, including how soon compulsory ECT might be used in a person’s treatment</w:t>
      </w:r>
      <w:r w:rsidR="00765C5E">
        <w:rPr>
          <w:rFonts w:ascii="Arial" w:eastAsia="Times" w:hAnsi="Arial"/>
        </w:rPr>
        <w:t>, and the form of ECT used</w:t>
      </w:r>
      <w:r w:rsidRPr="00370586">
        <w:rPr>
          <w:rFonts w:ascii="Arial" w:eastAsia="Times" w:hAnsi="Arial"/>
        </w:rPr>
        <w:t xml:space="preserve"> are especially significant.  This significance becomes even more pronounced because users of public mental health services cannot choose to go to a service that has an approach in line with their individual preferences, instead they must attend the service in their geographical area.  Furthermore, the legitimacy of ECT is not undermined by acknowledging it can have side-effects, most notably in relation to memory.  Given this, when ECT is being administered on a compulsory basis it is difficult to reconcile the principle of patient-focused treatment and service delivery, with a resistance to commencing treatment with the form of ECT with the lowest side-effect profile unless there is a sound clinical reason, specific to the individual, for doing otherwise.</w:t>
      </w:r>
    </w:p>
    <w:p w14:paraId="4BA84F1C" w14:textId="77777777" w:rsidR="00AA790B" w:rsidRDefault="00AA790B" w:rsidP="00370586">
      <w:pPr>
        <w:spacing w:after="120"/>
        <w:contextualSpacing/>
        <w:jc w:val="both"/>
        <w:rPr>
          <w:rFonts w:ascii="Arial" w:eastAsia="Times" w:hAnsi="Arial"/>
        </w:rPr>
      </w:pPr>
    </w:p>
    <w:p w14:paraId="31ED5440" w14:textId="07042FCC" w:rsidR="00370586" w:rsidRDefault="00E14319" w:rsidP="00370586">
      <w:pPr>
        <w:spacing w:after="120"/>
        <w:contextualSpacing/>
        <w:jc w:val="both"/>
        <w:rPr>
          <w:rFonts w:ascii="Arial" w:eastAsia="Times" w:hAnsi="Arial"/>
        </w:rPr>
      </w:pPr>
      <w:r w:rsidRPr="009609E4">
        <w:rPr>
          <w:rFonts w:ascii="Arial" w:eastAsia="Times" w:hAnsi="Arial"/>
        </w:rPr>
        <w:t>Based on five years’ observation and experience the Tribunal is concerned that resourcing issues can impact inappropriately on approaches to the use of ECT</w:t>
      </w:r>
      <w:r w:rsidR="00AA790B" w:rsidRPr="009609E4">
        <w:rPr>
          <w:rFonts w:ascii="Arial" w:eastAsia="Times" w:hAnsi="Arial"/>
        </w:rPr>
        <w:t>,</w:t>
      </w:r>
      <w:r w:rsidRPr="009609E4">
        <w:rPr>
          <w:rFonts w:ascii="Arial" w:eastAsia="Times" w:hAnsi="Arial"/>
        </w:rPr>
        <w:t xml:space="preserve"> in that the need to expedite hospital discharge </w:t>
      </w:r>
      <w:r w:rsidR="00AA790B" w:rsidRPr="009609E4">
        <w:rPr>
          <w:rFonts w:ascii="Arial" w:eastAsia="Times" w:hAnsi="Arial"/>
        </w:rPr>
        <w:t>places time limits on the ability of treating teams to try and work with individual patient preferences.  Tribunal decisions on ECT applications reflect that the law does not require ECT to be a treatment of last resort.  But for individuals who lack capacity, and especially if they have concerns about ECT (expressed at the time or in the past) bed pressures and other system considerations should not be</w:t>
      </w:r>
      <w:r w:rsidR="00F278C2" w:rsidRPr="009609E4">
        <w:rPr>
          <w:rFonts w:ascii="Arial" w:eastAsia="Times" w:hAnsi="Arial"/>
        </w:rPr>
        <w:t xml:space="preserve"> a factor in the decision to propose ECT for a consumer</w:t>
      </w:r>
      <w:r w:rsidR="00AA790B" w:rsidRPr="009609E4">
        <w:rPr>
          <w:rFonts w:ascii="Arial" w:eastAsia="Times" w:hAnsi="Arial"/>
        </w:rPr>
        <w:t>.</w:t>
      </w:r>
    </w:p>
    <w:p w14:paraId="6DB0FDE5" w14:textId="2C6632F4" w:rsidR="009609E4" w:rsidRDefault="009609E4" w:rsidP="009609E4">
      <w:pPr>
        <w:rPr>
          <w:rFonts w:ascii="Arial" w:eastAsia="Times" w:hAnsi="Arial"/>
        </w:rPr>
      </w:pPr>
    </w:p>
    <w:p w14:paraId="67BD900F" w14:textId="77777777" w:rsidR="00EF1674" w:rsidRDefault="00EF1674" w:rsidP="009609E4">
      <w:pPr>
        <w:rPr>
          <w:rFonts w:ascii="Arial" w:eastAsia="Times" w:hAnsi="Arial"/>
        </w:rPr>
      </w:pPr>
    </w:p>
    <w:p w14:paraId="78C5E580" w14:textId="4E1E8DEA" w:rsidR="00370586" w:rsidRPr="00370586" w:rsidRDefault="00A7777F" w:rsidP="00A7777F">
      <w:pPr>
        <w:keepNext/>
        <w:keepLines/>
        <w:spacing w:before="240" w:after="90"/>
        <w:contextualSpacing/>
        <w:jc w:val="both"/>
        <w:outlineLvl w:val="1"/>
        <w:rPr>
          <w:rFonts w:ascii="Arial" w:hAnsi="Arial"/>
          <w:b/>
          <w:sz w:val="28"/>
          <w:szCs w:val="28"/>
        </w:rPr>
      </w:pPr>
      <w:r>
        <w:rPr>
          <w:rFonts w:ascii="Arial" w:hAnsi="Arial"/>
          <w:b/>
          <w:sz w:val="28"/>
          <w:szCs w:val="28"/>
        </w:rPr>
        <w:t xml:space="preserve">5.  </w:t>
      </w:r>
      <w:r w:rsidR="00370586" w:rsidRPr="00370586">
        <w:rPr>
          <w:rFonts w:ascii="Arial" w:hAnsi="Arial"/>
          <w:b/>
          <w:sz w:val="28"/>
          <w:szCs w:val="28"/>
        </w:rPr>
        <w:t>What can be done to attract, retain and better support the mental health workforce, including peer support workers (question 7)?</w:t>
      </w:r>
    </w:p>
    <w:p w14:paraId="5B025FED" w14:textId="77777777" w:rsidR="00370586" w:rsidRPr="00370586" w:rsidRDefault="00370586" w:rsidP="00370586">
      <w:pPr>
        <w:spacing w:after="120"/>
        <w:contextualSpacing/>
        <w:jc w:val="both"/>
        <w:rPr>
          <w:rFonts w:ascii="Arial" w:eastAsia="Times" w:hAnsi="Arial"/>
        </w:rPr>
      </w:pPr>
    </w:p>
    <w:p w14:paraId="0526EDD4" w14:textId="6A58FF61" w:rsidR="00370586" w:rsidRPr="00370586" w:rsidRDefault="00370586" w:rsidP="00370586">
      <w:pPr>
        <w:spacing w:after="120"/>
        <w:contextualSpacing/>
        <w:jc w:val="both"/>
        <w:rPr>
          <w:rFonts w:ascii="Arial" w:eastAsia="Times" w:hAnsi="Arial"/>
        </w:rPr>
      </w:pPr>
      <w:r w:rsidRPr="00370586">
        <w:rPr>
          <w:rFonts w:ascii="Arial" w:eastAsia="Times" w:hAnsi="Arial"/>
        </w:rPr>
        <w:t>In its contribution to the consultation regarding the terms of reference for the Royal Commission the Tribunal noted that of necessity the process of the Royal Commission will require frank and often confronting truth-telling, and in that context it would be vital to keep in mind that the systemic failings of a mental health system are not typically the result of individual wrong doing, and unfair attribution of blame must be avoided.  In line with this, the Tribunal has sought in this submission to highlight the examples of strong, effective practice that it observes.</w:t>
      </w:r>
    </w:p>
    <w:p w14:paraId="417E929E" w14:textId="77777777" w:rsidR="00370586" w:rsidRPr="00370586" w:rsidRDefault="00370586" w:rsidP="00370586">
      <w:pPr>
        <w:spacing w:after="120"/>
        <w:contextualSpacing/>
        <w:jc w:val="both"/>
        <w:rPr>
          <w:rFonts w:ascii="Arial" w:eastAsia="Times" w:hAnsi="Arial"/>
        </w:rPr>
      </w:pPr>
    </w:p>
    <w:p w14:paraId="2FCB7E82" w14:textId="32F77D79" w:rsidR="00370586" w:rsidRDefault="00370586" w:rsidP="00370586">
      <w:pPr>
        <w:spacing w:after="120"/>
        <w:contextualSpacing/>
        <w:jc w:val="both"/>
        <w:rPr>
          <w:rFonts w:ascii="Arial" w:eastAsia="Times" w:hAnsi="Arial"/>
        </w:rPr>
      </w:pPr>
      <w:r w:rsidRPr="00370586">
        <w:rPr>
          <w:rFonts w:ascii="Arial" w:eastAsia="Times" w:hAnsi="Arial"/>
        </w:rPr>
        <w:t xml:space="preserve">Just as the Tribunal does not speak for consumers and carers nor does it speak for the mental health workforce.  However, </w:t>
      </w:r>
      <w:r w:rsidR="0033594F">
        <w:rPr>
          <w:rFonts w:ascii="Arial" w:eastAsia="Times" w:hAnsi="Arial"/>
        </w:rPr>
        <w:t>we</w:t>
      </w:r>
      <w:r w:rsidRPr="00370586">
        <w:rPr>
          <w:rFonts w:ascii="Arial" w:eastAsia="Times" w:hAnsi="Arial"/>
        </w:rPr>
        <w:t xml:space="preserve"> do offer the observation that a mental health system that better meets the needs of consumers and carers will also surely be one that is a desirable, long-term workplace.  This is not to conflate the interests and perspective of consumers, carers and clinicians, but to recognise those interests are not inherently incompatible and may be jointly realised</w:t>
      </w:r>
      <w:r w:rsidR="003707BF">
        <w:rPr>
          <w:rFonts w:ascii="Arial" w:eastAsia="Times" w:hAnsi="Arial"/>
        </w:rPr>
        <w:t>.</w:t>
      </w:r>
      <w:r w:rsidRPr="00370586">
        <w:rPr>
          <w:rFonts w:ascii="Arial" w:eastAsia="Times" w:hAnsi="Arial"/>
        </w:rPr>
        <w:t xml:space="preserve">  A service system with the capacity to respond to actual levels of demand will be one that is</w:t>
      </w:r>
      <w:r w:rsidR="000E659B">
        <w:rPr>
          <w:rFonts w:ascii="Arial" w:eastAsia="Times" w:hAnsi="Arial"/>
        </w:rPr>
        <w:t xml:space="preserve"> not</w:t>
      </w:r>
      <w:r w:rsidRPr="00370586">
        <w:rPr>
          <w:rFonts w:ascii="Arial" w:eastAsia="Times" w:hAnsi="Arial"/>
        </w:rPr>
        <w:t xml:space="preserve"> constantly crisis driven.  Engaging with more consumers based on voluntary collaboration rather than legal compulsion must be preferable to everyone.  If this compatibility of interests can be identified it will foster the sense of shared purpose, collaboration and enthusiasm that will be essential to the successful implementation of the Royal Commission’s </w:t>
      </w:r>
      <w:r w:rsidR="00112010">
        <w:rPr>
          <w:rFonts w:ascii="Arial" w:eastAsia="Times" w:hAnsi="Arial"/>
        </w:rPr>
        <w:t xml:space="preserve">eventual </w:t>
      </w:r>
      <w:r w:rsidRPr="00370586">
        <w:rPr>
          <w:rFonts w:ascii="Arial" w:eastAsia="Times" w:hAnsi="Arial"/>
        </w:rPr>
        <w:t>recommendations and identified solutions.</w:t>
      </w:r>
    </w:p>
    <w:p w14:paraId="2B158F5D" w14:textId="77777777" w:rsidR="00EF1674" w:rsidRDefault="00EF1674" w:rsidP="00370586">
      <w:pPr>
        <w:spacing w:after="120"/>
        <w:contextualSpacing/>
        <w:jc w:val="both"/>
        <w:rPr>
          <w:rFonts w:ascii="Arial" w:eastAsia="Times" w:hAnsi="Arial"/>
        </w:rPr>
      </w:pPr>
    </w:p>
    <w:p w14:paraId="4665DC33" w14:textId="504AADEF" w:rsidR="00EF1674" w:rsidRPr="00EF1674" w:rsidRDefault="00EF1674" w:rsidP="00EF1674">
      <w:pPr>
        <w:spacing w:after="120"/>
        <w:contextualSpacing/>
        <w:jc w:val="both"/>
        <w:rPr>
          <w:rFonts w:ascii="Arial" w:eastAsia="Times" w:hAnsi="Arial"/>
          <w:b/>
        </w:rPr>
      </w:pPr>
      <w:r>
        <w:rPr>
          <w:rFonts w:ascii="Arial" w:eastAsia="Times" w:hAnsi="Arial"/>
          <w:b/>
        </w:rPr>
        <w:t>5</w:t>
      </w:r>
      <w:r w:rsidRPr="00EF1674">
        <w:rPr>
          <w:rFonts w:ascii="Arial" w:eastAsia="Times" w:hAnsi="Arial"/>
          <w:b/>
        </w:rPr>
        <w:t>.1</w:t>
      </w:r>
      <w:r>
        <w:rPr>
          <w:rFonts w:ascii="Arial" w:eastAsia="Times" w:hAnsi="Arial"/>
          <w:b/>
        </w:rPr>
        <w:t xml:space="preserve"> </w:t>
      </w:r>
      <w:r w:rsidRPr="00EF1674">
        <w:rPr>
          <w:rFonts w:ascii="Arial" w:eastAsia="Times" w:hAnsi="Arial"/>
          <w:b/>
        </w:rPr>
        <w:t xml:space="preserve"> Occupational Health and Safety</w:t>
      </w:r>
    </w:p>
    <w:p w14:paraId="4CBD79F3" w14:textId="77777777" w:rsidR="00EF1674" w:rsidRPr="00B97DAE" w:rsidRDefault="00EF1674" w:rsidP="00EF1674">
      <w:pPr>
        <w:spacing w:after="120"/>
        <w:contextualSpacing/>
        <w:jc w:val="both"/>
        <w:rPr>
          <w:rFonts w:ascii="Arial" w:eastAsia="Times" w:hAnsi="Arial"/>
        </w:rPr>
      </w:pPr>
    </w:p>
    <w:p w14:paraId="1BFC4EEC" w14:textId="77777777" w:rsidR="00EF1674" w:rsidRPr="00B97DAE" w:rsidRDefault="00EF1674" w:rsidP="00EF1674">
      <w:pPr>
        <w:spacing w:after="120"/>
        <w:contextualSpacing/>
        <w:jc w:val="both"/>
        <w:rPr>
          <w:rFonts w:ascii="Arial" w:eastAsia="Times" w:hAnsi="Arial"/>
        </w:rPr>
      </w:pPr>
      <w:r w:rsidRPr="00B97DAE">
        <w:rPr>
          <w:rFonts w:ascii="Arial" w:eastAsia="Times" w:hAnsi="Arial"/>
        </w:rPr>
        <w:t>It is important to acknowledge that there is a further issue concerning risk in mental health service provision that unavoidably impacts on the provision of support and treatment, but also raises distinct considerations.  This concerns the level of interpersonal violence and abuse that is experienced by staff in clinical mental health services.</w:t>
      </w:r>
    </w:p>
    <w:p w14:paraId="396C7FF0" w14:textId="77777777" w:rsidR="00EF1674" w:rsidRPr="00B97DAE" w:rsidRDefault="00EF1674" w:rsidP="00EF1674">
      <w:pPr>
        <w:spacing w:after="120"/>
        <w:contextualSpacing/>
        <w:jc w:val="both"/>
        <w:rPr>
          <w:rFonts w:ascii="Arial" w:eastAsia="Times" w:hAnsi="Arial"/>
        </w:rPr>
      </w:pPr>
    </w:p>
    <w:p w14:paraId="1274E99D" w14:textId="77777777" w:rsidR="00EF1674" w:rsidRPr="00B97DAE" w:rsidRDefault="00EF1674" w:rsidP="00EF1674">
      <w:pPr>
        <w:spacing w:after="120"/>
        <w:contextualSpacing/>
        <w:jc w:val="both"/>
        <w:rPr>
          <w:rFonts w:ascii="Arial" w:eastAsia="Times" w:hAnsi="Arial"/>
        </w:rPr>
      </w:pPr>
      <w:r w:rsidRPr="00B97DAE">
        <w:rPr>
          <w:rFonts w:ascii="Arial" w:eastAsia="Times" w:hAnsi="Arial"/>
        </w:rPr>
        <w:lastRenderedPageBreak/>
        <w:t>There will be a variety of other entities engaging with the Royal Commission that will explain this issue from a much broader and better-informed perspective than the Tribunal.  The Tribunal’s exposure to these matters is usually in the planning for potential violence and aggression in Tribunal hearings, (both universal precautions and specific strategies for a person with a history of aggressive or violent behaviour) and in a very small number of matters there can be violence and aggression in hearings.  Information before the Tribunal will also outline the measures that need to be taken in some cases to provide treatment in exceptionally volatile situations, both in inpatient units and the community.</w:t>
      </w:r>
    </w:p>
    <w:p w14:paraId="2A32F431" w14:textId="77777777" w:rsidR="00EF1674" w:rsidRPr="00B97DAE" w:rsidRDefault="00EF1674" w:rsidP="00EF1674">
      <w:pPr>
        <w:spacing w:after="120"/>
        <w:contextualSpacing/>
        <w:jc w:val="both"/>
        <w:rPr>
          <w:rFonts w:ascii="Arial" w:eastAsia="Times" w:hAnsi="Arial"/>
        </w:rPr>
      </w:pPr>
    </w:p>
    <w:p w14:paraId="7FCED290" w14:textId="541E606E" w:rsidR="00EF1674" w:rsidRDefault="00EF1674" w:rsidP="00EF1674">
      <w:pPr>
        <w:spacing w:after="120"/>
        <w:contextualSpacing/>
        <w:jc w:val="both"/>
        <w:rPr>
          <w:rFonts w:ascii="Arial" w:eastAsia="Times" w:hAnsi="Arial"/>
        </w:rPr>
      </w:pPr>
      <w:r w:rsidRPr="00B97DAE">
        <w:rPr>
          <w:rFonts w:ascii="Arial" w:eastAsia="Times" w:hAnsi="Arial"/>
        </w:rPr>
        <w:t xml:space="preserve">The Tribunal fully supports the right of mental health staff to a safe workplace.  The Tribunal also notes that in line with the observations made </w:t>
      </w:r>
      <w:r>
        <w:rPr>
          <w:rFonts w:ascii="Arial" w:eastAsia="Times" w:hAnsi="Arial"/>
        </w:rPr>
        <w:t>above</w:t>
      </w:r>
      <w:r w:rsidRPr="00B97DAE">
        <w:rPr>
          <w:rFonts w:ascii="Arial" w:eastAsia="Times" w:hAnsi="Arial"/>
        </w:rPr>
        <w:t xml:space="preserve">, this is not an issue in relation to which there is necessarily a tension between the rights or expectations of staff and consumers.  A safe environment is everyone’s right, and benefits everyone.  The response to risks of violence and aggression need to be multi-faceted and adequately resourced.  This is especially critical to ensuring the management of these risks does not default to </w:t>
      </w:r>
      <w:r>
        <w:rPr>
          <w:rFonts w:ascii="Arial" w:eastAsia="Times" w:hAnsi="Arial"/>
        </w:rPr>
        <w:t xml:space="preserve">a strategy of </w:t>
      </w:r>
      <w:r w:rsidRPr="00B97DAE">
        <w:rPr>
          <w:rFonts w:ascii="Arial" w:eastAsia="Times" w:hAnsi="Arial"/>
        </w:rPr>
        <w:t>operating in siege or fortress</w:t>
      </w:r>
      <w:r>
        <w:rPr>
          <w:rFonts w:ascii="Arial" w:eastAsia="Times" w:hAnsi="Arial"/>
        </w:rPr>
        <w:t>,</w:t>
      </w:r>
      <w:r w:rsidRPr="00B97DAE">
        <w:rPr>
          <w:rFonts w:ascii="Arial" w:eastAsia="Times" w:hAnsi="Arial"/>
        </w:rPr>
        <w:t xml:space="preserve"> mode which gives rise to environments in inpatient units and community clinics that are counter-therapeutic for consumers and demoralising for staff.</w:t>
      </w:r>
    </w:p>
    <w:p w14:paraId="2381D67D" w14:textId="73484E53" w:rsidR="00543059" w:rsidRDefault="00543059" w:rsidP="00370586">
      <w:pPr>
        <w:spacing w:after="120"/>
        <w:contextualSpacing/>
        <w:jc w:val="both"/>
        <w:rPr>
          <w:rFonts w:ascii="Arial" w:eastAsia="Times" w:hAnsi="Arial"/>
        </w:rPr>
      </w:pPr>
    </w:p>
    <w:p w14:paraId="37F1C9A7" w14:textId="77777777" w:rsidR="00A27CA4" w:rsidRPr="00370586" w:rsidRDefault="00A27CA4" w:rsidP="00370586">
      <w:pPr>
        <w:spacing w:after="120"/>
        <w:contextualSpacing/>
        <w:jc w:val="both"/>
        <w:rPr>
          <w:rFonts w:ascii="Arial" w:eastAsia="Times" w:hAnsi="Arial"/>
        </w:rPr>
      </w:pPr>
    </w:p>
    <w:p w14:paraId="2CC1032A" w14:textId="77777777" w:rsidR="00370586" w:rsidRPr="00370586" w:rsidRDefault="00370586" w:rsidP="00370586">
      <w:pPr>
        <w:keepNext/>
        <w:keepLines/>
        <w:spacing w:before="240" w:after="90"/>
        <w:contextualSpacing/>
        <w:jc w:val="both"/>
        <w:outlineLvl w:val="1"/>
        <w:rPr>
          <w:rFonts w:ascii="Arial" w:hAnsi="Arial"/>
          <w:b/>
          <w:sz w:val="28"/>
          <w:szCs w:val="28"/>
        </w:rPr>
      </w:pPr>
      <w:r w:rsidRPr="00370586">
        <w:rPr>
          <w:rFonts w:ascii="Arial" w:hAnsi="Arial"/>
          <w:b/>
          <w:sz w:val="28"/>
          <w:szCs w:val="28"/>
        </w:rPr>
        <w:t>6.  What are your suggestions to improve the Victorian community’s understanding of mental illness and reduce stigma and discrimination (question 1)?</w:t>
      </w:r>
    </w:p>
    <w:p w14:paraId="03A3361B" w14:textId="77777777" w:rsidR="00370586" w:rsidRPr="00370586" w:rsidRDefault="00370586" w:rsidP="00370586">
      <w:pPr>
        <w:spacing w:after="120"/>
        <w:contextualSpacing/>
        <w:jc w:val="both"/>
        <w:rPr>
          <w:rFonts w:ascii="Arial" w:eastAsia="Times" w:hAnsi="Arial"/>
        </w:rPr>
      </w:pPr>
    </w:p>
    <w:p w14:paraId="275F671A" w14:textId="77777777" w:rsidR="00370586" w:rsidRPr="00370586" w:rsidRDefault="00370586" w:rsidP="00370586">
      <w:pPr>
        <w:spacing w:after="120"/>
        <w:contextualSpacing/>
        <w:jc w:val="both"/>
        <w:rPr>
          <w:rFonts w:ascii="Arial" w:eastAsia="Times" w:hAnsi="Arial"/>
        </w:rPr>
      </w:pPr>
      <w:r w:rsidRPr="00370586">
        <w:rPr>
          <w:rFonts w:ascii="Arial" w:eastAsia="Times" w:hAnsi="Arial"/>
        </w:rPr>
        <w:t>It makes clear sense for the community to be most fluent in relation to high-prevalence mental health conditions, and what has been achieved in relation to both awareness and understanding of depression and anxiety is remarkable.  It demonstrates public awareness campaigns regarding mental health can and do work.  It is now time to direct efforts towards developing the community’s understanding of low-prevalence mental health conditions.</w:t>
      </w:r>
    </w:p>
    <w:p w14:paraId="0BCD48DB" w14:textId="77777777" w:rsidR="00112010" w:rsidRDefault="00112010" w:rsidP="00370586">
      <w:pPr>
        <w:spacing w:after="120"/>
        <w:contextualSpacing/>
        <w:jc w:val="both"/>
        <w:rPr>
          <w:rFonts w:ascii="Arial" w:eastAsia="Times" w:hAnsi="Arial"/>
        </w:rPr>
      </w:pPr>
    </w:p>
    <w:p w14:paraId="12031A41" w14:textId="5B955AE7" w:rsidR="00370586" w:rsidRPr="00370586" w:rsidRDefault="00370586" w:rsidP="00370586">
      <w:pPr>
        <w:spacing w:after="120"/>
        <w:contextualSpacing/>
        <w:jc w:val="both"/>
        <w:rPr>
          <w:rFonts w:ascii="Arial" w:eastAsia="Times" w:hAnsi="Arial"/>
        </w:rPr>
      </w:pPr>
      <w:r w:rsidRPr="00370586">
        <w:rPr>
          <w:rFonts w:ascii="Arial" w:eastAsia="Times" w:hAnsi="Arial"/>
        </w:rPr>
        <w:t>The Tribunal offers the following observations:</w:t>
      </w:r>
    </w:p>
    <w:p w14:paraId="1C12DFDF" w14:textId="77777777" w:rsidR="00370586" w:rsidRPr="00370586" w:rsidRDefault="00370586" w:rsidP="00370586">
      <w:pPr>
        <w:spacing w:after="120"/>
        <w:contextualSpacing/>
        <w:jc w:val="both"/>
        <w:rPr>
          <w:rFonts w:ascii="Arial" w:eastAsia="Times" w:hAnsi="Arial"/>
        </w:rPr>
      </w:pPr>
    </w:p>
    <w:p w14:paraId="1B232097" w14:textId="65967214" w:rsidR="00370586" w:rsidRPr="00370586" w:rsidRDefault="00370586" w:rsidP="00370586">
      <w:pPr>
        <w:numPr>
          <w:ilvl w:val="0"/>
          <w:numId w:val="38"/>
        </w:numPr>
        <w:spacing w:after="120"/>
        <w:contextualSpacing/>
        <w:jc w:val="both"/>
        <w:rPr>
          <w:rFonts w:ascii="Arial" w:eastAsia="Times" w:hAnsi="Arial"/>
        </w:rPr>
      </w:pPr>
      <w:r w:rsidRPr="00370586">
        <w:rPr>
          <w:rFonts w:ascii="Arial" w:eastAsia="Times" w:hAnsi="Arial"/>
        </w:rPr>
        <w:t xml:space="preserve">Low-prevalence conditions, </w:t>
      </w:r>
      <w:proofErr w:type="gramStart"/>
      <w:r w:rsidRPr="00370586">
        <w:rPr>
          <w:rFonts w:ascii="Arial" w:eastAsia="Times" w:hAnsi="Arial"/>
        </w:rPr>
        <w:t>in particular schizophrenia</w:t>
      </w:r>
      <w:proofErr w:type="gramEnd"/>
      <w:r w:rsidRPr="00370586">
        <w:rPr>
          <w:rFonts w:ascii="Arial" w:eastAsia="Times" w:hAnsi="Arial"/>
        </w:rPr>
        <w:t>, schizo-affective disorder and bipolar affective disorder are the most common</w:t>
      </w:r>
      <w:r w:rsidR="00112010">
        <w:rPr>
          <w:rFonts w:ascii="Arial" w:eastAsia="Times" w:hAnsi="Arial"/>
        </w:rPr>
        <w:t xml:space="preserve"> diagnoses</w:t>
      </w:r>
      <w:r w:rsidRPr="00370586">
        <w:rPr>
          <w:rFonts w:ascii="Arial" w:eastAsia="Times" w:hAnsi="Arial"/>
        </w:rPr>
        <w:t xml:space="preserve"> for people who receive compulsory treatment and have Tribunal hearings.  Daily the Tribunal observes consumers’ rejection of these diagnostic labels.  Sometimes this is because the individual does not regard themselves as having any mental illness.  Other times it appears to be a consequence of these being such loaded terms that carry significant stigma (borne out by the fact that some consumers will self-select a different diagnosis, usually PTSD, anxiety or depression).  It is an important feature of the Act that it does</w:t>
      </w:r>
      <w:r w:rsidR="000E659B">
        <w:rPr>
          <w:rFonts w:ascii="Arial" w:eastAsia="Times" w:hAnsi="Arial"/>
        </w:rPr>
        <w:t xml:space="preserve"> not</w:t>
      </w:r>
      <w:r w:rsidRPr="00370586">
        <w:rPr>
          <w:rFonts w:ascii="Arial" w:eastAsia="Times" w:hAnsi="Arial"/>
        </w:rPr>
        <w:t xml:space="preserve"> require the Tribunal to focus on diagnosis, rather the focus of the Act is on clusters of symptoms impacting on a person’s thinking, mood, perception or memory.  This deliberate avoidance of diagnostic terminology</w:t>
      </w:r>
      <w:r w:rsidR="00112010">
        <w:rPr>
          <w:rFonts w:ascii="Arial" w:eastAsia="Times" w:hAnsi="Arial"/>
        </w:rPr>
        <w:t xml:space="preserve"> – language </w:t>
      </w:r>
      <w:r w:rsidRPr="00370586">
        <w:rPr>
          <w:rFonts w:ascii="Arial" w:eastAsia="Times" w:hAnsi="Arial"/>
        </w:rPr>
        <w:t>and terms that can seem bereft of hope even in treatment spaces</w:t>
      </w:r>
      <w:r w:rsidR="00112010">
        <w:rPr>
          <w:rFonts w:ascii="Arial" w:eastAsia="Times" w:hAnsi="Arial"/>
        </w:rPr>
        <w:t xml:space="preserve">, </w:t>
      </w:r>
      <w:r w:rsidRPr="00370586">
        <w:rPr>
          <w:rFonts w:ascii="Arial" w:eastAsia="Times" w:hAnsi="Arial"/>
        </w:rPr>
        <w:t>and are associated with ill-informed and inaccurate stereotypes</w:t>
      </w:r>
      <w:r w:rsidR="00BE395B">
        <w:rPr>
          <w:rFonts w:ascii="Arial" w:eastAsia="Times" w:hAnsi="Arial"/>
        </w:rPr>
        <w:t xml:space="preserve"> – could </w:t>
      </w:r>
      <w:r w:rsidRPr="00370586">
        <w:rPr>
          <w:rFonts w:ascii="Arial" w:eastAsia="Times" w:hAnsi="Arial"/>
        </w:rPr>
        <w:t>inform at least the initial approach to developing community understanding of these conditions.</w:t>
      </w:r>
    </w:p>
    <w:p w14:paraId="2DA60BA3" w14:textId="77777777" w:rsidR="00370586" w:rsidRPr="00370586" w:rsidRDefault="00370586" w:rsidP="00370586">
      <w:pPr>
        <w:spacing w:after="120"/>
        <w:ind w:left="720"/>
        <w:contextualSpacing/>
        <w:jc w:val="both"/>
        <w:rPr>
          <w:rFonts w:ascii="Arial" w:eastAsia="Times" w:hAnsi="Arial"/>
        </w:rPr>
      </w:pPr>
    </w:p>
    <w:p w14:paraId="56192A54" w14:textId="77777777" w:rsidR="00370586" w:rsidRPr="00370586" w:rsidRDefault="00370586" w:rsidP="00370586">
      <w:pPr>
        <w:numPr>
          <w:ilvl w:val="0"/>
          <w:numId w:val="38"/>
        </w:numPr>
        <w:spacing w:after="120"/>
        <w:contextualSpacing/>
        <w:jc w:val="both"/>
        <w:rPr>
          <w:rFonts w:ascii="Arial" w:eastAsia="Times" w:hAnsi="Arial"/>
        </w:rPr>
      </w:pPr>
      <w:r w:rsidRPr="00370586">
        <w:rPr>
          <w:rFonts w:ascii="Arial" w:eastAsia="Times" w:hAnsi="Arial"/>
        </w:rPr>
        <w:t>Messaging in relation to low-prevalence conditions must reflect hope and recovery principles and do so in a nuanced way.  The community must understand that recovery is defined by each individual for themselves.  For some people it may be a complete remission of active symptoms, while for a host of reasons for others it will be living with an ongoing level of symptoms.  In conveying the message that people do recover the community also needs to appreciate that treatment can be complex; that conditions can relapse even when being treated; and for some individuals their condition will be enduring, and their support needs high.</w:t>
      </w:r>
    </w:p>
    <w:p w14:paraId="1DFD49D6" w14:textId="51D1DD1D" w:rsidR="001A386B" w:rsidRDefault="001A386B"/>
    <w:p w14:paraId="7B1C8C61" w14:textId="11426631" w:rsidR="00A27CA4" w:rsidRDefault="00A27CA4"/>
    <w:p w14:paraId="257384A1" w14:textId="77777777" w:rsidR="0016274D" w:rsidRDefault="0016274D">
      <w:pPr>
        <w:sectPr w:rsidR="0016274D" w:rsidSect="00543059">
          <w:footerReference w:type="default" r:id="rId14"/>
          <w:pgSz w:w="11906" w:h="16838" w:code="9"/>
          <w:pgMar w:top="426" w:right="1191" w:bottom="1134" w:left="2211" w:header="567" w:footer="510" w:gutter="0"/>
          <w:pgNumType w:start="1"/>
          <w:cols w:space="284"/>
          <w:docGrid w:linePitch="360"/>
        </w:sectPr>
      </w:pPr>
    </w:p>
    <w:p w14:paraId="73A808AB" w14:textId="011F83BA" w:rsidR="00A27CA4" w:rsidRPr="00053B9F" w:rsidRDefault="00A27CA4" w:rsidP="0016274D">
      <w:pPr>
        <w:keepNext/>
        <w:keepLines/>
        <w:spacing w:before="240" w:after="90"/>
        <w:ind w:left="2160" w:hanging="2160"/>
        <w:contextualSpacing/>
        <w:jc w:val="center"/>
        <w:outlineLvl w:val="1"/>
        <w:rPr>
          <w:rFonts w:ascii="Arial" w:hAnsi="Arial" w:cs="Arial"/>
          <w:b/>
          <w:caps/>
          <w:sz w:val="32"/>
          <w:szCs w:val="32"/>
        </w:rPr>
      </w:pPr>
      <w:r w:rsidRPr="00053B9F">
        <w:rPr>
          <w:rFonts w:ascii="Arial" w:hAnsi="Arial" w:cs="Arial"/>
          <w:b/>
          <w:caps/>
          <w:sz w:val="32"/>
          <w:szCs w:val="32"/>
        </w:rPr>
        <w:lastRenderedPageBreak/>
        <w:t>Appendix A:</w:t>
      </w:r>
      <w:r w:rsidRPr="00053B9F">
        <w:rPr>
          <w:rFonts w:ascii="Arial" w:hAnsi="Arial" w:cs="Arial"/>
          <w:b/>
          <w:caps/>
          <w:sz w:val="32"/>
          <w:szCs w:val="32"/>
        </w:rPr>
        <w:tab/>
        <w:t>Treatment Order statistics and demographic data</w:t>
      </w:r>
    </w:p>
    <w:p w14:paraId="10617512" w14:textId="5D693585" w:rsidR="00A27CA4" w:rsidRDefault="00A27CA4" w:rsidP="00A27CA4">
      <w:pPr>
        <w:keepNext/>
        <w:keepLines/>
        <w:spacing w:before="240" w:after="90"/>
        <w:contextualSpacing/>
        <w:outlineLvl w:val="1"/>
        <w:rPr>
          <w:rFonts w:ascii="Arial" w:hAnsi="Arial" w:cs="Arial"/>
          <w:b/>
        </w:rPr>
      </w:pPr>
    </w:p>
    <w:p w14:paraId="283708C8" w14:textId="77777777" w:rsidR="000431DC" w:rsidRDefault="000431DC" w:rsidP="00A27CA4">
      <w:pPr>
        <w:keepNext/>
        <w:keepLines/>
        <w:spacing w:before="240" w:after="90"/>
        <w:contextualSpacing/>
        <w:outlineLvl w:val="1"/>
        <w:rPr>
          <w:rFonts w:ascii="Arial" w:hAnsi="Arial" w:cs="Arial"/>
          <w:b/>
        </w:rPr>
      </w:pPr>
    </w:p>
    <w:p w14:paraId="05D4EB37" w14:textId="403BF5BC" w:rsidR="00A27CA4" w:rsidRDefault="00A27CA4" w:rsidP="000431DC">
      <w:pPr>
        <w:keepNext/>
        <w:keepLines/>
        <w:spacing w:before="240" w:after="90"/>
        <w:ind w:left="1440"/>
        <w:contextualSpacing/>
        <w:outlineLvl w:val="1"/>
        <w:rPr>
          <w:rFonts w:ascii="Arial" w:hAnsi="Arial" w:cs="Arial"/>
          <w:b/>
        </w:rPr>
      </w:pPr>
    </w:p>
    <w:tbl>
      <w:tblPr>
        <w:tblW w:w="12818" w:type="dxa"/>
        <w:tblInd w:w="1440" w:type="dxa"/>
        <w:tblLook w:val="04A0" w:firstRow="1" w:lastRow="0" w:firstColumn="1" w:lastColumn="0" w:noHBand="0" w:noVBand="1"/>
      </w:tblPr>
      <w:tblGrid>
        <w:gridCol w:w="4148"/>
        <w:gridCol w:w="1011"/>
        <w:gridCol w:w="723"/>
        <w:gridCol w:w="1011"/>
        <w:gridCol w:w="723"/>
        <w:gridCol w:w="1011"/>
        <w:gridCol w:w="723"/>
        <w:gridCol w:w="1011"/>
        <w:gridCol w:w="723"/>
        <w:gridCol w:w="1011"/>
        <w:gridCol w:w="723"/>
      </w:tblGrid>
      <w:tr w:rsidR="0016274D" w:rsidRPr="0016274D" w14:paraId="410E2929" w14:textId="77777777" w:rsidTr="000431DC">
        <w:trPr>
          <w:trHeight w:val="315"/>
        </w:trPr>
        <w:tc>
          <w:tcPr>
            <w:tcW w:w="4148"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bottom"/>
            <w:hideMark/>
          </w:tcPr>
          <w:p w14:paraId="5227B5E3" w14:textId="0895A5D2" w:rsidR="0016274D" w:rsidRPr="0016274D" w:rsidRDefault="0016274D" w:rsidP="0016274D">
            <w:pPr>
              <w:ind w:firstLineChars="100" w:firstLine="221"/>
              <w:rPr>
                <w:rFonts w:ascii="VIC" w:hAnsi="VIC"/>
                <w:b/>
                <w:bCs/>
                <w:color w:val="000000"/>
                <w:sz w:val="22"/>
                <w:szCs w:val="22"/>
                <w:lang w:eastAsia="en-AU"/>
              </w:rPr>
            </w:pPr>
            <w:r w:rsidRPr="0016274D">
              <w:rPr>
                <w:rFonts w:ascii="VIC" w:hAnsi="VIC"/>
                <w:b/>
                <w:bCs/>
                <w:color w:val="000000"/>
                <w:sz w:val="22"/>
                <w:szCs w:val="22"/>
                <w:lang w:eastAsia="en-AU"/>
              </w:rPr>
              <w:t>Treatment Order</w:t>
            </w:r>
            <w:r w:rsidR="000431DC">
              <w:rPr>
                <w:rFonts w:ascii="VIC" w:hAnsi="VIC"/>
                <w:b/>
                <w:bCs/>
                <w:color w:val="000000"/>
                <w:sz w:val="22"/>
                <w:szCs w:val="22"/>
                <w:lang w:eastAsia="en-AU"/>
              </w:rPr>
              <w:t xml:space="preserve"> Determinations</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5879ADC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4F0C0C0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1C370C0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1/7/2016 - 30/6/2017</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06D4BF43"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1/7/2017 - 30/6/2018</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2ABA1D9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1/6/2018 - 31/5/2019</w:t>
            </w:r>
          </w:p>
        </w:tc>
      </w:tr>
      <w:tr w:rsidR="0016274D" w:rsidRPr="0016274D" w14:paraId="268F1BA9" w14:textId="77777777" w:rsidTr="000431DC">
        <w:trPr>
          <w:trHeight w:val="315"/>
        </w:trPr>
        <w:tc>
          <w:tcPr>
            <w:tcW w:w="4148" w:type="dxa"/>
            <w:vMerge/>
            <w:tcBorders>
              <w:top w:val="single" w:sz="4" w:space="0" w:color="auto"/>
              <w:left w:val="single" w:sz="4" w:space="0" w:color="auto"/>
              <w:bottom w:val="single" w:sz="4" w:space="0" w:color="000000"/>
              <w:right w:val="single" w:sz="4" w:space="0" w:color="auto"/>
            </w:tcBorders>
            <w:vAlign w:val="center"/>
            <w:hideMark/>
          </w:tcPr>
          <w:p w14:paraId="574DD4AC" w14:textId="77777777" w:rsidR="0016274D" w:rsidRPr="0016274D" w:rsidRDefault="0016274D" w:rsidP="0016274D">
            <w:pPr>
              <w:rPr>
                <w:rFonts w:ascii="VIC" w:hAnsi="VIC"/>
                <w:b/>
                <w:bCs/>
                <w:color w:val="000000"/>
                <w:sz w:val="22"/>
                <w:szCs w:val="22"/>
                <w:lang w:eastAsia="en-AU"/>
              </w:rPr>
            </w:pPr>
          </w:p>
        </w:tc>
        <w:tc>
          <w:tcPr>
            <w:tcW w:w="1011" w:type="dxa"/>
            <w:tcBorders>
              <w:top w:val="nil"/>
              <w:left w:val="nil"/>
              <w:bottom w:val="single" w:sz="4" w:space="0" w:color="auto"/>
              <w:right w:val="single" w:sz="4" w:space="0" w:color="auto"/>
            </w:tcBorders>
            <w:shd w:val="clear" w:color="000000" w:fill="D9E1F2"/>
            <w:vAlign w:val="bottom"/>
            <w:hideMark/>
          </w:tcPr>
          <w:p w14:paraId="5FE4AEF6"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vAlign w:val="bottom"/>
            <w:hideMark/>
          </w:tcPr>
          <w:p w14:paraId="63190375"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vAlign w:val="bottom"/>
            <w:hideMark/>
          </w:tcPr>
          <w:p w14:paraId="51A6958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vAlign w:val="bottom"/>
            <w:hideMark/>
          </w:tcPr>
          <w:p w14:paraId="7EC2C603"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vAlign w:val="bottom"/>
            <w:hideMark/>
          </w:tcPr>
          <w:p w14:paraId="113351D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vAlign w:val="bottom"/>
            <w:hideMark/>
          </w:tcPr>
          <w:p w14:paraId="78D826A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vAlign w:val="bottom"/>
            <w:hideMark/>
          </w:tcPr>
          <w:p w14:paraId="174EFA2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vAlign w:val="bottom"/>
            <w:hideMark/>
          </w:tcPr>
          <w:p w14:paraId="4BDF9A2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vAlign w:val="bottom"/>
            <w:hideMark/>
          </w:tcPr>
          <w:p w14:paraId="5C2AEC1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vAlign w:val="bottom"/>
            <w:hideMark/>
          </w:tcPr>
          <w:p w14:paraId="75B11C1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r>
      <w:tr w:rsidR="0016274D" w:rsidRPr="0016274D" w14:paraId="459F5075" w14:textId="77777777" w:rsidTr="000431DC">
        <w:trPr>
          <w:trHeight w:val="315"/>
        </w:trPr>
        <w:tc>
          <w:tcPr>
            <w:tcW w:w="4148" w:type="dxa"/>
            <w:tcBorders>
              <w:top w:val="nil"/>
              <w:left w:val="single" w:sz="4" w:space="0" w:color="auto"/>
              <w:bottom w:val="single" w:sz="4" w:space="0" w:color="auto"/>
              <w:right w:val="single" w:sz="4" w:space="0" w:color="auto"/>
            </w:tcBorders>
            <w:shd w:val="clear" w:color="000000" w:fill="D9E1F2"/>
            <w:noWrap/>
            <w:vAlign w:val="bottom"/>
            <w:hideMark/>
          </w:tcPr>
          <w:p w14:paraId="5B24E78D" w14:textId="77777777" w:rsidR="0016274D" w:rsidRPr="0016274D" w:rsidRDefault="0016274D" w:rsidP="0016274D">
            <w:pPr>
              <w:ind w:firstLineChars="100" w:firstLine="200"/>
              <w:rPr>
                <w:rFonts w:ascii="VIC" w:hAnsi="VIC"/>
                <w:color w:val="000000"/>
                <w:lang w:eastAsia="en-AU"/>
              </w:rPr>
            </w:pPr>
            <w:r w:rsidRPr="0016274D">
              <w:rPr>
                <w:rFonts w:ascii="VIC" w:hAnsi="VIC"/>
                <w:color w:val="000000"/>
                <w:lang w:eastAsia="en-AU"/>
              </w:rPr>
              <w:t>Community Treatment Orders made</w:t>
            </w:r>
          </w:p>
        </w:tc>
        <w:tc>
          <w:tcPr>
            <w:tcW w:w="1011" w:type="dxa"/>
            <w:tcBorders>
              <w:top w:val="nil"/>
              <w:left w:val="nil"/>
              <w:bottom w:val="single" w:sz="4" w:space="0" w:color="auto"/>
              <w:right w:val="single" w:sz="4" w:space="0" w:color="auto"/>
            </w:tcBorders>
            <w:shd w:val="clear" w:color="auto" w:fill="auto"/>
            <w:noWrap/>
            <w:vAlign w:val="bottom"/>
            <w:hideMark/>
          </w:tcPr>
          <w:p w14:paraId="31D3FF2A"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2,588</w:t>
            </w:r>
          </w:p>
        </w:tc>
        <w:tc>
          <w:tcPr>
            <w:tcW w:w="723" w:type="dxa"/>
            <w:tcBorders>
              <w:top w:val="nil"/>
              <w:left w:val="nil"/>
              <w:bottom w:val="single" w:sz="4" w:space="0" w:color="auto"/>
              <w:right w:val="single" w:sz="4" w:space="0" w:color="auto"/>
            </w:tcBorders>
            <w:shd w:val="clear" w:color="auto" w:fill="auto"/>
            <w:noWrap/>
            <w:vAlign w:val="bottom"/>
            <w:hideMark/>
          </w:tcPr>
          <w:p w14:paraId="2CF0BA29"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48%</w:t>
            </w:r>
          </w:p>
        </w:tc>
        <w:tc>
          <w:tcPr>
            <w:tcW w:w="1011" w:type="dxa"/>
            <w:tcBorders>
              <w:top w:val="nil"/>
              <w:left w:val="nil"/>
              <w:bottom w:val="single" w:sz="4" w:space="0" w:color="auto"/>
              <w:right w:val="single" w:sz="4" w:space="0" w:color="auto"/>
            </w:tcBorders>
            <w:shd w:val="clear" w:color="auto" w:fill="auto"/>
            <w:noWrap/>
            <w:vAlign w:val="bottom"/>
            <w:hideMark/>
          </w:tcPr>
          <w:p w14:paraId="2A2290C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3,120</w:t>
            </w:r>
          </w:p>
        </w:tc>
        <w:tc>
          <w:tcPr>
            <w:tcW w:w="723" w:type="dxa"/>
            <w:tcBorders>
              <w:top w:val="nil"/>
              <w:left w:val="nil"/>
              <w:bottom w:val="single" w:sz="4" w:space="0" w:color="auto"/>
              <w:right w:val="single" w:sz="4" w:space="0" w:color="auto"/>
            </w:tcBorders>
            <w:shd w:val="clear" w:color="auto" w:fill="auto"/>
            <w:noWrap/>
            <w:vAlign w:val="bottom"/>
            <w:hideMark/>
          </w:tcPr>
          <w:p w14:paraId="0B1A2DD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52%</w:t>
            </w:r>
          </w:p>
        </w:tc>
        <w:tc>
          <w:tcPr>
            <w:tcW w:w="1011" w:type="dxa"/>
            <w:tcBorders>
              <w:top w:val="nil"/>
              <w:left w:val="nil"/>
              <w:bottom w:val="single" w:sz="4" w:space="0" w:color="auto"/>
              <w:right w:val="single" w:sz="4" w:space="0" w:color="auto"/>
            </w:tcBorders>
            <w:shd w:val="clear" w:color="auto" w:fill="auto"/>
            <w:noWrap/>
            <w:vAlign w:val="bottom"/>
            <w:hideMark/>
          </w:tcPr>
          <w:p w14:paraId="065D666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3,423</w:t>
            </w:r>
          </w:p>
        </w:tc>
        <w:tc>
          <w:tcPr>
            <w:tcW w:w="723" w:type="dxa"/>
            <w:tcBorders>
              <w:top w:val="nil"/>
              <w:left w:val="nil"/>
              <w:bottom w:val="single" w:sz="4" w:space="0" w:color="auto"/>
              <w:right w:val="single" w:sz="4" w:space="0" w:color="auto"/>
            </w:tcBorders>
            <w:shd w:val="clear" w:color="auto" w:fill="auto"/>
            <w:noWrap/>
            <w:vAlign w:val="bottom"/>
            <w:hideMark/>
          </w:tcPr>
          <w:p w14:paraId="482D3F79"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54%</w:t>
            </w:r>
          </w:p>
        </w:tc>
        <w:tc>
          <w:tcPr>
            <w:tcW w:w="1011" w:type="dxa"/>
            <w:tcBorders>
              <w:top w:val="nil"/>
              <w:left w:val="nil"/>
              <w:bottom w:val="single" w:sz="4" w:space="0" w:color="auto"/>
              <w:right w:val="single" w:sz="4" w:space="0" w:color="auto"/>
            </w:tcBorders>
            <w:shd w:val="clear" w:color="auto" w:fill="auto"/>
            <w:noWrap/>
            <w:vAlign w:val="bottom"/>
            <w:hideMark/>
          </w:tcPr>
          <w:p w14:paraId="0AE8F38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3,547</w:t>
            </w:r>
          </w:p>
        </w:tc>
        <w:tc>
          <w:tcPr>
            <w:tcW w:w="723" w:type="dxa"/>
            <w:tcBorders>
              <w:top w:val="nil"/>
              <w:left w:val="nil"/>
              <w:bottom w:val="single" w:sz="4" w:space="0" w:color="auto"/>
              <w:right w:val="single" w:sz="4" w:space="0" w:color="auto"/>
            </w:tcBorders>
            <w:shd w:val="clear" w:color="auto" w:fill="auto"/>
            <w:noWrap/>
            <w:vAlign w:val="bottom"/>
            <w:hideMark/>
          </w:tcPr>
          <w:p w14:paraId="25D445F6"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55%</w:t>
            </w:r>
          </w:p>
        </w:tc>
        <w:tc>
          <w:tcPr>
            <w:tcW w:w="1011" w:type="dxa"/>
            <w:tcBorders>
              <w:top w:val="nil"/>
              <w:left w:val="nil"/>
              <w:bottom w:val="single" w:sz="4" w:space="0" w:color="auto"/>
              <w:right w:val="single" w:sz="4" w:space="0" w:color="auto"/>
            </w:tcBorders>
            <w:shd w:val="clear" w:color="auto" w:fill="auto"/>
            <w:noWrap/>
            <w:vAlign w:val="bottom"/>
            <w:hideMark/>
          </w:tcPr>
          <w:p w14:paraId="5B8CAAC2"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3,824</w:t>
            </w:r>
          </w:p>
        </w:tc>
        <w:tc>
          <w:tcPr>
            <w:tcW w:w="723" w:type="dxa"/>
            <w:tcBorders>
              <w:top w:val="nil"/>
              <w:left w:val="nil"/>
              <w:bottom w:val="single" w:sz="4" w:space="0" w:color="auto"/>
              <w:right w:val="single" w:sz="4" w:space="0" w:color="auto"/>
            </w:tcBorders>
            <w:shd w:val="clear" w:color="auto" w:fill="auto"/>
            <w:noWrap/>
            <w:vAlign w:val="bottom"/>
            <w:hideMark/>
          </w:tcPr>
          <w:p w14:paraId="3E7FBDC0"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56%</w:t>
            </w:r>
          </w:p>
        </w:tc>
      </w:tr>
      <w:tr w:rsidR="0016274D" w:rsidRPr="0016274D" w14:paraId="6080B93A" w14:textId="77777777" w:rsidTr="000431DC">
        <w:trPr>
          <w:trHeight w:val="315"/>
        </w:trPr>
        <w:tc>
          <w:tcPr>
            <w:tcW w:w="4148" w:type="dxa"/>
            <w:tcBorders>
              <w:top w:val="nil"/>
              <w:left w:val="single" w:sz="4" w:space="0" w:color="auto"/>
              <w:bottom w:val="single" w:sz="4" w:space="0" w:color="auto"/>
              <w:right w:val="single" w:sz="4" w:space="0" w:color="auto"/>
            </w:tcBorders>
            <w:shd w:val="clear" w:color="000000" w:fill="D9E1F2"/>
            <w:noWrap/>
            <w:vAlign w:val="bottom"/>
            <w:hideMark/>
          </w:tcPr>
          <w:p w14:paraId="0BDE6CF4" w14:textId="77777777" w:rsidR="0016274D" w:rsidRPr="0016274D" w:rsidRDefault="0016274D" w:rsidP="0016274D">
            <w:pPr>
              <w:ind w:firstLineChars="100" w:firstLine="200"/>
              <w:rPr>
                <w:rFonts w:ascii="VIC" w:hAnsi="VIC"/>
                <w:color w:val="000000"/>
                <w:lang w:eastAsia="en-AU"/>
              </w:rPr>
            </w:pPr>
            <w:r w:rsidRPr="0016274D">
              <w:rPr>
                <w:rFonts w:ascii="VIC" w:hAnsi="VIC"/>
                <w:color w:val="000000"/>
                <w:lang w:eastAsia="en-AU"/>
              </w:rPr>
              <w:t>Inpatient Treatment Orders made</w:t>
            </w:r>
          </w:p>
        </w:tc>
        <w:tc>
          <w:tcPr>
            <w:tcW w:w="1011" w:type="dxa"/>
            <w:tcBorders>
              <w:top w:val="nil"/>
              <w:left w:val="nil"/>
              <w:bottom w:val="single" w:sz="4" w:space="0" w:color="auto"/>
              <w:right w:val="single" w:sz="4" w:space="0" w:color="auto"/>
            </w:tcBorders>
            <w:shd w:val="clear" w:color="auto" w:fill="auto"/>
            <w:noWrap/>
            <w:vAlign w:val="bottom"/>
            <w:hideMark/>
          </w:tcPr>
          <w:p w14:paraId="6F0674F3"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2,324</w:t>
            </w:r>
          </w:p>
        </w:tc>
        <w:tc>
          <w:tcPr>
            <w:tcW w:w="723" w:type="dxa"/>
            <w:tcBorders>
              <w:top w:val="nil"/>
              <w:left w:val="nil"/>
              <w:bottom w:val="single" w:sz="4" w:space="0" w:color="auto"/>
              <w:right w:val="single" w:sz="4" w:space="0" w:color="auto"/>
            </w:tcBorders>
            <w:shd w:val="clear" w:color="auto" w:fill="auto"/>
            <w:noWrap/>
            <w:vAlign w:val="bottom"/>
            <w:hideMark/>
          </w:tcPr>
          <w:p w14:paraId="65C183D6"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44%</w:t>
            </w:r>
          </w:p>
        </w:tc>
        <w:tc>
          <w:tcPr>
            <w:tcW w:w="1011" w:type="dxa"/>
            <w:tcBorders>
              <w:top w:val="nil"/>
              <w:left w:val="nil"/>
              <w:bottom w:val="single" w:sz="4" w:space="0" w:color="auto"/>
              <w:right w:val="single" w:sz="4" w:space="0" w:color="auto"/>
            </w:tcBorders>
            <w:shd w:val="clear" w:color="auto" w:fill="auto"/>
            <w:noWrap/>
            <w:vAlign w:val="bottom"/>
            <w:hideMark/>
          </w:tcPr>
          <w:p w14:paraId="4BEBA8C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2,482</w:t>
            </w:r>
          </w:p>
        </w:tc>
        <w:tc>
          <w:tcPr>
            <w:tcW w:w="723" w:type="dxa"/>
            <w:tcBorders>
              <w:top w:val="nil"/>
              <w:left w:val="nil"/>
              <w:bottom w:val="single" w:sz="4" w:space="0" w:color="auto"/>
              <w:right w:val="single" w:sz="4" w:space="0" w:color="auto"/>
            </w:tcBorders>
            <w:shd w:val="clear" w:color="auto" w:fill="auto"/>
            <w:noWrap/>
            <w:vAlign w:val="bottom"/>
            <w:hideMark/>
          </w:tcPr>
          <w:p w14:paraId="2AB75DD9"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42%</w:t>
            </w:r>
          </w:p>
        </w:tc>
        <w:tc>
          <w:tcPr>
            <w:tcW w:w="1011" w:type="dxa"/>
            <w:tcBorders>
              <w:top w:val="nil"/>
              <w:left w:val="nil"/>
              <w:bottom w:val="single" w:sz="4" w:space="0" w:color="auto"/>
              <w:right w:val="single" w:sz="4" w:space="0" w:color="auto"/>
            </w:tcBorders>
            <w:shd w:val="clear" w:color="auto" w:fill="auto"/>
            <w:noWrap/>
            <w:vAlign w:val="bottom"/>
            <w:hideMark/>
          </w:tcPr>
          <w:p w14:paraId="57980919"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2,502</w:t>
            </w:r>
          </w:p>
        </w:tc>
        <w:tc>
          <w:tcPr>
            <w:tcW w:w="723" w:type="dxa"/>
            <w:tcBorders>
              <w:top w:val="nil"/>
              <w:left w:val="nil"/>
              <w:bottom w:val="single" w:sz="4" w:space="0" w:color="auto"/>
              <w:right w:val="single" w:sz="4" w:space="0" w:color="auto"/>
            </w:tcBorders>
            <w:shd w:val="clear" w:color="auto" w:fill="auto"/>
            <w:noWrap/>
            <w:vAlign w:val="bottom"/>
            <w:hideMark/>
          </w:tcPr>
          <w:p w14:paraId="7EA1F7E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40%</w:t>
            </w:r>
          </w:p>
        </w:tc>
        <w:tc>
          <w:tcPr>
            <w:tcW w:w="1011" w:type="dxa"/>
            <w:tcBorders>
              <w:top w:val="nil"/>
              <w:left w:val="nil"/>
              <w:bottom w:val="single" w:sz="4" w:space="0" w:color="auto"/>
              <w:right w:val="single" w:sz="4" w:space="0" w:color="auto"/>
            </w:tcBorders>
            <w:shd w:val="clear" w:color="auto" w:fill="auto"/>
            <w:noWrap/>
            <w:vAlign w:val="bottom"/>
            <w:hideMark/>
          </w:tcPr>
          <w:p w14:paraId="26B0EB8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2,580</w:t>
            </w:r>
          </w:p>
        </w:tc>
        <w:tc>
          <w:tcPr>
            <w:tcW w:w="723" w:type="dxa"/>
            <w:tcBorders>
              <w:top w:val="nil"/>
              <w:left w:val="nil"/>
              <w:bottom w:val="single" w:sz="4" w:space="0" w:color="auto"/>
              <w:right w:val="single" w:sz="4" w:space="0" w:color="auto"/>
            </w:tcBorders>
            <w:shd w:val="clear" w:color="auto" w:fill="auto"/>
            <w:noWrap/>
            <w:vAlign w:val="bottom"/>
            <w:hideMark/>
          </w:tcPr>
          <w:p w14:paraId="6C488F4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40%</w:t>
            </w:r>
          </w:p>
        </w:tc>
        <w:tc>
          <w:tcPr>
            <w:tcW w:w="1011" w:type="dxa"/>
            <w:tcBorders>
              <w:top w:val="nil"/>
              <w:left w:val="nil"/>
              <w:bottom w:val="single" w:sz="4" w:space="0" w:color="auto"/>
              <w:right w:val="single" w:sz="4" w:space="0" w:color="auto"/>
            </w:tcBorders>
            <w:shd w:val="clear" w:color="auto" w:fill="auto"/>
            <w:noWrap/>
            <w:vAlign w:val="bottom"/>
            <w:hideMark/>
          </w:tcPr>
          <w:p w14:paraId="36AE877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2,525</w:t>
            </w:r>
          </w:p>
        </w:tc>
        <w:tc>
          <w:tcPr>
            <w:tcW w:w="723" w:type="dxa"/>
            <w:tcBorders>
              <w:top w:val="nil"/>
              <w:left w:val="nil"/>
              <w:bottom w:val="single" w:sz="4" w:space="0" w:color="auto"/>
              <w:right w:val="single" w:sz="4" w:space="0" w:color="auto"/>
            </w:tcBorders>
            <w:shd w:val="clear" w:color="auto" w:fill="auto"/>
            <w:noWrap/>
            <w:vAlign w:val="bottom"/>
            <w:hideMark/>
          </w:tcPr>
          <w:p w14:paraId="608EC74D"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37%</w:t>
            </w:r>
          </w:p>
        </w:tc>
      </w:tr>
      <w:tr w:rsidR="0016274D" w:rsidRPr="0016274D" w14:paraId="595BB8BD" w14:textId="77777777" w:rsidTr="000431DC">
        <w:trPr>
          <w:trHeight w:val="315"/>
        </w:trPr>
        <w:tc>
          <w:tcPr>
            <w:tcW w:w="4148" w:type="dxa"/>
            <w:tcBorders>
              <w:top w:val="nil"/>
              <w:left w:val="single" w:sz="4" w:space="0" w:color="auto"/>
              <w:bottom w:val="single" w:sz="4" w:space="0" w:color="auto"/>
              <w:right w:val="single" w:sz="4" w:space="0" w:color="auto"/>
            </w:tcBorders>
            <w:shd w:val="clear" w:color="000000" w:fill="D9E1F2"/>
            <w:noWrap/>
            <w:vAlign w:val="bottom"/>
            <w:hideMark/>
          </w:tcPr>
          <w:p w14:paraId="454EC142" w14:textId="77777777" w:rsidR="0016274D" w:rsidRPr="0016274D" w:rsidRDefault="0016274D" w:rsidP="0016274D">
            <w:pPr>
              <w:ind w:firstLineChars="100" w:firstLine="200"/>
              <w:rPr>
                <w:rFonts w:ascii="VIC" w:hAnsi="VIC"/>
                <w:color w:val="000000"/>
                <w:lang w:eastAsia="en-AU"/>
              </w:rPr>
            </w:pPr>
            <w:r w:rsidRPr="0016274D">
              <w:rPr>
                <w:rFonts w:ascii="VIC" w:hAnsi="VIC"/>
                <w:color w:val="000000"/>
                <w:lang w:eastAsia="en-AU"/>
              </w:rPr>
              <w:t>Orders revoked</w:t>
            </w:r>
          </w:p>
        </w:tc>
        <w:tc>
          <w:tcPr>
            <w:tcW w:w="1011" w:type="dxa"/>
            <w:tcBorders>
              <w:top w:val="nil"/>
              <w:left w:val="nil"/>
              <w:bottom w:val="single" w:sz="4" w:space="0" w:color="auto"/>
              <w:right w:val="single" w:sz="4" w:space="0" w:color="auto"/>
            </w:tcBorders>
            <w:shd w:val="clear" w:color="auto" w:fill="auto"/>
            <w:noWrap/>
            <w:vAlign w:val="bottom"/>
            <w:hideMark/>
          </w:tcPr>
          <w:p w14:paraId="7958DCF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417</w:t>
            </w:r>
          </w:p>
        </w:tc>
        <w:tc>
          <w:tcPr>
            <w:tcW w:w="723" w:type="dxa"/>
            <w:tcBorders>
              <w:top w:val="nil"/>
              <w:left w:val="nil"/>
              <w:bottom w:val="single" w:sz="4" w:space="0" w:color="auto"/>
              <w:right w:val="single" w:sz="4" w:space="0" w:color="auto"/>
            </w:tcBorders>
            <w:shd w:val="clear" w:color="auto" w:fill="auto"/>
            <w:noWrap/>
            <w:vAlign w:val="bottom"/>
            <w:hideMark/>
          </w:tcPr>
          <w:p w14:paraId="6122B1D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8%</w:t>
            </w:r>
          </w:p>
        </w:tc>
        <w:tc>
          <w:tcPr>
            <w:tcW w:w="1011" w:type="dxa"/>
            <w:tcBorders>
              <w:top w:val="nil"/>
              <w:left w:val="nil"/>
              <w:bottom w:val="single" w:sz="4" w:space="0" w:color="auto"/>
              <w:right w:val="single" w:sz="4" w:space="0" w:color="auto"/>
            </w:tcBorders>
            <w:shd w:val="clear" w:color="auto" w:fill="auto"/>
            <w:noWrap/>
            <w:vAlign w:val="bottom"/>
            <w:hideMark/>
          </w:tcPr>
          <w:p w14:paraId="0B0DA6E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358</w:t>
            </w:r>
          </w:p>
        </w:tc>
        <w:tc>
          <w:tcPr>
            <w:tcW w:w="723" w:type="dxa"/>
            <w:tcBorders>
              <w:top w:val="nil"/>
              <w:left w:val="nil"/>
              <w:bottom w:val="single" w:sz="4" w:space="0" w:color="auto"/>
              <w:right w:val="single" w:sz="4" w:space="0" w:color="auto"/>
            </w:tcBorders>
            <w:shd w:val="clear" w:color="auto" w:fill="auto"/>
            <w:noWrap/>
            <w:vAlign w:val="bottom"/>
            <w:hideMark/>
          </w:tcPr>
          <w:p w14:paraId="25C7BF6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w:t>
            </w:r>
          </w:p>
        </w:tc>
        <w:tc>
          <w:tcPr>
            <w:tcW w:w="1011" w:type="dxa"/>
            <w:tcBorders>
              <w:top w:val="nil"/>
              <w:left w:val="nil"/>
              <w:bottom w:val="single" w:sz="4" w:space="0" w:color="auto"/>
              <w:right w:val="single" w:sz="4" w:space="0" w:color="auto"/>
            </w:tcBorders>
            <w:shd w:val="clear" w:color="auto" w:fill="auto"/>
            <w:noWrap/>
            <w:vAlign w:val="bottom"/>
            <w:hideMark/>
          </w:tcPr>
          <w:p w14:paraId="7B07D9EA"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371</w:t>
            </w:r>
          </w:p>
        </w:tc>
        <w:tc>
          <w:tcPr>
            <w:tcW w:w="723" w:type="dxa"/>
            <w:tcBorders>
              <w:top w:val="nil"/>
              <w:left w:val="nil"/>
              <w:bottom w:val="single" w:sz="4" w:space="0" w:color="auto"/>
              <w:right w:val="single" w:sz="4" w:space="0" w:color="auto"/>
            </w:tcBorders>
            <w:shd w:val="clear" w:color="auto" w:fill="auto"/>
            <w:noWrap/>
            <w:vAlign w:val="bottom"/>
            <w:hideMark/>
          </w:tcPr>
          <w:p w14:paraId="773FE8F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w:t>
            </w:r>
          </w:p>
        </w:tc>
        <w:tc>
          <w:tcPr>
            <w:tcW w:w="1011" w:type="dxa"/>
            <w:tcBorders>
              <w:top w:val="nil"/>
              <w:left w:val="nil"/>
              <w:bottom w:val="single" w:sz="4" w:space="0" w:color="auto"/>
              <w:right w:val="single" w:sz="4" w:space="0" w:color="auto"/>
            </w:tcBorders>
            <w:shd w:val="clear" w:color="auto" w:fill="auto"/>
            <w:noWrap/>
            <w:vAlign w:val="bottom"/>
            <w:hideMark/>
          </w:tcPr>
          <w:p w14:paraId="69D9D280"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340</w:t>
            </w:r>
          </w:p>
        </w:tc>
        <w:tc>
          <w:tcPr>
            <w:tcW w:w="723" w:type="dxa"/>
            <w:tcBorders>
              <w:top w:val="nil"/>
              <w:left w:val="nil"/>
              <w:bottom w:val="single" w:sz="4" w:space="0" w:color="auto"/>
              <w:right w:val="single" w:sz="4" w:space="0" w:color="auto"/>
            </w:tcBorders>
            <w:shd w:val="clear" w:color="auto" w:fill="auto"/>
            <w:noWrap/>
            <w:vAlign w:val="bottom"/>
            <w:hideMark/>
          </w:tcPr>
          <w:p w14:paraId="646D794D"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w:t>
            </w:r>
          </w:p>
        </w:tc>
        <w:tc>
          <w:tcPr>
            <w:tcW w:w="1011" w:type="dxa"/>
            <w:tcBorders>
              <w:top w:val="nil"/>
              <w:left w:val="nil"/>
              <w:bottom w:val="single" w:sz="4" w:space="0" w:color="auto"/>
              <w:right w:val="single" w:sz="4" w:space="0" w:color="auto"/>
            </w:tcBorders>
            <w:shd w:val="clear" w:color="auto" w:fill="auto"/>
            <w:noWrap/>
            <w:vAlign w:val="bottom"/>
            <w:hideMark/>
          </w:tcPr>
          <w:p w14:paraId="56D36207"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500</w:t>
            </w:r>
          </w:p>
        </w:tc>
        <w:tc>
          <w:tcPr>
            <w:tcW w:w="723" w:type="dxa"/>
            <w:tcBorders>
              <w:top w:val="nil"/>
              <w:left w:val="nil"/>
              <w:bottom w:val="single" w:sz="4" w:space="0" w:color="auto"/>
              <w:right w:val="single" w:sz="4" w:space="0" w:color="auto"/>
            </w:tcBorders>
            <w:shd w:val="clear" w:color="auto" w:fill="auto"/>
            <w:noWrap/>
            <w:vAlign w:val="bottom"/>
            <w:hideMark/>
          </w:tcPr>
          <w:p w14:paraId="06648555"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7%</w:t>
            </w:r>
          </w:p>
        </w:tc>
      </w:tr>
      <w:tr w:rsidR="0016274D" w:rsidRPr="0016274D" w14:paraId="78AAFB2A" w14:textId="77777777" w:rsidTr="000431DC">
        <w:trPr>
          <w:trHeight w:val="315"/>
        </w:trPr>
        <w:tc>
          <w:tcPr>
            <w:tcW w:w="4148" w:type="dxa"/>
            <w:tcBorders>
              <w:top w:val="nil"/>
              <w:left w:val="single" w:sz="4" w:space="0" w:color="auto"/>
              <w:bottom w:val="single" w:sz="4" w:space="0" w:color="auto"/>
              <w:right w:val="single" w:sz="4" w:space="0" w:color="auto"/>
            </w:tcBorders>
            <w:shd w:val="clear" w:color="000000" w:fill="D9E1F2"/>
            <w:noWrap/>
            <w:vAlign w:val="bottom"/>
            <w:hideMark/>
          </w:tcPr>
          <w:p w14:paraId="2ECB009B" w14:textId="77777777" w:rsidR="0016274D" w:rsidRPr="0016274D" w:rsidRDefault="0016274D" w:rsidP="0016274D">
            <w:pPr>
              <w:ind w:firstLineChars="100" w:firstLine="200"/>
              <w:rPr>
                <w:rFonts w:ascii="VIC" w:hAnsi="VIC"/>
                <w:color w:val="000000"/>
                <w:lang w:eastAsia="en-AU"/>
              </w:rPr>
            </w:pPr>
            <w:r w:rsidRPr="0016274D">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3CE2FAE6"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5,329</w:t>
            </w:r>
          </w:p>
        </w:tc>
        <w:tc>
          <w:tcPr>
            <w:tcW w:w="723" w:type="dxa"/>
            <w:tcBorders>
              <w:top w:val="nil"/>
              <w:left w:val="nil"/>
              <w:bottom w:val="single" w:sz="4" w:space="0" w:color="auto"/>
              <w:right w:val="single" w:sz="4" w:space="0" w:color="auto"/>
            </w:tcBorders>
            <w:shd w:val="clear" w:color="auto" w:fill="auto"/>
            <w:noWrap/>
            <w:vAlign w:val="bottom"/>
            <w:hideMark/>
          </w:tcPr>
          <w:p w14:paraId="6AC0130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5A8078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5,960</w:t>
            </w:r>
          </w:p>
        </w:tc>
        <w:tc>
          <w:tcPr>
            <w:tcW w:w="723" w:type="dxa"/>
            <w:tcBorders>
              <w:top w:val="nil"/>
              <w:left w:val="nil"/>
              <w:bottom w:val="single" w:sz="4" w:space="0" w:color="auto"/>
              <w:right w:val="single" w:sz="4" w:space="0" w:color="auto"/>
            </w:tcBorders>
            <w:shd w:val="clear" w:color="auto" w:fill="auto"/>
            <w:noWrap/>
            <w:vAlign w:val="bottom"/>
            <w:hideMark/>
          </w:tcPr>
          <w:p w14:paraId="7A36BC02"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20D7885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6,296</w:t>
            </w:r>
          </w:p>
        </w:tc>
        <w:tc>
          <w:tcPr>
            <w:tcW w:w="723" w:type="dxa"/>
            <w:tcBorders>
              <w:top w:val="nil"/>
              <w:left w:val="nil"/>
              <w:bottom w:val="single" w:sz="4" w:space="0" w:color="auto"/>
              <w:right w:val="single" w:sz="4" w:space="0" w:color="auto"/>
            </w:tcBorders>
            <w:shd w:val="clear" w:color="auto" w:fill="auto"/>
            <w:noWrap/>
            <w:vAlign w:val="bottom"/>
            <w:hideMark/>
          </w:tcPr>
          <w:p w14:paraId="079770D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57D1ABA5"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6,467</w:t>
            </w:r>
          </w:p>
        </w:tc>
        <w:tc>
          <w:tcPr>
            <w:tcW w:w="723" w:type="dxa"/>
            <w:tcBorders>
              <w:top w:val="nil"/>
              <w:left w:val="nil"/>
              <w:bottom w:val="single" w:sz="4" w:space="0" w:color="auto"/>
              <w:right w:val="single" w:sz="4" w:space="0" w:color="auto"/>
            </w:tcBorders>
            <w:shd w:val="clear" w:color="auto" w:fill="auto"/>
            <w:noWrap/>
            <w:vAlign w:val="bottom"/>
            <w:hideMark/>
          </w:tcPr>
          <w:p w14:paraId="21B2BF3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15E9ED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6,849</w:t>
            </w:r>
          </w:p>
        </w:tc>
        <w:tc>
          <w:tcPr>
            <w:tcW w:w="723" w:type="dxa"/>
            <w:tcBorders>
              <w:top w:val="nil"/>
              <w:left w:val="nil"/>
              <w:bottom w:val="single" w:sz="4" w:space="0" w:color="auto"/>
              <w:right w:val="single" w:sz="4" w:space="0" w:color="auto"/>
            </w:tcBorders>
            <w:shd w:val="clear" w:color="auto" w:fill="auto"/>
            <w:noWrap/>
            <w:vAlign w:val="bottom"/>
            <w:hideMark/>
          </w:tcPr>
          <w:p w14:paraId="06013DC2"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r>
    </w:tbl>
    <w:p w14:paraId="5272633B" w14:textId="3A701C5F" w:rsidR="0016274D" w:rsidRDefault="0016274D" w:rsidP="000431DC">
      <w:pPr>
        <w:spacing w:after="200" w:line="276" w:lineRule="auto"/>
        <w:ind w:left="1440"/>
        <w:rPr>
          <w:rFonts w:asciiTheme="minorHAnsi" w:eastAsiaTheme="minorHAnsi" w:hAnsiTheme="minorHAnsi" w:cstheme="minorBidi"/>
          <w:sz w:val="22"/>
          <w:szCs w:val="22"/>
        </w:rPr>
      </w:pPr>
    </w:p>
    <w:tbl>
      <w:tblPr>
        <w:tblW w:w="10753" w:type="dxa"/>
        <w:tblInd w:w="1440" w:type="dxa"/>
        <w:tblLook w:val="04A0" w:firstRow="1" w:lastRow="0" w:firstColumn="1" w:lastColumn="0" w:noHBand="0" w:noVBand="1"/>
      </w:tblPr>
      <w:tblGrid>
        <w:gridCol w:w="2070"/>
        <w:gridCol w:w="1011"/>
        <w:gridCol w:w="723"/>
        <w:gridCol w:w="1011"/>
        <w:gridCol w:w="723"/>
        <w:gridCol w:w="1011"/>
        <w:gridCol w:w="723"/>
        <w:gridCol w:w="1011"/>
        <w:gridCol w:w="723"/>
        <w:gridCol w:w="1011"/>
        <w:gridCol w:w="736"/>
      </w:tblGrid>
      <w:tr w:rsidR="0016274D" w:rsidRPr="0016274D" w14:paraId="1AE114E6" w14:textId="77777777" w:rsidTr="000431DC">
        <w:trPr>
          <w:trHeight w:val="285"/>
        </w:trPr>
        <w:tc>
          <w:tcPr>
            <w:tcW w:w="2070"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bottom"/>
            <w:hideMark/>
          </w:tcPr>
          <w:p w14:paraId="75EF05B1" w14:textId="77777777" w:rsidR="0016274D" w:rsidRPr="0016274D" w:rsidRDefault="0016274D" w:rsidP="0016274D">
            <w:pPr>
              <w:ind w:firstLineChars="100" w:firstLine="221"/>
              <w:rPr>
                <w:rFonts w:ascii="VIC" w:hAnsi="VIC"/>
                <w:b/>
                <w:bCs/>
                <w:color w:val="000000"/>
                <w:sz w:val="22"/>
                <w:szCs w:val="22"/>
                <w:lang w:eastAsia="en-AU"/>
              </w:rPr>
            </w:pPr>
            <w:r w:rsidRPr="0016274D">
              <w:rPr>
                <w:rFonts w:ascii="VIC" w:hAnsi="VIC"/>
                <w:b/>
                <w:bCs/>
                <w:color w:val="000000"/>
                <w:sz w:val="22"/>
                <w:szCs w:val="22"/>
                <w:lang w:eastAsia="en-AU"/>
              </w:rPr>
              <w:t>Gender</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DBA5F9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21F233A5"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3B40A4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1/7/2016 - 30/6/2017</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0CFBD8C9"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1/7/2017 - 30/6/2018</w:t>
            </w:r>
          </w:p>
        </w:tc>
        <w:tc>
          <w:tcPr>
            <w:tcW w:w="1747"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34B83BF6"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1/6/2018 - 31/5/2019</w:t>
            </w:r>
          </w:p>
        </w:tc>
      </w:tr>
      <w:tr w:rsidR="0016274D" w:rsidRPr="0016274D" w14:paraId="5957A607" w14:textId="77777777" w:rsidTr="000431DC">
        <w:trPr>
          <w:trHeight w:val="285"/>
        </w:trPr>
        <w:tc>
          <w:tcPr>
            <w:tcW w:w="2070" w:type="dxa"/>
            <w:vMerge/>
            <w:tcBorders>
              <w:top w:val="single" w:sz="4" w:space="0" w:color="auto"/>
              <w:left w:val="single" w:sz="4" w:space="0" w:color="auto"/>
              <w:bottom w:val="single" w:sz="4" w:space="0" w:color="000000"/>
              <w:right w:val="single" w:sz="4" w:space="0" w:color="auto"/>
            </w:tcBorders>
            <w:vAlign w:val="center"/>
            <w:hideMark/>
          </w:tcPr>
          <w:p w14:paraId="47EB8ECD" w14:textId="77777777" w:rsidR="0016274D" w:rsidRPr="0016274D" w:rsidRDefault="0016274D" w:rsidP="0016274D">
            <w:pPr>
              <w:rPr>
                <w:rFonts w:ascii="VIC" w:hAnsi="VIC"/>
                <w:b/>
                <w:bCs/>
                <w:color w:val="000000"/>
                <w:sz w:val="22"/>
                <w:szCs w:val="22"/>
                <w:lang w:eastAsia="en-AU"/>
              </w:rPr>
            </w:pPr>
          </w:p>
        </w:tc>
        <w:tc>
          <w:tcPr>
            <w:tcW w:w="1011" w:type="dxa"/>
            <w:tcBorders>
              <w:top w:val="nil"/>
              <w:left w:val="nil"/>
              <w:bottom w:val="single" w:sz="4" w:space="0" w:color="auto"/>
              <w:right w:val="single" w:sz="4" w:space="0" w:color="auto"/>
            </w:tcBorders>
            <w:shd w:val="clear" w:color="000000" w:fill="D9E1F2"/>
            <w:noWrap/>
            <w:vAlign w:val="bottom"/>
            <w:hideMark/>
          </w:tcPr>
          <w:p w14:paraId="32D220B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423F03C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06817CB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309AE0A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40AA6FB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658DA18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057A2876"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3A6EF2B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4D62F52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36" w:type="dxa"/>
            <w:tcBorders>
              <w:top w:val="nil"/>
              <w:left w:val="nil"/>
              <w:bottom w:val="single" w:sz="4" w:space="0" w:color="auto"/>
              <w:right w:val="single" w:sz="4" w:space="0" w:color="auto"/>
            </w:tcBorders>
            <w:shd w:val="clear" w:color="000000" w:fill="D9E1F2"/>
            <w:noWrap/>
            <w:vAlign w:val="bottom"/>
            <w:hideMark/>
          </w:tcPr>
          <w:p w14:paraId="6863D7B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r>
      <w:tr w:rsidR="0016274D" w:rsidRPr="0016274D" w14:paraId="36B0CDFF" w14:textId="77777777" w:rsidTr="000431DC">
        <w:trPr>
          <w:trHeight w:val="315"/>
        </w:trPr>
        <w:tc>
          <w:tcPr>
            <w:tcW w:w="10753" w:type="dxa"/>
            <w:gridSpan w:val="11"/>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128941DF" w14:textId="77777777" w:rsidR="0016274D" w:rsidRPr="0016274D" w:rsidRDefault="0016274D" w:rsidP="0016274D">
            <w:pPr>
              <w:rPr>
                <w:rFonts w:ascii="VIC" w:hAnsi="VIC"/>
                <w:i/>
                <w:iCs/>
                <w:color w:val="000000"/>
                <w:lang w:eastAsia="en-AU"/>
              </w:rPr>
            </w:pPr>
            <w:r w:rsidRPr="0016274D">
              <w:rPr>
                <w:rFonts w:ascii="VIC" w:hAnsi="VIC"/>
                <w:i/>
                <w:iCs/>
                <w:color w:val="000000"/>
                <w:lang w:eastAsia="en-AU"/>
              </w:rPr>
              <w:t>Treatment Order hearings</w:t>
            </w:r>
          </w:p>
        </w:tc>
      </w:tr>
      <w:tr w:rsidR="0016274D" w:rsidRPr="0016274D" w14:paraId="5DF3FB4E" w14:textId="77777777" w:rsidTr="000431DC">
        <w:trPr>
          <w:trHeight w:val="285"/>
        </w:trPr>
        <w:tc>
          <w:tcPr>
            <w:tcW w:w="2070" w:type="dxa"/>
            <w:tcBorders>
              <w:top w:val="nil"/>
              <w:left w:val="single" w:sz="4" w:space="0" w:color="auto"/>
              <w:bottom w:val="single" w:sz="4" w:space="0" w:color="auto"/>
              <w:right w:val="single" w:sz="4" w:space="0" w:color="auto"/>
            </w:tcBorders>
            <w:shd w:val="clear" w:color="000000" w:fill="D9E1F2"/>
            <w:noWrap/>
            <w:vAlign w:val="bottom"/>
            <w:hideMark/>
          </w:tcPr>
          <w:p w14:paraId="37DB7C24" w14:textId="77777777" w:rsidR="0016274D" w:rsidRPr="0016274D" w:rsidRDefault="0016274D" w:rsidP="0016274D">
            <w:pPr>
              <w:ind w:firstLineChars="200" w:firstLine="400"/>
              <w:rPr>
                <w:rFonts w:ascii="VIC" w:hAnsi="VIC"/>
                <w:color w:val="000000"/>
                <w:lang w:eastAsia="en-AU"/>
              </w:rPr>
            </w:pPr>
            <w:r w:rsidRPr="0016274D">
              <w:rPr>
                <w:rFonts w:ascii="VIC" w:hAnsi="VIC"/>
                <w:color w:val="000000"/>
                <w:lang w:eastAsia="en-AU"/>
              </w:rPr>
              <w:t>Female</w:t>
            </w:r>
          </w:p>
        </w:tc>
        <w:tc>
          <w:tcPr>
            <w:tcW w:w="1011" w:type="dxa"/>
            <w:tcBorders>
              <w:top w:val="nil"/>
              <w:left w:val="nil"/>
              <w:bottom w:val="single" w:sz="4" w:space="0" w:color="auto"/>
              <w:right w:val="single" w:sz="4" w:space="0" w:color="auto"/>
            </w:tcBorders>
            <w:shd w:val="clear" w:color="auto" w:fill="auto"/>
            <w:noWrap/>
            <w:vAlign w:val="bottom"/>
            <w:hideMark/>
          </w:tcPr>
          <w:p w14:paraId="7A363602"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2,060</w:t>
            </w:r>
          </w:p>
        </w:tc>
        <w:tc>
          <w:tcPr>
            <w:tcW w:w="723" w:type="dxa"/>
            <w:tcBorders>
              <w:top w:val="nil"/>
              <w:left w:val="nil"/>
              <w:bottom w:val="single" w:sz="4" w:space="0" w:color="auto"/>
              <w:right w:val="single" w:sz="4" w:space="0" w:color="auto"/>
            </w:tcBorders>
            <w:shd w:val="clear" w:color="auto" w:fill="auto"/>
            <w:noWrap/>
            <w:vAlign w:val="bottom"/>
            <w:hideMark/>
          </w:tcPr>
          <w:p w14:paraId="0CC2EF2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39%</w:t>
            </w:r>
          </w:p>
        </w:tc>
        <w:tc>
          <w:tcPr>
            <w:tcW w:w="1011" w:type="dxa"/>
            <w:tcBorders>
              <w:top w:val="nil"/>
              <w:left w:val="nil"/>
              <w:bottom w:val="single" w:sz="4" w:space="0" w:color="auto"/>
              <w:right w:val="single" w:sz="4" w:space="0" w:color="auto"/>
            </w:tcBorders>
            <w:shd w:val="clear" w:color="auto" w:fill="auto"/>
            <w:noWrap/>
            <w:vAlign w:val="bottom"/>
            <w:hideMark/>
          </w:tcPr>
          <w:p w14:paraId="2D5C76F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2,298</w:t>
            </w:r>
          </w:p>
        </w:tc>
        <w:tc>
          <w:tcPr>
            <w:tcW w:w="723" w:type="dxa"/>
            <w:tcBorders>
              <w:top w:val="nil"/>
              <w:left w:val="nil"/>
              <w:bottom w:val="single" w:sz="4" w:space="0" w:color="auto"/>
              <w:right w:val="single" w:sz="4" w:space="0" w:color="auto"/>
            </w:tcBorders>
            <w:shd w:val="clear" w:color="auto" w:fill="auto"/>
            <w:noWrap/>
            <w:vAlign w:val="bottom"/>
            <w:hideMark/>
          </w:tcPr>
          <w:p w14:paraId="4F4CC17D"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39%</w:t>
            </w:r>
          </w:p>
        </w:tc>
        <w:tc>
          <w:tcPr>
            <w:tcW w:w="1011" w:type="dxa"/>
            <w:tcBorders>
              <w:top w:val="nil"/>
              <w:left w:val="nil"/>
              <w:bottom w:val="single" w:sz="4" w:space="0" w:color="auto"/>
              <w:right w:val="single" w:sz="4" w:space="0" w:color="auto"/>
            </w:tcBorders>
            <w:shd w:val="clear" w:color="auto" w:fill="auto"/>
            <w:noWrap/>
            <w:vAlign w:val="bottom"/>
            <w:hideMark/>
          </w:tcPr>
          <w:p w14:paraId="4EA7B77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2,430</w:t>
            </w:r>
          </w:p>
        </w:tc>
        <w:tc>
          <w:tcPr>
            <w:tcW w:w="723" w:type="dxa"/>
            <w:tcBorders>
              <w:top w:val="nil"/>
              <w:left w:val="nil"/>
              <w:bottom w:val="single" w:sz="4" w:space="0" w:color="auto"/>
              <w:right w:val="single" w:sz="4" w:space="0" w:color="auto"/>
            </w:tcBorders>
            <w:shd w:val="clear" w:color="auto" w:fill="auto"/>
            <w:noWrap/>
            <w:vAlign w:val="bottom"/>
            <w:hideMark/>
          </w:tcPr>
          <w:p w14:paraId="133749D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39%</w:t>
            </w:r>
          </w:p>
        </w:tc>
        <w:tc>
          <w:tcPr>
            <w:tcW w:w="1011" w:type="dxa"/>
            <w:tcBorders>
              <w:top w:val="nil"/>
              <w:left w:val="nil"/>
              <w:bottom w:val="single" w:sz="4" w:space="0" w:color="auto"/>
              <w:right w:val="single" w:sz="4" w:space="0" w:color="auto"/>
            </w:tcBorders>
            <w:shd w:val="clear" w:color="auto" w:fill="auto"/>
            <w:noWrap/>
            <w:vAlign w:val="bottom"/>
            <w:hideMark/>
          </w:tcPr>
          <w:p w14:paraId="4B19B57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2,477</w:t>
            </w:r>
          </w:p>
        </w:tc>
        <w:tc>
          <w:tcPr>
            <w:tcW w:w="723" w:type="dxa"/>
            <w:tcBorders>
              <w:top w:val="nil"/>
              <w:left w:val="nil"/>
              <w:bottom w:val="single" w:sz="4" w:space="0" w:color="auto"/>
              <w:right w:val="single" w:sz="4" w:space="0" w:color="auto"/>
            </w:tcBorders>
            <w:shd w:val="clear" w:color="auto" w:fill="auto"/>
            <w:noWrap/>
            <w:vAlign w:val="bottom"/>
            <w:hideMark/>
          </w:tcPr>
          <w:p w14:paraId="3453A50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38%</w:t>
            </w:r>
          </w:p>
        </w:tc>
        <w:tc>
          <w:tcPr>
            <w:tcW w:w="1011" w:type="dxa"/>
            <w:tcBorders>
              <w:top w:val="nil"/>
              <w:left w:val="nil"/>
              <w:bottom w:val="single" w:sz="4" w:space="0" w:color="auto"/>
              <w:right w:val="single" w:sz="4" w:space="0" w:color="auto"/>
            </w:tcBorders>
            <w:shd w:val="clear" w:color="auto" w:fill="auto"/>
            <w:noWrap/>
            <w:vAlign w:val="bottom"/>
            <w:hideMark/>
          </w:tcPr>
          <w:p w14:paraId="07EF78C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2,615</w:t>
            </w:r>
          </w:p>
        </w:tc>
        <w:tc>
          <w:tcPr>
            <w:tcW w:w="736" w:type="dxa"/>
            <w:tcBorders>
              <w:top w:val="nil"/>
              <w:left w:val="nil"/>
              <w:bottom w:val="single" w:sz="4" w:space="0" w:color="auto"/>
              <w:right w:val="single" w:sz="4" w:space="0" w:color="auto"/>
            </w:tcBorders>
            <w:shd w:val="clear" w:color="auto" w:fill="auto"/>
            <w:noWrap/>
            <w:vAlign w:val="bottom"/>
            <w:hideMark/>
          </w:tcPr>
          <w:p w14:paraId="08F945B6"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38%</w:t>
            </w:r>
          </w:p>
        </w:tc>
      </w:tr>
      <w:tr w:rsidR="0016274D" w:rsidRPr="0016274D" w14:paraId="14E2C84F" w14:textId="77777777" w:rsidTr="000431DC">
        <w:trPr>
          <w:trHeight w:val="285"/>
        </w:trPr>
        <w:tc>
          <w:tcPr>
            <w:tcW w:w="2070" w:type="dxa"/>
            <w:tcBorders>
              <w:top w:val="nil"/>
              <w:left w:val="single" w:sz="4" w:space="0" w:color="auto"/>
              <w:bottom w:val="single" w:sz="4" w:space="0" w:color="auto"/>
              <w:right w:val="single" w:sz="4" w:space="0" w:color="auto"/>
            </w:tcBorders>
            <w:shd w:val="clear" w:color="000000" w:fill="D9E1F2"/>
            <w:noWrap/>
            <w:vAlign w:val="bottom"/>
            <w:hideMark/>
          </w:tcPr>
          <w:p w14:paraId="73FCD545" w14:textId="77777777" w:rsidR="0016274D" w:rsidRPr="0016274D" w:rsidRDefault="0016274D" w:rsidP="0016274D">
            <w:pPr>
              <w:ind w:firstLineChars="200" w:firstLine="400"/>
              <w:rPr>
                <w:rFonts w:ascii="VIC" w:hAnsi="VIC"/>
                <w:color w:val="000000"/>
                <w:lang w:eastAsia="en-AU"/>
              </w:rPr>
            </w:pPr>
            <w:r w:rsidRPr="0016274D">
              <w:rPr>
                <w:rFonts w:ascii="VIC" w:hAnsi="VIC"/>
                <w:color w:val="000000"/>
                <w:lang w:eastAsia="en-AU"/>
              </w:rPr>
              <w:t>Male</w:t>
            </w:r>
          </w:p>
        </w:tc>
        <w:tc>
          <w:tcPr>
            <w:tcW w:w="1011" w:type="dxa"/>
            <w:tcBorders>
              <w:top w:val="nil"/>
              <w:left w:val="nil"/>
              <w:bottom w:val="single" w:sz="4" w:space="0" w:color="auto"/>
              <w:right w:val="single" w:sz="4" w:space="0" w:color="auto"/>
            </w:tcBorders>
            <w:shd w:val="clear" w:color="auto" w:fill="auto"/>
            <w:noWrap/>
            <w:vAlign w:val="bottom"/>
            <w:hideMark/>
          </w:tcPr>
          <w:p w14:paraId="458EB486"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3,251</w:t>
            </w:r>
          </w:p>
        </w:tc>
        <w:tc>
          <w:tcPr>
            <w:tcW w:w="723" w:type="dxa"/>
            <w:tcBorders>
              <w:top w:val="nil"/>
              <w:left w:val="nil"/>
              <w:bottom w:val="single" w:sz="4" w:space="0" w:color="auto"/>
              <w:right w:val="single" w:sz="4" w:space="0" w:color="auto"/>
            </w:tcBorders>
            <w:shd w:val="clear" w:color="auto" w:fill="auto"/>
            <w:noWrap/>
            <w:vAlign w:val="bottom"/>
            <w:hideMark/>
          </w:tcPr>
          <w:p w14:paraId="0EB0474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61%</w:t>
            </w:r>
          </w:p>
        </w:tc>
        <w:tc>
          <w:tcPr>
            <w:tcW w:w="1011" w:type="dxa"/>
            <w:tcBorders>
              <w:top w:val="nil"/>
              <w:left w:val="nil"/>
              <w:bottom w:val="single" w:sz="4" w:space="0" w:color="auto"/>
              <w:right w:val="single" w:sz="4" w:space="0" w:color="auto"/>
            </w:tcBorders>
            <w:shd w:val="clear" w:color="auto" w:fill="auto"/>
            <w:noWrap/>
            <w:vAlign w:val="bottom"/>
            <w:hideMark/>
          </w:tcPr>
          <w:p w14:paraId="1BAB5D6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3,661</w:t>
            </w:r>
          </w:p>
        </w:tc>
        <w:tc>
          <w:tcPr>
            <w:tcW w:w="723" w:type="dxa"/>
            <w:tcBorders>
              <w:top w:val="nil"/>
              <w:left w:val="nil"/>
              <w:bottom w:val="single" w:sz="4" w:space="0" w:color="auto"/>
              <w:right w:val="single" w:sz="4" w:space="0" w:color="auto"/>
            </w:tcBorders>
            <w:shd w:val="clear" w:color="auto" w:fill="auto"/>
            <w:noWrap/>
            <w:vAlign w:val="bottom"/>
            <w:hideMark/>
          </w:tcPr>
          <w:p w14:paraId="182A7CB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61%</w:t>
            </w:r>
          </w:p>
        </w:tc>
        <w:tc>
          <w:tcPr>
            <w:tcW w:w="1011" w:type="dxa"/>
            <w:tcBorders>
              <w:top w:val="nil"/>
              <w:left w:val="nil"/>
              <w:bottom w:val="single" w:sz="4" w:space="0" w:color="auto"/>
              <w:right w:val="single" w:sz="4" w:space="0" w:color="auto"/>
            </w:tcBorders>
            <w:shd w:val="clear" w:color="auto" w:fill="auto"/>
            <w:noWrap/>
            <w:vAlign w:val="bottom"/>
            <w:hideMark/>
          </w:tcPr>
          <w:p w14:paraId="30FEC1C9"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3,865</w:t>
            </w:r>
          </w:p>
        </w:tc>
        <w:tc>
          <w:tcPr>
            <w:tcW w:w="723" w:type="dxa"/>
            <w:tcBorders>
              <w:top w:val="nil"/>
              <w:left w:val="nil"/>
              <w:bottom w:val="single" w:sz="4" w:space="0" w:color="auto"/>
              <w:right w:val="single" w:sz="4" w:space="0" w:color="auto"/>
            </w:tcBorders>
            <w:shd w:val="clear" w:color="auto" w:fill="auto"/>
            <w:noWrap/>
            <w:vAlign w:val="bottom"/>
            <w:hideMark/>
          </w:tcPr>
          <w:p w14:paraId="385CFEE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61%</w:t>
            </w:r>
          </w:p>
        </w:tc>
        <w:tc>
          <w:tcPr>
            <w:tcW w:w="1011" w:type="dxa"/>
            <w:tcBorders>
              <w:top w:val="nil"/>
              <w:left w:val="nil"/>
              <w:bottom w:val="single" w:sz="4" w:space="0" w:color="auto"/>
              <w:right w:val="single" w:sz="4" w:space="0" w:color="auto"/>
            </w:tcBorders>
            <w:shd w:val="clear" w:color="auto" w:fill="auto"/>
            <w:noWrap/>
            <w:vAlign w:val="bottom"/>
            <w:hideMark/>
          </w:tcPr>
          <w:p w14:paraId="62ACD22A"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3,989</w:t>
            </w:r>
          </w:p>
        </w:tc>
        <w:tc>
          <w:tcPr>
            <w:tcW w:w="723" w:type="dxa"/>
            <w:tcBorders>
              <w:top w:val="nil"/>
              <w:left w:val="nil"/>
              <w:bottom w:val="single" w:sz="4" w:space="0" w:color="auto"/>
              <w:right w:val="single" w:sz="4" w:space="0" w:color="auto"/>
            </w:tcBorders>
            <w:shd w:val="clear" w:color="auto" w:fill="auto"/>
            <w:noWrap/>
            <w:vAlign w:val="bottom"/>
            <w:hideMark/>
          </w:tcPr>
          <w:p w14:paraId="1B07901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62%</w:t>
            </w:r>
          </w:p>
        </w:tc>
        <w:tc>
          <w:tcPr>
            <w:tcW w:w="1011" w:type="dxa"/>
            <w:tcBorders>
              <w:top w:val="nil"/>
              <w:left w:val="nil"/>
              <w:bottom w:val="single" w:sz="4" w:space="0" w:color="auto"/>
              <w:right w:val="single" w:sz="4" w:space="0" w:color="auto"/>
            </w:tcBorders>
            <w:shd w:val="clear" w:color="auto" w:fill="auto"/>
            <w:noWrap/>
            <w:vAlign w:val="bottom"/>
            <w:hideMark/>
          </w:tcPr>
          <w:p w14:paraId="0C2EAAD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4,232</w:t>
            </w:r>
          </w:p>
        </w:tc>
        <w:tc>
          <w:tcPr>
            <w:tcW w:w="736" w:type="dxa"/>
            <w:tcBorders>
              <w:top w:val="nil"/>
              <w:left w:val="nil"/>
              <w:bottom w:val="single" w:sz="4" w:space="0" w:color="auto"/>
              <w:right w:val="single" w:sz="4" w:space="0" w:color="auto"/>
            </w:tcBorders>
            <w:shd w:val="clear" w:color="auto" w:fill="auto"/>
            <w:noWrap/>
            <w:vAlign w:val="bottom"/>
            <w:hideMark/>
          </w:tcPr>
          <w:p w14:paraId="755D3C6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62%</w:t>
            </w:r>
          </w:p>
        </w:tc>
      </w:tr>
      <w:tr w:rsidR="0016274D" w:rsidRPr="0016274D" w14:paraId="76039E38" w14:textId="77777777" w:rsidTr="000431DC">
        <w:trPr>
          <w:trHeight w:val="285"/>
        </w:trPr>
        <w:tc>
          <w:tcPr>
            <w:tcW w:w="2070" w:type="dxa"/>
            <w:tcBorders>
              <w:top w:val="nil"/>
              <w:left w:val="single" w:sz="4" w:space="0" w:color="auto"/>
              <w:bottom w:val="single" w:sz="4" w:space="0" w:color="auto"/>
              <w:right w:val="single" w:sz="4" w:space="0" w:color="auto"/>
            </w:tcBorders>
            <w:shd w:val="clear" w:color="000000" w:fill="D9E1F2"/>
            <w:noWrap/>
            <w:vAlign w:val="bottom"/>
            <w:hideMark/>
          </w:tcPr>
          <w:p w14:paraId="5B2B3B77" w14:textId="77777777" w:rsidR="0016274D" w:rsidRPr="0016274D" w:rsidRDefault="0016274D" w:rsidP="0016274D">
            <w:pPr>
              <w:ind w:firstLineChars="200" w:firstLine="400"/>
              <w:rPr>
                <w:rFonts w:ascii="VIC" w:hAnsi="VIC"/>
                <w:color w:val="000000"/>
                <w:lang w:eastAsia="en-AU"/>
              </w:rPr>
            </w:pPr>
            <w:r w:rsidRPr="0016274D">
              <w:rPr>
                <w:rFonts w:ascii="VIC" w:hAnsi="VIC"/>
                <w:color w:val="000000"/>
                <w:lang w:eastAsia="en-AU"/>
              </w:rPr>
              <w:t>Non-binary</w:t>
            </w:r>
          </w:p>
        </w:tc>
        <w:tc>
          <w:tcPr>
            <w:tcW w:w="1011" w:type="dxa"/>
            <w:tcBorders>
              <w:top w:val="nil"/>
              <w:left w:val="nil"/>
              <w:bottom w:val="single" w:sz="4" w:space="0" w:color="auto"/>
              <w:right w:val="single" w:sz="4" w:space="0" w:color="auto"/>
            </w:tcBorders>
            <w:shd w:val="clear" w:color="auto" w:fill="auto"/>
            <w:noWrap/>
            <w:vAlign w:val="bottom"/>
            <w:hideMark/>
          </w:tcPr>
          <w:p w14:paraId="249529F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0</w:t>
            </w:r>
          </w:p>
        </w:tc>
        <w:tc>
          <w:tcPr>
            <w:tcW w:w="723" w:type="dxa"/>
            <w:tcBorders>
              <w:top w:val="nil"/>
              <w:left w:val="nil"/>
              <w:bottom w:val="single" w:sz="4" w:space="0" w:color="auto"/>
              <w:right w:val="single" w:sz="4" w:space="0" w:color="auto"/>
            </w:tcBorders>
            <w:shd w:val="clear" w:color="auto" w:fill="auto"/>
            <w:noWrap/>
            <w:vAlign w:val="bottom"/>
            <w:hideMark/>
          </w:tcPr>
          <w:p w14:paraId="097875A7"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0%</w:t>
            </w:r>
          </w:p>
        </w:tc>
        <w:tc>
          <w:tcPr>
            <w:tcW w:w="1011" w:type="dxa"/>
            <w:tcBorders>
              <w:top w:val="nil"/>
              <w:left w:val="nil"/>
              <w:bottom w:val="single" w:sz="4" w:space="0" w:color="auto"/>
              <w:right w:val="single" w:sz="4" w:space="0" w:color="auto"/>
            </w:tcBorders>
            <w:shd w:val="clear" w:color="auto" w:fill="auto"/>
            <w:noWrap/>
            <w:vAlign w:val="bottom"/>
            <w:hideMark/>
          </w:tcPr>
          <w:p w14:paraId="6D46379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w:t>
            </w:r>
          </w:p>
        </w:tc>
        <w:tc>
          <w:tcPr>
            <w:tcW w:w="723" w:type="dxa"/>
            <w:tcBorders>
              <w:top w:val="nil"/>
              <w:left w:val="nil"/>
              <w:bottom w:val="single" w:sz="4" w:space="0" w:color="auto"/>
              <w:right w:val="single" w:sz="4" w:space="0" w:color="auto"/>
            </w:tcBorders>
            <w:shd w:val="clear" w:color="auto" w:fill="auto"/>
            <w:noWrap/>
            <w:vAlign w:val="bottom"/>
            <w:hideMark/>
          </w:tcPr>
          <w:p w14:paraId="39D0B23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&lt; 1%</w:t>
            </w:r>
          </w:p>
        </w:tc>
        <w:tc>
          <w:tcPr>
            <w:tcW w:w="1011" w:type="dxa"/>
            <w:tcBorders>
              <w:top w:val="nil"/>
              <w:left w:val="nil"/>
              <w:bottom w:val="single" w:sz="4" w:space="0" w:color="auto"/>
              <w:right w:val="single" w:sz="4" w:space="0" w:color="auto"/>
            </w:tcBorders>
            <w:shd w:val="clear" w:color="auto" w:fill="auto"/>
            <w:noWrap/>
            <w:vAlign w:val="bottom"/>
            <w:hideMark/>
          </w:tcPr>
          <w:p w14:paraId="1650DD2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w:t>
            </w:r>
          </w:p>
        </w:tc>
        <w:tc>
          <w:tcPr>
            <w:tcW w:w="723" w:type="dxa"/>
            <w:tcBorders>
              <w:top w:val="nil"/>
              <w:left w:val="nil"/>
              <w:bottom w:val="single" w:sz="4" w:space="0" w:color="auto"/>
              <w:right w:val="single" w:sz="4" w:space="0" w:color="auto"/>
            </w:tcBorders>
            <w:shd w:val="clear" w:color="auto" w:fill="auto"/>
            <w:noWrap/>
            <w:vAlign w:val="bottom"/>
            <w:hideMark/>
          </w:tcPr>
          <w:p w14:paraId="374071AA"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&lt; 1%</w:t>
            </w:r>
          </w:p>
        </w:tc>
        <w:tc>
          <w:tcPr>
            <w:tcW w:w="1011" w:type="dxa"/>
            <w:tcBorders>
              <w:top w:val="nil"/>
              <w:left w:val="nil"/>
              <w:bottom w:val="single" w:sz="4" w:space="0" w:color="auto"/>
              <w:right w:val="single" w:sz="4" w:space="0" w:color="auto"/>
            </w:tcBorders>
            <w:shd w:val="clear" w:color="auto" w:fill="auto"/>
            <w:noWrap/>
            <w:vAlign w:val="bottom"/>
            <w:hideMark/>
          </w:tcPr>
          <w:p w14:paraId="3E555A7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w:t>
            </w:r>
          </w:p>
        </w:tc>
        <w:tc>
          <w:tcPr>
            <w:tcW w:w="723" w:type="dxa"/>
            <w:tcBorders>
              <w:top w:val="nil"/>
              <w:left w:val="nil"/>
              <w:bottom w:val="single" w:sz="4" w:space="0" w:color="auto"/>
              <w:right w:val="single" w:sz="4" w:space="0" w:color="auto"/>
            </w:tcBorders>
            <w:shd w:val="clear" w:color="auto" w:fill="auto"/>
            <w:noWrap/>
            <w:vAlign w:val="bottom"/>
            <w:hideMark/>
          </w:tcPr>
          <w:p w14:paraId="6B7BE9D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&lt; 1%</w:t>
            </w:r>
          </w:p>
        </w:tc>
        <w:tc>
          <w:tcPr>
            <w:tcW w:w="1011" w:type="dxa"/>
            <w:tcBorders>
              <w:top w:val="nil"/>
              <w:left w:val="nil"/>
              <w:bottom w:val="single" w:sz="4" w:space="0" w:color="auto"/>
              <w:right w:val="single" w:sz="4" w:space="0" w:color="auto"/>
            </w:tcBorders>
            <w:shd w:val="clear" w:color="auto" w:fill="auto"/>
            <w:noWrap/>
            <w:vAlign w:val="bottom"/>
            <w:hideMark/>
          </w:tcPr>
          <w:p w14:paraId="0BC76EF9"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2</w:t>
            </w:r>
          </w:p>
        </w:tc>
        <w:tc>
          <w:tcPr>
            <w:tcW w:w="736" w:type="dxa"/>
            <w:tcBorders>
              <w:top w:val="nil"/>
              <w:left w:val="nil"/>
              <w:bottom w:val="single" w:sz="4" w:space="0" w:color="auto"/>
              <w:right w:val="single" w:sz="4" w:space="0" w:color="auto"/>
            </w:tcBorders>
            <w:shd w:val="clear" w:color="auto" w:fill="auto"/>
            <w:noWrap/>
            <w:vAlign w:val="bottom"/>
            <w:hideMark/>
          </w:tcPr>
          <w:p w14:paraId="7CF8F60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&lt; 1%</w:t>
            </w:r>
          </w:p>
        </w:tc>
      </w:tr>
      <w:tr w:rsidR="0016274D" w:rsidRPr="0016274D" w14:paraId="4FFD26FC" w14:textId="77777777" w:rsidTr="000431DC">
        <w:trPr>
          <w:trHeight w:val="285"/>
        </w:trPr>
        <w:tc>
          <w:tcPr>
            <w:tcW w:w="2070" w:type="dxa"/>
            <w:tcBorders>
              <w:top w:val="nil"/>
              <w:left w:val="single" w:sz="4" w:space="0" w:color="auto"/>
              <w:bottom w:val="single" w:sz="4" w:space="0" w:color="auto"/>
              <w:right w:val="single" w:sz="4" w:space="0" w:color="auto"/>
            </w:tcBorders>
            <w:shd w:val="clear" w:color="000000" w:fill="D9E1F2"/>
            <w:noWrap/>
            <w:vAlign w:val="bottom"/>
            <w:hideMark/>
          </w:tcPr>
          <w:p w14:paraId="03D9BA5E" w14:textId="77777777" w:rsidR="0016274D" w:rsidRPr="0016274D" w:rsidRDefault="0016274D" w:rsidP="0016274D">
            <w:pPr>
              <w:ind w:firstLineChars="200" w:firstLine="400"/>
              <w:rPr>
                <w:rFonts w:ascii="VIC" w:hAnsi="VIC"/>
                <w:color w:val="000000"/>
                <w:lang w:eastAsia="en-AU"/>
              </w:rPr>
            </w:pPr>
            <w:r w:rsidRPr="0016274D">
              <w:rPr>
                <w:rFonts w:ascii="VIC" w:hAnsi="VIC"/>
                <w:color w:val="000000"/>
                <w:lang w:eastAsia="en-AU"/>
              </w:rPr>
              <w:t>Not recorded</w:t>
            </w:r>
          </w:p>
        </w:tc>
        <w:tc>
          <w:tcPr>
            <w:tcW w:w="1011" w:type="dxa"/>
            <w:tcBorders>
              <w:top w:val="nil"/>
              <w:left w:val="nil"/>
              <w:bottom w:val="single" w:sz="4" w:space="0" w:color="auto"/>
              <w:right w:val="single" w:sz="4" w:space="0" w:color="auto"/>
            </w:tcBorders>
            <w:shd w:val="clear" w:color="auto" w:fill="auto"/>
            <w:noWrap/>
            <w:vAlign w:val="bottom"/>
            <w:hideMark/>
          </w:tcPr>
          <w:p w14:paraId="52CF4A8A"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18</w:t>
            </w:r>
          </w:p>
        </w:tc>
        <w:tc>
          <w:tcPr>
            <w:tcW w:w="723" w:type="dxa"/>
            <w:tcBorders>
              <w:top w:val="nil"/>
              <w:left w:val="nil"/>
              <w:bottom w:val="single" w:sz="4" w:space="0" w:color="auto"/>
              <w:right w:val="single" w:sz="4" w:space="0" w:color="auto"/>
            </w:tcBorders>
            <w:shd w:val="clear" w:color="auto" w:fill="auto"/>
            <w:noWrap/>
            <w:vAlign w:val="bottom"/>
            <w:hideMark/>
          </w:tcPr>
          <w:p w14:paraId="756B784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0%</w:t>
            </w:r>
          </w:p>
        </w:tc>
        <w:tc>
          <w:tcPr>
            <w:tcW w:w="1011" w:type="dxa"/>
            <w:tcBorders>
              <w:top w:val="nil"/>
              <w:left w:val="nil"/>
              <w:bottom w:val="single" w:sz="4" w:space="0" w:color="auto"/>
              <w:right w:val="single" w:sz="4" w:space="0" w:color="auto"/>
            </w:tcBorders>
            <w:shd w:val="clear" w:color="auto" w:fill="auto"/>
            <w:noWrap/>
            <w:vAlign w:val="bottom"/>
            <w:hideMark/>
          </w:tcPr>
          <w:p w14:paraId="36F24E6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0</w:t>
            </w:r>
          </w:p>
        </w:tc>
        <w:tc>
          <w:tcPr>
            <w:tcW w:w="723" w:type="dxa"/>
            <w:tcBorders>
              <w:top w:val="nil"/>
              <w:left w:val="nil"/>
              <w:bottom w:val="single" w:sz="4" w:space="0" w:color="auto"/>
              <w:right w:val="single" w:sz="4" w:space="0" w:color="auto"/>
            </w:tcBorders>
            <w:shd w:val="clear" w:color="auto" w:fill="auto"/>
            <w:noWrap/>
            <w:vAlign w:val="bottom"/>
            <w:hideMark/>
          </w:tcPr>
          <w:p w14:paraId="08B79793"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0%</w:t>
            </w:r>
          </w:p>
        </w:tc>
        <w:tc>
          <w:tcPr>
            <w:tcW w:w="1011" w:type="dxa"/>
            <w:tcBorders>
              <w:top w:val="nil"/>
              <w:left w:val="nil"/>
              <w:bottom w:val="single" w:sz="4" w:space="0" w:color="auto"/>
              <w:right w:val="single" w:sz="4" w:space="0" w:color="auto"/>
            </w:tcBorders>
            <w:shd w:val="clear" w:color="auto" w:fill="auto"/>
            <w:noWrap/>
            <w:vAlign w:val="bottom"/>
            <w:hideMark/>
          </w:tcPr>
          <w:p w14:paraId="063E8C1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0</w:t>
            </w:r>
          </w:p>
        </w:tc>
        <w:tc>
          <w:tcPr>
            <w:tcW w:w="723" w:type="dxa"/>
            <w:tcBorders>
              <w:top w:val="nil"/>
              <w:left w:val="nil"/>
              <w:bottom w:val="single" w:sz="4" w:space="0" w:color="auto"/>
              <w:right w:val="single" w:sz="4" w:space="0" w:color="auto"/>
            </w:tcBorders>
            <w:shd w:val="clear" w:color="auto" w:fill="auto"/>
            <w:noWrap/>
            <w:vAlign w:val="bottom"/>
            <w:hideMark/>
          </w:tcPr>
          <w:p w14:paraId="28901B5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0%</w:t>
            </w:r>
          </w:p>
        </w:tc>
        <w:tc>
          <w:tcPr>
            <w:tcW w:w="1011" w:type="dxa"/>
            <w:tcBorders>
              <w:top w:val="nil"/>
              <w:left w:val="nil"/>
              <w:bottom w:val="single" w:sz="4" w:space="0" w:color="auto"/>
              <w:right w:val="single" w:sz="4" w:space="0" w:color="auto"/>
            </w:tcBorders>
            <w:shd w:val="clear" w:color="auto" w:fill="auto"/>
            <w:noWrap/>
            <w:vAlign w:val="bottom"/>
            <w:hideMark/>
          </w:tcPr>
          <w:p w14:paraId="3B7627D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0</w:t>
            </w:r>
          </w:p>
        </w:tc>
        <w:tc>
          <w:tcPr>
            <w:tcW w:w="723" w:type="dxa"/>
            <w:tcBorders>
              <w:top w:val="nil"/>
              <w:left w:val="nil"/>
              <w:bottom w:val="single" w:sz="4" w:space="0" w:color="auto"/>
              <w:right w:val="single" w:sz="4" w:space="0" w:color="auto"/>
            </w:tcBorders>
            <w:shd w:val="clear" w:color="auto" w:fill="auto"/>
            <w:noWrap/>
            <w:vAlign w:val="bottom"/>
            <w:hideMark/>
          </w:tcPr>
          <w:p w14:paraId="3EE3E66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0%</w:t>
            </w:r>
          </w:p>
        </w:tc>
        <w:tc>
          <w:tcPr>
            <w:tcW w:w="1011" w:type="dxa"/>
            <w:tcBorders>
              <w:top w:val="nil"/>
              <w:left w:val="nil"/>
              <w:bottom w:val="single" w:sz="4" w:space="0" w:color="auto"/>
              <w:right w:val="single" w:sz="4" w:space="0" w:color="auto"/>
            </w:tcBorders>
            <w:shd w:val="clear" w:color="auto" w:fill="auto"/>
            <w:noWrap/>
            <w:vAlign w:val="bottom"/>
            <w:hideMark/>
          </w:tcPr>
          <w:p w14:paraId="480BFD0D"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0</w:t>
            </w:r>
          </w:p>
        </w:tc>
        <w:tc>
          <w:tcPr>
            <w:tcW w:w="736" w:type="dxa"/>
            <w:tcBorders>
              <w:top w:val="nil"/>
              <w:left w:val="nil"/>
              <w:bottom w:val="single" w:sz="4" w:space="0" w:color="auto"/>
              <w:right w:val="single" w:sz="4" w:space="0" w:color="auto"/>
            </w:tcBorders>
            <w:shd w:val="clear" w:color="auto" w:fill="auto"/>
            <w:noWrap/>
            <w:vAlign w:val="bottom"/>
            <w:hideMark/>
          </w:tcPr>
          <w:p w14:paraId="0EF7B59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0%</w:t>
            </w:r>
          </w:p>
        </w:tc>
      </w:tr>
      <w:tr w:rsidR="0016274D" w:rsidRPr="0016274D" w14:paraId="6CFDF96A" w14:textId="77777777" w:rsidTr="000431DC">
        <w:trPr>
          <w:trHeight w:val="285"/>
        </w:trPr>
        <w:tc>
          <w:tcPr>
            <w:tcW w:w="2070" w:type="dxa"/>
            <w:tcBorders>
              <w:top w:val="nil"/>
              <w:left w:val="single" w:sz="4" w:space="0" w:color="auto"/>
              <w:bottom w:val="single" w:sz="4" w:space="0" w:color="auto"/>
              <w:right w:val="single" w:sz="4" w:space="0" w:color="auto"/>
            </w:tcBorders>
            <w:shd w:val="clear" w:color="000000" w:fill="D9E1F2"/>
            <w:noWrap/>
            <w:vAlign w:val="bottom"/>
            <w:hideMark/>
          </w:tcPr>
          <w:p w14:paraId="3DCD6AF0" w14:textId="77777777" w:rsidR="0016274D" w:rsidRPr="0016274D" w:rsidRDefault="0016274D" w:rsidP="0016274D">
            <w:pPr>
              <w:ind w:firstLineChars="200" w:firstLine="400"/>
              <w:rPr>
                <w:rFonts w:ascii="VIC" w:hAnsi="VIC"/>
                <w:color w:val="000000"/>
                <w:lang w:eastAsia="en-AU"/>
              </w:rPr>
            </w:pPr>
            <w:r w:rsidRPr="0016274D">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0C8C476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5,329</w:t>
            </w:r>
          </w:p>
        </w:tc>
        <w:tc>
          <w:tcPr>
            <w:tcW w:w="723" w:type="dxa"/>
            <w:tcBorders>
              <w:top w:val="nil"/>
              <w:left w:val="nil"/>
              <w:bottom w:val="single" w:sz="4" w:space="0" w:color="auto"/>
              <w:right w:val="single" w:sz="4" w:space="0" w:color="auto"/>
            </w:tcBorders>
            <w:shd w:val="clear" w:color="auto" w:fill="auto"/>
            <w:noWrap/>
            <w:vAlign w:val="bottom"/>
            <w:hideMark/>
          </w:tcPr>
          <w:p w14:paraId="7C9C7942"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19E4CB52"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5,960</w:t>
            </w:r>
          </w:p>
        </w:tc>
        <w:tc>
          <w:tcPr>
            <w:tcW w:w="723" w:type="dxa"/>
            <w:tcBorders>
              <w:top w:val="nil"/>
              <w:left w:val="nil"/>
              <w:bottom w:val="single" w:sz="4" w:space="0" w:color="auto"/>
              <w:right w:val="single" w:sz="4" w:space="0" w:color="auto"/>
            </w:tcBorders>
            <w:shd w:val="clear" w:color="auto" w:fill="auto"/>
            <w:noWrap/>
            <w:vAlign w:val="bottom"/>
            <w:hideMark/>
          </w:tcPr>
          <w:p w14:paraId="7958C37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5D4F41F5"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6,296</w:t>
            </w:r>
          </w:p>
        </w:tc>
        <w:tc>
          <w:tcPr>
            <w:tcW w:w="723" w:type="dxa"/>
            <w:tcBorders>
              <w:top w:val="nil"/>
              <w:left w:val="nil"/>
              <w:bottom w:val="single" w:sz="4" w:space="0" w:color="auto"/>
              <w:right w:val="single" w:sz="4" w:space="0" w:color="auto"/>
            </w:tcBorders>
            <w:shd w:val="clear" w:color="auto" w:fill="auto"/>
            <w:noWrap/>
            <w:vAlign w:val="bottom"/>
            <w:hideMark/>
          </w:tcPr>
          <w:p w14:paraId="44A247E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20ADDC23"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6,467</w:t>
            </w:r>
          </w:p>
        </w:tc>
        <w:tc>
          <w:tcPr>
            <w:tcW w:w="723" w:type="dxa"/>
            <w:tcBorders>
              <w:top w:val="nil"/>
              <w:left w:val="nil"/>
              <w:bottom w:val="single" w:sz="4" w:space="0" w:color="auto"/>
              <w:right w:val="single" w:sz="4" w:space="0" w:color="auto"/>
            </w:tcBorders>
            <w:shd w:val="clear" w:color="auto" w:fill="auto"/>
            <w:noWrap/>
            <w:vAlign w:val="bottom"/>
            <w:hideMark/>
          </w:tcPr>
          <w:p w14:paraId="48E2F56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45EDE762"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6,849</w:t>
            </w:r>
          </w:p>
        </w:tc>
        <w:tc>
          <w:tcPr>
            <w:tcW w:w="736" w:type="dxa"/>
            <w:tcBorders>
              <w:top w:val="nil"/>
              <w:left w:val="nil"/>
              <w:bottom w:val="single" w:sz="4" w:space="0" w:color="auto"/>
              <w:right w:val="single" w:sz="4" w:space="0" w:color="auto"/>
            </w:tcBorders>
            <w:shd w:val="clear" w:color="auto" w:fill="auto"/>
            <w:noWrap/>
            <w:vAlign w:val="bottom"/>
            <w:hideMark/>
          </w:tcPr>
          <w:p w14:paraId="52D2687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r>
    </w:tbl>
    <w:p w14:paraId="431782FF" w14:textId="77777777" w:rsidR="0016274D" w:rsidRPr="0016274D" w:rsidRDefault="0016274D" w:rsidP="000431DC">
      <w:pPr>
        <w:spacing w:after="200" w:line="276" w:lineRule="auto"/>
        <w:ind w:left="1440"/>
        <w:rPr>
          <w:rFonts w:asciiTheme="minorHAnsi" w:eastAsiaTheme="minorHAnsi" w:hAnsiTheme="minorHAnsi" w:cstheme="minorBidi"/>
          <w:sz w:val="22"/>
          <w:szCs w:val="22"/>
        </w:rPr>
      </w:pPr>
    </w:p>
    <w:tbl>
      <w:tblPr>
        <w:tblW w:w="11491" w:type="dxa"/>
        <w:tblInd w:w="1440" w:type="dxa"/>
        <w:tblLook w:val="04A0" w:firstRow="1" w:lastRow="0" w:firstColumn="1" w:lastColumn="0" w:noHBand="0" w:noVBand="1"/>
      </w:tblPr>
      <w:tblGrid>
        <w:gridCol w:w="2808"/>
        <w:gridCol w:w="1011"/>
        <w:gridCol w:w="723"/>
        <w:gridCol w:w="1011"/>
        <w:gridCol w:w="723"/>
        <w:gridCol w:w="1011"/>
        <w:gridCol w:w="723"/>
        <w:gridCol w:w="1011"/>
        <w:gridCol w:w="723"/>
        <w:gridCol w:w="1011"/>
        <w:gridCol w:w="723"/>
        <w:gridCol w:w="13"/>
      </w:tblGrid>
      <w:tr w:rsidR="0016274D" w:rsidRPr="0016274D" w14:paraId="2901DFA4" w14:textId="77777777" w:rsidTr="000431DC">
        <w:trPr>
          <w:gridAfter w:val="1"/>
          <w:wAfter w:w="13" w:type="dxa"/>
          <w:trHeight w:val="285"/>
        </w:trPr>
        <w:tc>
          <w:tcPr>
            <w:tcW w:w="2808"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bottom"/>
            <w:hideMark/>
          </w:tcPr>
          <w:p w14:paraId="7809436E" w14:textId="77777777" w:rsidR="0016274D" w:rsidRPr="0016274D" w:rsidRDefault="0016274D" w:rsidP="0016274D">
            <w:pPr>
              <w:ind w:firstLineChars="100" w:firstLine="221"/>
              <w:rPr>
                <w:rFonts w:ascii="VIC" w:hAnsi="VIC"/>
                <w:b/>
                <w:bCs/>
                <w:color w:val="000000"/>
                <w:sz w:val="22"/>
                <w:szCs w:val="22"/>
                <w:lang w:eastAsia="en-AU"/>
              </w:rPr>
            </w:pPr>
            <w:r w:rsidRPr="0016274D">
              <w:rPr>
                <w:rFonts w:ascii="VIC" w:hAnsi="VIC"/>
                <w:b/>
                <w:bCs/>
                <w:color w:val="000000"/>
                <w:sz w:val="22"/>
                <w:szCs w:val="22"/>
                <w:lang w:eastAsia="en-AU"/>
              </w:rPr>
              <w:t>Age</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166CC827"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64736F0"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55138CE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1/7/2016 - 30/6/2017</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A121D9D"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1/7/2017 - 30/6/2018</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5406EEB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1/6/2018 - 31/5/2019</w:t>
            </w:r>
          </w:p>
        </w:tc>
      </w:tr>
      <w:tr w:rsidR="0016274D" w:rsidRPr="0016274D" w14:paraId="06458815" w14:textId="77777777" w:rsidTr="000431DC">
        <w:trPr>
          <w:gridAfter w:val="1"/>
          <w:wAfter w:w="13" w:type="dxa"/>
          <w:trHeight w:val="285"/>
        </w:trPr>
        <w:tc>
          <w:tcPr>
            <w:tcW w:w="2808" w:type="dxa"/>
            <w:vMerge/>
            <w:tcBorders>
              <w:top w:val="single" w:sz="4" w:space="0" w:color="auto"/>
              <w:left w:val="single" w:sz="4" w:space="0" w:color="auto"/>
              <w:bottom w:val="single" w:sz="4" w:space="0" w:color="000000"/>
              <w:right w:val="single" w:sz="4" w:space="0" w:color="auto"/>
            </w:tcBorders>
            <w:vAlign w:val="center"/>
            <w:hideMark/>
          </w:tcPr>
          <w:p w14:paraId="47ED70A4" w14:textId="77777777" w:rsidR="0016274D" w:rsidRPr="0016274D" w:rsidRDefault="0016274D" w:rsidP="0016274D">
            <w:pPr>
              <w:rPr>
                <w:rFonts w:ascii="VIC" w:hAnsi="VIC"/>
                <w:b/>
                <w:bCs/>
                <w:color w:val="000000"/>
                <w:sz w:val="22"/>
                <w:szCs w:val="22"/>
                <w:lang w:eastAsia="en-AU"/>
              </w:rPr>
            </w:pPr>
          </w:p>
        </w:tc>
        <w:tc>
          <w:tcPr>
            <w:tcW w:w="1011" w:type="dxa"/>
            <w:tcBorders>
              <w:top w:val="nil"/>
              <w:left w:val="nil"/>
              <w:bottom w:val="single" w:sz="4" w:space="0" w:color="auto"/>
              <w:right w:val="single" w:sz="4" w:space="0" w:color="auto"/>
            </w:tcBorders>
            <w:shd w:val="clear" w:color="000000" w:fill="D9E1F2"/>
            <w:noWrap/>
            <w:vAlign w:val="bottom"/>
            <w:hideMark/>
          </w:tcPr>
          <w:p w14:paraId="7B072A27"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5CE90D8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73B9F64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402AA929"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3FA864E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3A34F2E6"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1C5745B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5B1B118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387BD516"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01AA888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w:t>
            </w:r>
          </w:p>
        </w:tc>
      </w:tr>
      <w:tr w:rsidR="0016274D" w:rsidRPr="0016274D" w14:paraId="0142916C" w14:textId="77777777" w:rsidTr="000431DC">
        <w:trPr>
          <w:trHeight w:val="315"/>
        </w:trPr>
        <w:tc>
          <w:tcPr>
            <w:tcW w:w="11491" w:type="dxa"/>
            <w:gridSpan w:val="12"/>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34822E9A" w14:textId="77777777" w:rsidR="0016274D" w:rsidRPr="0016274D" w:rsidRDefault="0016274D" w:rsidP="0016274D">
            <w:pPr>
              <w:rPr>
                <w:rFonts w:ascii="VIC" w:hAnsi="VIC"/>
                <w:i/>
                <w:iCs/>
                <w:color w:val="000000"/>
                <w:lang w:eastAsia="en-AU"/>
              </w:rPr>
            </w:pPr>
            <w:r w:rsidRPr="0016274D">
              <w:rPr>
                <w:rFonts w:ascii="VIC" w:hAnsi="VIC"/>
                <w:i/>
                <w:iCs/>
                <w:color w:val="000000"/>
                <w:lang w:eastAsia="en-AU"/>
              </w:rPr>
              <w:t>Treatment Order hearings</w:t>
            </w:r>
          </w:p>
        </w:tc>
      </w:tr>
      <w:tr w:rsidR="0016274D" w:rsidRPr="0016274D" w14:paraId="03278943" w14:textId="77777777" w:rsidTr="000431DC">
        <w:trPr>
          <w:gridAfter w:val="1"/>
          <w:wAfter w:w="13" w:type="dxa"/>
          <w:trHeight w:val="285"/>
        </w:trPr>
        <w:tc>
          <w:tcPr>
            <w:tcW w:w="2808" w:type="dxa"/>
            <w:tcBorders>
              <w:top w:val="nil"/>
              <w:left w:val="single" w:sz="4" w:space="0" w:color="auto"/>
              <w:bottom w:val="single" w:sz="4" w:space="0" w:color="auto"/>
              <w:right w:val="single" w:sz="4" w:space="0" w:color="auto"/>
            </w:tcBorders>
            <w:shd w:val="clear" w:color="000000" w:fill="D9E1F2"/>
            <w:noWrap/>
            <w:vAlign w:val="bottom"/>
            <w:hideMark/>
          </w:tcPr>
          <w:p w14:paraId="71D18B66" w14:textId="77777777" w:rsidR="0016274D" w:rsidRPr="0016274D" w:rsidRDefault="0016274D" w:rsidP="0016274D">
            <w:pPr>
              <w:ind w:firstLineChars="200" w:firstLine="400"/>
              <w:rPr>
                <w:rFonts w:ascii="VIC" w:hAnsi="VIC"/>
                <w:color w:val="000000"/>
                <w:lang w:eastAsia="en-AU"/>
              </w:rPr>
            </w:pPr>
            <w:r w:rsidRPr="0016274D">
              <w:rPr>
                <w:rFonts w:ascii="VIC" w:hAnsi="VIC"/>
                <w:color w:val="000000"/>
                <w:lang w:eastAsia="en-AU"/>
              </w:rPr>
              <w:t>Child (&lt; 18 years)</w:t>
            </w:r>
          </w:p>
        </w:tc>
        <w:tc>
          <w:tcPr>
            <w:tcW w:w="1011" w:type="dxa"/>
            <w:tcBorders>
              <w:top w:val="nil"/>
              <w:left w:val="nil"/>
              <w:bottom w:val="single" w:sz="4" w:space="0" w:color="auto"/>
              <w:right w:val="single" w:sz="4" w:space="0" w:color="auto"/>
            </w:tcBorders>
            <w:shd w:val="clear" w:color="auto" w:fill="auto"/>
            <w:noWrap/>
            <w:vAlign w:val="bottom"/>
            <w:hideMark/>
          </w:tcPr>
          <w:p w14:paraId="0EDDC23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69</w:t>
            </w:r>
          </w:p>
        </w:tc>
        <w:tc>
          <w:tcPr>
            <w:tcW w:w="723" w:type="dxa"/>
            <w:tcBorders>
              <w:top w:val="nil"/>
              <w:left w:val="nil"/>
              <w:bottom w:val="single" w:sz="4" w:space="0" w:color="auto"/>
              <w:right w:val="single" w:sz="4" w:space="0" w:color="auto"/>
            </w:tcBorders>
            <w:shd w:val="clear" w:color="auto" w:fill="auto"/>
            <w:noWrap/>
            <w:vAlign w:val="bottom"/>
            <w:hideMark/>
          </w:tcPr>
          <w:p w14:paraId="6C71038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w:t>
            </w:r>
          </w:p>
        </w:tc>
        <w:tc>
          <w:tcPr>
            <w:tcW w:w="1011" w:type="dxa"/>
            <w:tcBorders>
              <w:top w:val="nil"/>
              <w:left w:val="nil"/>
              <w:bottom w:val="single" w:sz="4" w:space="0" w:color="auto"/>
              <w:right w:val="single" w:sz="4" w:space="0" w:color="auto"/>
            </w:tcBorders>
            <w:shd w:val="clear" w:color="auto" w:fill="auto"/>
            <w:noWrap/>
            <w:vAlign w:val="bottom"/>
            <w:hideMark/>
          </w:tcPr>
          <w:p w14:paraId="46A272A5"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6114FAC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w:t>
            </w:r>
          </w:p>
        </w:tc>
        <w:tc>
          <w:tcPr>
            <w:tcW w:w="1011" w:type="dxa"/>
            <w:tcBorders>
              <w:top w:val="nil"/>
              <w:left w:val="nil"/>
              <w:bottom w:val="single" w:sz="4" w:space="0" w:color="auto"/>
              <w:right w:val="single" w:sz="4" w:space="0" w:color="auto"/>
            </w:tcBorders>
            <w:shd w:val="clear" w:color="auto" w:fill="auto"/>
            <w:noWrap/>
            <w:vAlign w:val="bottom"/>
            <w:hideMark/>
          </w:tcPr>
          <w:p w14:paraId="7CE5B87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58</w:t>
            </w:r>
          </w:p>
        </w:tc>
        <w:tc>
          <w:tcPr>
            <w:tcW w:w="723" w:type="dxa"/>
            <w:tcBorders>
              <w:top w:val="nil"/>
              <w:left w:val="nil"/>
              <w:bottom w:val="single" w:sz="4" w:space="0" w:color="auto"/>
              <w:right w:val="single" w:sz="4" w:space="0" w:color="auto"/>
            </w:tcBorders>
            <w:shd w:val="clear" w:color="auto" w:fill="auto"/>
            <w:noWrap/>
            <w:vAlign w:val="bottom"/>
            <w:hideMark/>
          </w:tcPr>
          <w:p w14:paraId="13E3EB4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w:t>
            </w:r>
          </w:p>
        </w:tc>
        <w:tc>
          <w:tcPr>
            <w:tcW w:w="1011" w:type="dxa"/>
            <w:tcBorders>
              <w:top w:val="nil"/>
              <w:left w:val="nil"/>
              <w:bottom w:val="single" w:sz="4" w:space="0" w:color="auto"/>
              <w:right w:val="single" w:sz="4" w:space="0" w:color="auto"/>
            </w:tcBorders>
            <w:shd w:val="clear" w:color="auto" w:fill="auto"/>
            <w:noWrap/>
            <w:vAlign w:val="bottom"/>
            <w:hideMark/>
          </w:tcPr>
          <w:p w14:paraId="29C5E879"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28743017"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w:t>
            </w:r>
          </w:p>
        </w:tc>
        <w:tc>
          <w:tcPr>
            <w:tcW w:w="1011" w:type="dxa"/>
            <w:tcBorders>
              <w:top w:val="nil"/>
              <w:left w:val="nil"/>
              <w:bottom w:val="single" w:sz="4" w:space="0" w:color="auto"/>
              <w:right w:val="single" w:sz="4" w:space="0" w:color="auto"/>
            </w:tcBorders>
            <w:shd w:val="clear" w:color="auto" w:fill="auto"/>
            <w:noWrap/>
            <w:vAlign w:val="bottom"/>
            <w:hideMark/>
          </w:tcPr>
          <w:p w14:paraId="0C65BCC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82</w:t>
            </w:r>
          </w:p>
        </w:tc>
        <w:tc>
          <w:tcPr>
            <w:tcW w:w="723" w:type="dxa"/>
            <w:tcBorders>
              <w:top w:val="nil"/>
              <w:left w:val="nil"/>
              <w:bottom w:val="single" w:sz="4" w:space="0" w:color="auto"/>
              <w:right w:val="single" w:sz="4" w:space="0" w:color="auto"/>
            </w:tcBorders>
            <w:shd w:val="clear" w:color="auto" w:fill="auto"/>
            <w:noWrap/>
            <w:vAlign w:val="bottom"/>
            <w:hideMark/>
          </w:tcPr>
          <w:p w14:paraId="36089ACD"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w:t>
            </w:r>
          </w:p>
        </w:tc>
      </w:tr>
      <w:tr w:rsidR="0016274D" w:rsidRPr="0016274D" w14:paraId="644FA2D5" w14:textId="77777777" w:rsidTr="000431DC">
        <w:trPr>
          <w:gridAfter w:val="1"/>
          <w:wAfter w:w="13" w:type="dxa"/>
          <w:trHeight w:val="285"/>
        </w:trPr>
        <w:tc>
          <w:tcPr>
            <w:tcW w:w="2808" w:type="dxa"/>
            <w:tcBorders>
              <w:top w:val="nil"/>
              <w:left w:val="single" w:sz="4" w:space="0" w:color="auto"/>
              <w:bottom w:val="single" w:sz="4" w:space="0" w:color="auto"/>
              <w:right w:val="single" w:sz="4" w:space="0" w:color="auto"/>
            </w:tcBorders>
            <w:shd w:val="clear" w:color="000000" w:fill="D9E1F2"/>
            <w:noWrap/>
            <w:vAlign w:val="bottom"/>
            <w:hideMark/>
          </w:tcPr>
          <w:p w14:paraId="1EC97A34" w14:textId="77777777" w:rsidR="0016274D" w:rsidRPr="0016274D" w:rsidRDefault="0016274D" w:rsidP="0016274D">
            <w:pPr>
              <w:ind w:firstLineChars="200" w:firstLine="400"/>
              <w:rPr>
                <w:rFonts w:ascii="VIC" w:hAnsi="VIC"/>
                <w:color w:val="000000"/>
                <w:lang w:eastAsia="en-AU"/>
              </w:rPr>
            </w:pPr>
            <w:r w:rsidRPr="0016274D">
              <w:rPr>
                <w:rFonts w:ascii="VIC" w:hAnsi="VIC"/>
                <w:color w:val="000000"/>
                <w:lang w:eastAsia="en-AU"/>
              </w:rPr>
              <w:t>Adult (18 to 64 years)</w:t>
            </w:r>
          </w:p>
        </w:tc>
        <w:tc>
          <w:tcPr>
            <w:tcW w:w="1011" w:type="dxa"/>
            <w:tcBorders>
              <w:top w:val="nil"/>
              <w:left w:val="nil"/>
              <w:bottom w:val="single" w:sz="4" w:space="0" w:color="auto"/>
              <w:right w:val="single" w:sz="4" w:space="0" w:color="auto"/>
            </w:tcBorders>
            <w:shd w:val="clear" w:color="auto" w:fill="auto"/>
            <w:noWrap/>
            <w:vAlign w:val="bottom"/>
            <w:hideMark/>
          </w:tcPr>
          <w:p w14:paraId="3261CC79"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4,838</w:t>
            </w:r>
          </w:p>
        </w:tc>
        <w:tc>
          <w:tcPr>
            <w:tcW w:w="723" w:type="dxa"/>
            <w:tcBorders>
              <w:top w:val="nil"/>
              <w:left w:val="nil"/>
              <w:bottom w:val="single" w:sz="4" w:space="0" w:color="auto"/>
              <w:right w:val="single" w:sz="4" w:space="0" w:color="auto"/>
            </w:tcBorders>
            <w:shd w:val="clear" w:color="auto" w:fill="auto"/>
            <w:noWrap/>
            <w:vAlign w:val="bottom"/>
            <w:hideMark/>
          </w:tcPr>
          <w:p w14:paraId="6CEE158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91%</w:t>
            </w:r>
          </w:p>
        </w:tc>
        <w:tc>
          <w:tcPr>
            <w:tcW w:w="1011" w:type="dxa"/>
            <w:tcBorders>
              <w:top w:val="nil"/>
              <w:left w:val="nil"/>
              <w:bottom w:val="single" w:sz="4" w:space="0" w:color="auto"/>
              <w:right w:val="single" w:sz="4" w:space="0" w:color="auto"/>
            </w:tcBorders>
            <w:shd w:val="clear" w:color="auto" w:fill="auto"/>
            <w:noWrap/>
            <w:vAlign w:val="bottom"/>
            <w:hideMark/>
          </w:tcPr>
          <w:p w14:paraId="04BD82AA"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5,414</w:t>
            </w:r>
          </w:p>
        </w:tc>
        <w:tc>
          <w:tcPr>
            <w:tcW w:w="723" w:type="dxa"/>
            <w:tcBorders>
              <w:top w:val="nil"/>
              <w:left w:val="nil"/>
              <w:bottom w:val="single" w:sz="4" w:space="0" w:color="auto"/>
              <w:right w:val="single" w:sz="4" w:space="0" w:color="auto"/>
            </w:tcBorders>
            <w:shd w:val="clear" w:color="auto" w:fill="auto"/>
            <w:noWrap/>
            <w:vAlign w:val="bottom"/>
            <w:hideMark/>
          </w:tcPr>
          <w:p w14:paraId="754A6F53"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91%</w:t>
            </w:r>
          </w:p>
        </w:tc>
        <w:tc>
          <w:tcPr>
            <w:tcW w:w="1011" w:type="dxa"/>
            <w:tcBorders>
              <w:top w:val="nil"/>
              <w:left w:val="nil"/>
              <w:bottom w:val="single" w:sz="4" w:space="0" w:color="auto"/>
              <w:right w:val="single" w:sz="4" w:space="0" w:color="auto"/>
            </w:tcBorders>
            <w:shd w:val="clear" w:color="auto" w:fill="auto"/>
            <w:noWrap/>
            <w:vAlign w:val="bottom"/>
            <w:hideMark/>
          </w:tcPr>
          <w:p w14:paraId="439DAC80"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5,754</w:t>
            </w:r>
          </w:p>
        </w:tc>
        <w:tc>
          <w:tcPr>
            <w:tcW w:w="723" w:type="dxa"/>
            <w:tcBorders>
              <w:top w:val="nil"/>
              <w:left w:val="nil"/>
              <w:bottom w:val="single" w:sz="4" w:space="0" w:color="auto"/>
              <w:right w:val="single" w:sz="4" w:space="0" w:color="auto"/>
            </w:tcBorders>
            <w:shd w:val="clear" w:color="auto" w:fill="auto"/>
            <w:noWrap/>
            <w:vAlign w:val="bottom"/>
            <w:hideMark/>
          </w:tcPr>
          <w:p w14:paraId="12EF9354"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91%</w:t>
            </w:r>
          </w:p>
        </w:tc>
        <w:tc>
          <w:tcPr>
            <w:tcW w:w="1011" w:type="dxa"/>
            <w:tcBorders>
              <w:top w:val="nil"/>
              <w:left w:val="nil"/>
              <w:bottom w:val="single" w:sz="4" w:space="0" w:color="auto"/>
              <w:right w:val="single" w:sz="4" w:space="0" w:color="auto"/>
            </w:tcBorders>
            <w:shd w:val="clear" w:color="auto" w:fill="auto"/>
            <w:noWrap/>
            <w:vAlign w:val="bottom"/>
            <w:hideMark/>
          </w:tcPr>
          <w:p w14:paraId="0BF3B56A"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5,851</w:t>
            </w:r>
          </w:p>
        </w:tc>
        <w:tc>
          <w:tcPr>
            <w:tcW w:w="723" w:type="dxa"/>
            <w:tcBorders>
              <w:top w:val="nil"/>
              <w:left w:val="nil"/>
              <w:bottom w:val="single" w:sz="4" w:space="0" w:color="auto"/>
              <w:right w:val="single" w:sz="4" w:space="0" w:color="auto"/>
            </w:tcBorders>
            <w:shd w:val="clear" w:color="auto" w:fill="auto"/>
            <w:noWrap/>
            <w:vAlign w:val="bottom"/>
            <w:hideMark/>
          </w:tcPr>
          <w:p w14:paraId="1F836A5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90%</w:t>
            </w:r>
          </w:p>
        </w:tc>
        <w:tc>
          <w:tcPr>
            <w:tcW w:w="1011" w:type="dxa"/>
            <w:tcBorders>
              <w:top w:val="nil"/>
              <w:left w:val="nil"/>
              <w:bottom w:val="single" w:sz="4" w:space="0" w:color="auto"/>
              <w:right w:val="single" w:sz="4" w:space="0" w:color="auto"/>
            </w:tcBorders>
            <w:shd w:val="clear" w:color="auto" w:fill="auto"/>
            <w:noWrap/>
            <w:vAlign w:val="bottom"/>
            <w:hideMark/>
          </w:tcPr>
          <w:p w14:paraId="0F9271D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6,219</w:t>
            </w:r>
          </w:p>
        </w:tc>
        <w:tc>
          <w:tcPr>
            <w:tcW w:w="723" w:type="dxa"/>
            <w:tcBorders>
              <w:top w:val="nil"/>
              <w:left w:val="nil"/>
              <w:bottom w:val="single" w:sz="4" w:space="0" w:color="auto"/>
              <w:right w:val="single" w:sz="4" w:space="0" w:color="auto"/>
            </w:tcBorders>
            <w:shd w:val="clear" w:color="auto" w:fill="auto"/>
            <w:noWrap/>
            <w:vAlign w:val="bottom"/>
            <w:hideMark/>
          </w:tcPr>
          <w:p w14:paraId="00269C87"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91%</w:t>
            </w:r>
          </w:p>
        </w:tc>
      </w:tr>
      <w:tr w:rsidR="0016274D" w:rsidRPr="0016274D" w14:paraId="47021FD1" w14:textId="77777777" w:rsidTr="000431DC">
        <w:trPr>
          <w:gridAfter w:val="1"/>
          <w:wAfter w:w="13" w:type="dxa"/>
          <w:trHeight w:val="285"/>
        </w:trPr>
        <w:tc>
          <w:tcPr>
            <w:tcW w:w="2808" w:type="dxa"/>
            <w:tcBorders>
              <w:top w:val="nil"/>
              <w:left w:val="single" w:sz="4" w:space="0" w:color="auto"/>
              <w:bottom w:val="single" w:sz="4" w:space="0" w:color="auto"/>
              <w:right w:val="single" w:sz="4" w:space="0" w:color="auto"/>
            </w:tcBorders>
            <w:shd w:val="clear" w:color="000000" w:fill="D9E1F2"/>
            <w:noWrap/>
            <w:vAlign w:val="bottom"/>
            <w:hideMark/>
          </w:tcPr>
          <w:p w14:paraId="5E26C3A2" w14:textId="77777777" w:rsidR="0016274D" w:rsidRPr="0016274D" w:rsidRDefault="0016274D" w:rsidP="0016274D">
            <w:pPr>
              <w:ind w:firstLineChars="200" w:firstLine="400"/>
              <w:rPr>
                <w:rFonts w:ascii="VIC" w:hAnsi="VIC"/>
                <w:color w:val="000000"/>
                <w:lang w:eastAsia="en-AU"/>
              </w:rPr>
            </w:pPr>
            <w:r w:rsidRPr="0016274D">
              <w:rPr>
                <w:rFonts w:ascii="VIC" w:hAnsi="VIC"/>
                <w:color w:val="000000"/>
                <w:lang w:eastAsia="en-AU"/>
              </w:rPr>
              <w:t>Aged (&gt; 65 years)</w:t>
            </w:r>
          </w:p>
        </w:tc>
        <w:tc>
          <w:tcPr>
            <w:tcW w:w="1011" w:type="dxa"/>
            <w:tcBorders>
              <w:top w:val="nil"/>
              <w:left w:val="nil"/>
              <w:bottom w:val="single" w:sz="4" w:space="0" w:color="auto"/>
              <w:right w:val="single" w:sz="4" w:space="0" w:color="auto"/>
            </w:tcBorders>
            <w:shd w:val="clear" w:color="auto" w:fill="auto"/>
            <w:noWrap/>
            <w:vAlign w:val="bottom"/>
            <w:hideMark/>
          </w:tcPr>
          <w:p w14:paraId="102C088D"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422</w:t>
            </w:r>
          </w:p>
        </w:tc>
        <w:tc>
          <w:tcPr>
            <w:tcW w:w="723" w:type="dxa"/>
            <w:tcBorders>
              <w:top w:val="nil"/>
              <w:left w:val="nil"/>
              <w:bottom w:val="single" w:sz="4" w:space="0" w:color="auto"/>
              <w:right w:val="single" w:sz="4" w:space="0" w:color="auto"/>
            </w:tcBorders>
            <w:shd w:val="clear" w:color="auto" w:fill="auto"/>
            <w:noWrap/>
            <w:vAlign w:val="bottom"/>
            <w:hideMark/>
          </w:tcPr>
          <w:p w14:paraId="0450D5E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8%</w:t>
            </w:r>
          </w:p>
        </w:tc>
        <w:tc>
          <w:tcPr>
            <w:tcW w:w="1011" w:type="dxa"/>
            <w:tcBorders>
              <w:top w:val="nil"/>
              <w:left w:val="nil"/>
              <w:bottom w:val="single" w:sz="4" w:space="0" w:color="auto"/>
              <w:right w:val="single" w:sz="4" w:space="0" w:color="auto"/>
            </w:tcBorders>
            <w:shd w:val="clear" w:color="auto" w:fill="auto"/>
            <w:noWrap/>
            <w:vAlign w:val="bottom"/>
            <w:hideMark/>
          </w:tcPr>
          <w:p w14:paraId="2C29C53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468</w:t>
            </w:r>
          </w:p>
        </w:tc>
        <w:tc>
          <w:tcPr>
            <w:tcW w:w="723" w:type="dxa"/>
            <w:tcBorders>
              <w:top w:val="nil"/>
              <w:left w:val="nil"/>
              <w:bottom w:val="single" w:sz="4" w:space="0" w:color="auto"/>
              <w:right w:val="single" w:sz="4" w:space="0" w:color="auto"/>
            </w:tcBorders>
            <w:shd w:val="clear" w:color="auto" w:fill="auto"/>
            <w:noWrap/>
            <w:vAlign w:val="bottom"/>
            <w:hideMark/>
          </w:tcPr>
          <w:p w14:paraId="5980D7AE"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8%</w:t>
            </w:r>
          </w:p>
        </w:tc>
        <w:tc>
          <w:tcPr>
            <w:tcW w:w="1011" w:type="dxa"/>
            <w:tcBorders>
              <w:top w:val="nil"/>
              <w:left w:val="nil"/>
              <w:bottom w:val="single" w:sz="4" w:space="0" w:color="auto"/>
              <w:right w:val="single" w:sz="4" w:space="0" w:color="auto"/>
            </w:tcBorders>
            <w:shd w:val="clear" w:color="auto" w:fill="auto"/>
            <w:noWrap/>
            <w:vAlign w:val="bottom"/>
            <w:hideMark/>
          </w:tcPr>
          <w:p w14:paraId="3EDF073A"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484</w:t>
            </w:r>
          </w:p>
        </w:tc>
        <w:tc>
          <w:tcPr>
            <w:tcW w:w="723" w:type="dxa"/>
            <w:tcBorders>
              <w:top w:val="nil"/>
              <w:left w:val="nil"/>
              <w:bottom w:val="single" w:sz="4" w:space="0" w:color="auto"/>
              <w:right w:val="single" w:sz="4" w:space="0" w:color="auto"/>
            </w:tcBorders>
            <w:shd w:val="clear" w:color="auto" w:fill="auto"/>
            <w:noWrap/>
            <w:vAlign w:val="bottom"/>
            <w:hideMark/>
          </w:tcPr>
          <w:p w14:paraId="0D250DD2"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8%</w:t>
            </w:r>
          </w:p>
        </w:tc>
        <w:tc>
          <w:tcPr>
            <w:tcW w:w="1011" w:type="dxa"/>
            <w:tcBorders>
              <w:top w:val="nil"/>
              <w:left w:val="nil"/>
              <w:bottom w:val="single" w:sz="4" w:space="0" w:color="auto"/>
              <w:right w:val="single" w:sz="4" w:space="0" w:color="auto"/>
            </w:tcBorders>
            <w:shd w:val="clear" w:color="auto" w:fill="auto"/>
            <w:noWrap/>
            <w:vAlign w:val="bottom"/>
            <w:hideMark/>
          </w:tcPr>
          <w:p w14:paraId="618FEB48"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538</w:t>
            </w:r>
          </w:p>
        </w:tc>
        <w:tc>
          <w:tcPr>
            <w:tcW w:w="723" w:type="dxa"/>
            <w:tcBorders>
              <w:top w:val="nil"/>
              <w:left w:val="nil"/>
              <w:bottom w:val="single" w:sz="4" w:space="0" w:color="auto"/>
              <w:right w:val="single" w:sz="4" w:space="0" w:color="auto"/>
            </w:tcBorders>
            <w:shd w:val="clear" w:color="auto" w:fill="auto"/>
            <w:noWrap/>
            <w:vAlign w:val="bottom"/>
            <w:hideMark/>
          </w:tcPr>
          <w:p w14:paraId="6942199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8%</w:t>
            </w:r>
          </w:p>
        </w:tc>
        <w:tc>
          <w:tcPr>
            <w:tcW w:w="1011" w:type="dxa"/>
            <w:tcBorders>
              <w:top w:val="nil"/>
              <w:left w:val="nil"/>
              <w:bottom w:val="single" w:sz="4" w:space="0" w:color="auto"/>
              <w:right w:val="single" w:sz="4" w:space="0" w:color="auto"/>
            </w:tcBorders>
            <w:shd w:val="clear" w:color="auto" w:fill="auto"/>
            <w:noWrap/>
            <w:vAlign w:val="bottom"/>
            <w:hideMark/>
          </w:tcPr>
          <w:p w14:paraId="27DDDB41"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548</w:t>
            </w:r>
          </w:p>
        </w:tc>
        <w:tc>
          <w:tcPr>
            <w:tcW w:w="723" w:type="dxa"/>
            <w:tcBorders>
              <w:top w:val="nil"/>
              <w:left w:val="nil"/>
              <w:bottom w:val="single" w:sz="4" w:space="0" w:color="auto"/>
              <w:right w:val="single" w:sz="4" w:space="0" w:color="auto"/>
            </w:tcBorders>
            <w:shd w:val="clear" w:color="auto" w:fill="auto"/>
            <w:noWrap/>
            <w:vAlign w:val="bottom"/>
            <w:hideMark/>
          </w:tcPr>
          <w:p w14:paraId="05311513"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8%</w:t>
            </w:r>
          </w:p>
        </w:tc>
      </w:tr>
      <w:tr w:rsidR="0016274D" w:rsidRPr="0016274D" w14:paraId="76292DC9" w14:textId="77777777" w:rsidTr="000431DC">
        <w:trPr>
          <w:gridAfter w:val="1"/>
          <w:wAfter w:w="13" w:type="dxa"/>
          <w:trHeight w:val="285"/>
        </w:trPr>
        <w:tc>
          <w:tcPr>
            <w:tcW w:w="2808" w:type="dxa"/>
            <w:tcBorders>
              <w:top w:val="nil"/>
              <w:left w:val="single" w:sz="4" w:space="0" w:color="auto"/>
              <w:bottom w:val="single" w:sz="4" w:space="0" w:color="auto"/>
              <w:right w:val="single" w:sz="4" w:space="0" w:color="auto"/>
            </w:tcBorders>
            <w:shd w:val="clear" w:color="000000" w:fill="D9E1F2"/>
            <w:noWrap/>
            <w:vAlign w:val="bottom"/>
            <w:hideMark/>
          </w:tcPr>
          <w:p w14:paraId="378B6B52" w14:textId="77777777" w:rsidR="0016274D" w:rsidRPr="0016274D" w:rsidRDefault="0016274D" w:rsidP="0016274D">
            <w:pPr>
              <w:ind w:firstLineChars="200" w:firstLine="400"/>
              <w:rPr>
                <w:rFonts w:ascii="VIC" w:hAnsi="VIC"/>
                <w:color w:val="000000"/>
                <w:lang w:eastAsia="en-AU"/>
              </w:rPr>
            </w:pPr>
            <w:r w:rsidRPr="0016274D">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7AA0ECD2"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5,329</w:t>
            </w:r>
          </w:p>
        </w:tc>
        <w:tc>
          <w:tcPr>
            <w:tcW w:w="723" w:type="dxa"/>
            <w:tcBorders>
              <w:top w:val="nil"/>
              <w:left w:val="nil"/>
              <w:bottom w:val="single" w:sz="4" w:space="0" w:color="auto"/>
              <w:right w:val="single" w:sz="4" w:space="0" w:color="auto"/>
            </w:tcBorders>
            <w:shd w:val="clear" w:color="auto" w:fill="auto"/>
            <w:noWrap/>
            <w:vAlign w:val="bottom"/>
            <w:hideMark/>
          </w:tcPr>
          <w:p w14:paraId="0AAA31CC"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3E451C2D"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5,960</w:t>
            </w:r>
          </w:p>
        </w:tc>
        <w:tc>
          <w:tcPr>
            <w:tcW w:w="723" w:type="dxa"/>
            <w:tcBorders>
              <w:top w:val="nil"/>
              <w:left w:val="nil"/>
              <w:bottom w:val="single" w:sz="4" w:space="0" w:color="auto"/>
              <w:right w:val="single" w:sz="4" w:space="0" w:color="auto"/>
            </w:tcBorders>
            <w:shd w:val="clear" w:color="auto" w:fill="auto"/>
            <w:noWrap/>
            <w:vAlign w:val="bottom"/>
            <w:hideMark/>
          </w:tcPr>
          <w:p w14:paraId="7C56C59B"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27E7D4A7"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6,296</w:t>
            </w:r>
          </w:p>
        </w:tc>
        <w:tc>
          <w:tcPr>
            <w:tcW w:w="723" w:type="dxa"/>
            <w:tcBorders>
              <w:top w:val="nil"/>
              <w:left w:val="nil"/>
              <w:bottom w:val="single" w:sz="4" w:space="0" w:color="auto"/>
              <w:right w:val="single" w:sz="4" w:space="0" w:color="auto"/>
            </w:tcBorders>
            <w:shd w:val="clear" w:color="auto" w:fill="auto"/>
            <w:noWrap/>
            <w:vAlign w:val="bottom"/>
            <w:hideMark/>
          </w:tcPr>
          <w:p w14:paraId="03D5E290"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3F616443"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6,467</w:t>
            </w:r>
          </w:p>
        </w:tc>
        <w:tc>
          <w:tcPr>
            <w:tcW w:w="723" w:type="dxa"/>
            <w:tcBorders>
              <w:top w:val="nil"/>
              <w:left w:val="nil"/>
              <w:bottom w:val="single" w:sz="4" w:space="0" w:color="auto"/>
              <w:right w:val="single" w:sz="4" w:space="0" w:color="auto"/>
            </w:tcBorders>
            <w:shd w:val="clear" w:color="auto" w:fill="auto"/>
            <w:noWrap/>
            <w:vAlign w:val="bottom"/>
            <w:hideMark/>
          </w:tcPr>
          <w:p w14:paraId="16502FCA"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1D461CDF"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6,849</w:t>
            </w:r>
          </w:p>
        </w:tc>
        <w:tc>
          <w:tcPr>
            <w:tcW w:w="723" w:type="dxa"/>
            <w:tcBorders>
              <w:top w:val="nil"/>
              <w:left w:val="nil"/>
              <w:bottom w:val="single" w:sz="4" w:space="0" w:color="auto"/>
              <w:right w:val="single" w:sz="4" w:space="0" w:color="auto"/>
            </w:tcBorders>
            <w:shd w:val="clear" w:color="auto" w:fill="auto"/>
            <w:noWrap/>
            <w:vAlign w:val="bottom"/>
            <w:hideMark/>
          </w:tcPr>
          <w:p w14:paraId="25CE4B3D" w14:textId="77777777" w:rsidR="0016274D" w:rsidRPr="0016274D" w:rsidRDefault="0016274D" w:rsidP="0016274D">
            <w:pPr>
              <w:jc w:val="center"/>
              <w:rPr>
                <w:rFonts w:ascii="VIC" w:hAnsi="VIC"/>
                <w:color w:val="000000"/>
                <w:lang w:eastAsia="en-AU"/>
              </w:rPr>
            </w:pPr>
            <w:r w:rsidRPr="0016274D">
              <w:rPr>
                <w:rFonts w:ascii="VIC" w:hAnsi="VIC"/>
                <w:color w:val="000000"/>
                <w:lang w:eastAsia="en-AU"/>
              </w:rPr>
              <w:t>100%</w:t>
            </w:r>
          </w:p>
        </w:tc>
      </w:tr>
    </w:tbl>
    <w:p w14:paraId="195F7B1C" w14:textId="606515B5" w:rsidR="0016274D" w:rsidRDefault="0016274D" w:rsidP="000431DC">
      <w:pPr>
        <w:spacing w:after="200" w:line="276" w:lineRule="auto"/>
        <w:ind w:left="1440"/>
        <w:rPr>
          <w:rFonts w:asciiTheme="minorHAnsi" w:eastAsiaTheme="minorHAnsi" w:hAnsiTheme="minorHAnsi" w:cstheme="minorBidi"/>
          <w:sz w:val="22"/>
          <w:szCs w:val="22"/>
        </w:rPr>
      </w:pPr>
    </w:p>
    <w:p w14:paraId="20FEA5E9" w14:textId="642F975C" w:rsidR="00CB3B34" w:rsidRDefault="00CB3B34" w:rsidP="000431DC">
      <w:pPr>
        <w:spacing w:after="200" w:line="276" w:lineRule="auto"/>
        <w:ind w:left="1440"/>
        <w:rPr>
          <w:rFonts w:asciiTheme="minorHAnsi" w:eastAsiaTheme="minorHAnsi" w:hAnsiTheme="minorHAnsi" w:cstheme="minorBidi"/>
          <w:sz w:val="22"/>
          <w:szCs w:val="22"/>
        </w:rPr>
      </w:pPr>
    </w:p>
    <w:p w14:paraId="55999CE6" w14:textId="77777777" w:rsidR="00FF504F" w:rsidRPr="00FF504F" w:rsidRDefault="00FF504F" w:rsidP="00FF504F">
      <w:pPr>
        <w:spacing w:after="200" w:line="276" w:lineRule="auto"/>
        <w:ind w:left="1440"/>
        <w:rPr>
          <w:rFonts w:ascii="VIC" w:hAnsi="VIC"/>
          <w:b/>
          <w:bCs/>
          <w:color w:val="000000"/>
          <w:lang w:eastAsia="en-AU"/>
        </w:rPr>
      </w:pPr>
    </w:p>
    <w:tbl>
      <w:tblPr>
        <w:tblW w:w="12609" w:type="dxa"/>
        <w:tblInd w:w="1440" w:type="dxa"/>
        <w:tblLook w:val="04A0" w:firstRow="1" w:lastRow="0" w:firstColumn="1" w:lastColumn="0" w:noHBand="0" w:noVBand="1"/>
      </w:tblPr>
      <w:tblGrid>
        <w:gridCol w:w="3429"/>
        <w:gridCol w:w="1011"/>
        <w:gridCol w:w="978"/>
        <w:gridCol w:w="1011"/>
        <w:gridCol w:w="723"/>
        <w:gridCol w:w="1011"/>
        <w:gridCol w:w="723"/>
        <w:gridCol w:w="1011"/>
        <w:gridCol w:w="978"/>
        <w:gridCol w:w="1011"/>
        <w:gridCol w:w="723"/>
      </w:tblGrid>
      <w:tr w:rsidR="00FF504F" w:rsidRPr="00FF504F" w14:paraId="3BF9CC22" w14:textId="77777777" w:rsidTr="00FF504F">
        <w:trPr>
          <w:trHeight w:val="285"/>
        </w:trPr>
        <w:tc>
          <w:tcPr>
            <w:tcW w:w="3429"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bottom"/>
            <w:hideMark/>
          </w:tcPr>
          <w:p w14:paraId="01250DBB" w14:textId="40E463A9" w:rsidR="00FF504F" w:rsidRPr="00FF504F" w:rsidRDefault="00FF504F" w:rsidP="00FF504F">
            <w:pPr>
              <w:rPr>
                <w:rFonts w:ascii="VIC" w:hAnsi="VIC"/>
                <w:b/>
                <w:bCs/>
                <w:color w:val="000000"/>
                <w:lang w:eastAsia="en-AU"/>
              </w:rPr>
            </w:pPr>
            <w:r>
              <w:rPr>
                <w:rFonts w:ascii="VIC" w:hAnsi="VIC"/>
                <w:b/>
                <w:bCs/>
                <w:color w:val="000000"/>
                <w:lang w:eastAsia="en-AU"/>
              </w:rPr>
              <w:t>DIAGNOSI</w:t>
            </w:r>
            <w:r w:rsidRPr="00FF504F">
              <w:rPr>
                <w:rFonts w:ascii="VIC" w:hAnsi="VIC"/>
                <w:b/>
                <w:bCs/>
                <w:color w:val="000000"/>
                <w:lang w:eastAsia="en-AU"/>
              </w:rPr>
              <w:t>S</w:t>
            </w:r>
          </w:p>
        </w:tc>
        <w:tc>
          <w:tcPr>
            <w:tcW w:w="1989"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058C812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7A443E5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27186E4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1/7/2016 - 30/6/2017</w:t>
            </w:r>
          </w:p>
        </w:tc>
        <w:tc>
          <w:tcPr>
            <w:tcW w:w="1989"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6F4B45C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1/7/2017 - 30/6/2018</w:t>
            </w:r>
          </w:p>
        </w:tc>
        <w:tc>
          <w:tcPr>
            <w:tcW w:w="1734"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35C0AEA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1/6/2018 - 31/5/2019</w:t>
            </w:r>
          </w:p>
        </w:tc>
      </w:tr>
      <w:tr w:rsidR="00FF504F" w:rsidRPr="00FF504F" w14:paraId="6C69A88C" w14:textId="77777777" w:rsidTr="00FF504F">
        <w:trPr>
          <w:trHeight w:val="285"/>
        </w:trPr>
        <w:tc>
          <w:tcPr>
            <w:tcW w:w="3429"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79191169" w14:textId="77777777" w:rsidR="00FF504F" w:rsidRPr="00FF504F" w:rsidRDefault="00FF504F" w:rsidP="00FF504F">
            <w:pPr>
              <w:rPr>
                <w:rFonts w:ascii="VIC" w:hAnsi="VIC"/>
                <w:b/>
                <w:bCs/>
                <w:color w:val="000000"/>
                <w:lang w:eastAsia="en-AU"/>
              </w:rPr>
            </w:pP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51BDD9E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978" w:type="dxa"/>
            <w:tcBorders>
              <w:top w:val="nil"/>
              <w:left w:val="nil"/>
              <w:bottom w:val="single" w:sz="4" w:space="0" w:color="auto"/>
              <w:right w:val="single" w:sz="4" w:space="0" w:color="auto"/>
            </w:tcBorders>
            <w:shd w:val="clear" w:color="auto" w:fill="DBE5F1" w:themeFill="accent1" w:themeFillTint="33"/>
            <w:vAlign w:val="bottom"/>
            <w:hideMark/>
          </w:tcPr>
          <w:p w14:paraId="7B5DA7B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52F8232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auto" w:fill="DBE5F1" w:themeFill="accent1" w:themeFillTint="33"/>
            <w:vAlign w:val="bottom"/>
            <w:hideMark/>
          </w:tcPr>
          <w:p w14:paraId="1469327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22C1A18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auto" w:fill="DBE5F1" w:themeFill="accent1" w:themeFillTint="33"/>
            <w:vAlign w:val="bottom"/>
            <w:hideMark/>
          </w:tcPr>
          <w:p w14:paraId="795F590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59E7C50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978" w:type="dxa"/>
            <w:tcBorders>
              <w:top w:val="nil"/>
              <w:left w:val="nil"/>
              <w:bottom w:val="single" w:sz="4" w:space="0" w:color="auto"/>
              <w:right w:val="single" w:sz="4" w:space="0" w:color="auto"/>
            </w:tcBorders>
            <w:shd w:val="clear" w:color="auto" w:fill="DBE5F1" w:themeFill="accent1" w:themeFillTint="33"/>
            <w:vAlign w:val="bottom"/>
            <w:hideMark/>
          </w:tcPr>
          <w:p w14:paraId="2B7E62B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2A9D5FF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auto" w:fill="DBE5F1" w:themeFill="accent1" w:themeFillTint="33"/>
            <w:vAlign w:val="bottom"/>
            <w:hideMark/>
          </w:tcPr>
          <w:p w14:paraId="727778F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r>
      <w:tr w:rsidR="00FF504F" w:rsidRPr="00FF504F" w14:paraId="51BC60A5" w14:textId="77777777" w:rsidTr="00FC2056">
        <w:trPr>
          <w:trHeight w:val="285"/>
        </w:trPr>
        <w:tc>
          <w:tcPr>
            <w:tcW w:w="12609" w:type="dxa"/>
            <w:gridSpan w:val="11"/>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3CB6F406" w14:textId="70824F63" w:rsidR="00FF504F" w:rsidRPr="00FF504F" w:rsidRDefault="00FF504F" w:rsidP="00FF504F">
            <w:pPr>
              <w:rPr>
                <w:rFonts w:ascii="VIC" w:hAnsi="VIC"/>
                <w:i/>
                <w:color w:val="000000"/>
                <w:lang w:eastAsia="en-AU"/>
              </w:rPr>
            </w:pPr>
            <w:r>
              <w:rPr>
                <w:rFonts w:ascii="VIC" w:hAnsi="VIC"/>
                <w:i/>
                <w:color w:val="000000"/>
                <w:lang w:eastAsia="en-AU"/>
              </w:rPr>
              <w:t>Treatment Order hearings</w:t>
            </w:r>
          </w:p>
        </w:tc>
      </w:tr>
      <w:tr w:rsidR="00FF504F" w:rsidRPr="00FF504F" w14:paraId="40AAA007" w14:textId="77777777" w:rsidTr="00FF504F">
        <w:trPr>
          <w:trHeight w:val="285"/>
        </w:trPr>
        <w:tc>
          <w:tcPr>
            <w:tcW w:w="342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AE80AE3"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Schizophrenia</w:t>
            </w:r>
          </w:p>
        </w:tc>
        <w:tc>
          <w:tcPr>
            <w:tcW w:w="1011" w:type="dxa"/>
            <w:tcBorders>
              <w:top w:val="nil"/>
              <w:left w:val="nil"/>
              <w:bottom w:val="single" w:sz="4" w:space="0" w:color="auto"/>
              <w:right w:val="single" w:sz="4" w:space="0" w:color="auto"/>
            </w:tcBorders>
            <w:shd w:val="clear" w:color="auto" w:fill="auto"/>
            <w:noWrap/>
            <w:vAlign w:val="bottom"/>
            <w:hideMark/>
          </w:tcPr>
          <w:p w14:paraId="62F6A46B"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2,834</w:t>
            </w:r>
          </w:p>
        </w:tc>
        <w:tc>
          <w:tcPr>
            <w:tcW w:w="978" w:type="dxa"/>
            <w:tcBorders>
              <w:top w:val="nil"/>
              <w:left w:val="nil"/>
              <w:bottom w:val="single" w:sz="4" w:space="0" w:color="auto"/>
              <w:right w:val="single" w:sz="4" w:space="0" w:color="auto"/>
            </w:tcBorders>
            <w:shd w:val="clear" w:color="auto" w:fill="auto"/>
            <w:noWrap/>
            <w:vAlign w:val="bottom"/>
            <w:hideMark/>
          </w:tcPr>
          <w:p w14:paraId="2B0E83C0"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53%</w:t>
            </w:r>
          </w:p>
        </w:tc>
        <w:tc>
          <w:tcPr>
            <w:tcW w:w="1011" w:type="dxa"/>
            <w:tcBorders>
              <w:top w:val="nil"/>
              <w:left w:val="nil"/>
              <w:bottom w:val="single" w:sz="4" w:space="0" w:color="auto"/>
              <w:right w:val="single" w:sz="4" w:space="0" w:color="auto"/>
            </w:tcBorders>
            <w:shd w:val="clear" w:color="auto" w:fill="auto"/>
            <w:noWrap/>
            <w:vAlign w:val="bottom"/>
            <w:hideMark/>
          </w:tcPr>
          <w:p w14:paraId="66E11F4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2,988</w:t>
            </w:r>
          </w:p>
        </w:tc>
        <w:tc>
          <w:tcPr>
            <w:tcW w:w="723" w:type="dxa"/>
            <w:tcBorders>
              <w:top w:val="nil"/>
              <w:left w:val="nil"/>
              <w:bottom w:val="single" w:sz="4" w:space="0" w:color="auto"/>
              <w:right w:val="single" w:sz="4" w:space="0" w:color="auto"/>
            </w:tcBorders>
            <w:shd w:val="clear" w:color="auto" w:fill="auto"/>
            <w:noWrap/>
            <w:vAlign w:val="bottom"/>
            <w:hideMark/>
          </w:tcPr>
          <w:p w14:paraId="657A18B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50%</w:t>
            </w:r>
          </w:p>
        </w:tc>
        <w:tc>
          <w:tcPr>
            <w:tcW w:w="1011" w:type="dxa"/>
            <w:tcBorders>
              <w:top w:val="nil"/>
              <w:left w:val="nil"/>
              <w:bottom w:val="single" w:sz="4" w:space="0" w:color="auto"/>
              <w:right w:val="single" w:sz="4" w:space="0" w:color="auto"/>
            </w:tcBorders>
            <w:shd w:val="clear" w:color="auto" w:fill="auto"/>
            <w:noWrap/>
            <w:vAlign w:val="bottom"/>
            <w:hideMark/>
          </w:tcPr>
          <w:p w14:paraId="18144070"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3,257</w:t>
            </w:r>
          </w:p>
        </w:tc>
        <w:tc>
          <w:tcPr>
            <w:tcW w:w="723" w:type="dxa"/>
            <w:tcBorders>
              <w:top w:val="nil"/>
              <w:left w:val="nil"/>
              <w:bottom w:val="single" w:sz="4" w:space="0" w:color="auto"/>
              <w:right w:val="single" w:sz="4" w:space="0" w:color="auto"/>
            </w:tcBorders>
            <w:shd w:val="clear" w:color="auto" w:fill="auto"/>
            <w:noWrap/>
            <w:vAlign w:val="bottom"/>
            <w:hideMark/>
          </w:tcPr>
          <w:p w14:paraId="5BF8D57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52%</w:t>
            </w:r>
          </w:p>
        </w:tc>
        <w:tc>
          <w:tcPr>
            <w:tcW w:w="1011" w:type="dxa"/>
            <w:tcBorders>
              <w:top w:val="nil"/>
              <w:left w:val="nil"/>
              <w:bottom w:val="single" w:sz="4" w:space="0" w:color="auto"/>
              <w:right w:val="single" w:sz="4" w:space="0" w:color="auto"/>
            </w:tcBorders>
            <w:shd w:val="clear" w:color="auto" w:fill="auto"/>
            <w:noWrap/>
            <w:vAlign w:val="bottom"/>
            <w:hideMark/>
          </w:tcPr>
          <w:p w14:paraId="7422FD3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3,268</w:t>
            </w:r>
          </w:p>
        </w:tc>
        <w:tc>
          <w:tcPr>
            <w:tcW w:w="978" w:type="dxa"/>
            <w:tcBorders>
              <w:top w:val="nil"/>
              <w:left w:val="nil"/>
              <w:bottom w:val="single" w:sz="4" w:space="0" w:color="auto"/>
              <w:right w:val="single" w:sz="4" w:space="0" w:color="auto"/>
            </w:tcBorders>
            <w:shd w:val="clear" w:color="auto" w:fill="auto"/>
            <w:noWrap/>
            <w:vAlign w:val="bottom"/>
            <w:hideMark/>
          </w:tcPr>
          <w:p w14:paraId="7D591AE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51%</w:t>
            </w:r>
          </w:p>
        </w:tc>
        <w:tc>
          <w:tcPr>
            <w:tcW w:w="1011" w:type="dxa"/>
            <w:tcBorders>
              <w:top w:val="nil"/>
              <w:left w:val="nil"/>
              <w:bottom w:val="single" w:sz="4" w:space="0" w:color="auto"/>
              <w:right w:val="single" w:sz="4" w:space="0" w:color="auto"/>
            </w:tcBorders>
            <w:shd w:val="clear" w:color="auto" w:fill="auto"/>
            <w:noWrap/>
            <w:vAlign w:val="bottom"/>
            <w:hideMark/>
          </w:tcPr>
          <w:p w14:paraId="5E699D0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3,578</w:t>
            </w:r>
          </w:p>
        </w:tc>
        <w:tc>
          <w:tcPr>
            <w:tcW w:w="723" w:type="dxa"/>
            <w:tcBorders>
              <w:top w:val="nil"/>
              <w:left w:val="nil"/>
              <w:bottom w:val="single" w:sz="4" w:space="0" w:color="auto"/>
              <w:right w:val="single" w:sz="4" w:space="0" w:color="auto"/>
            </w:tcBorders>
            <w:shd w:val="clear" w:color="auto" w:fill="auto"/>
            <w:noWrap/>
            <w:vAlign w:val="bottom"/>
            <w:hideMark/>
          </w:tcPr>
          <w:p w14:paraId="14BA0DA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52%</w:t>
            </w:r>
          </w:p>
        </w:tc>
      </w:tr>
      <w:tr w:rsidR="00FF504F" w:rsidRPr="00FF504F" w14:paraId="289EB3F3" w14:textId="77777777" w:rsidTr="00FF504F">
        <w:trPr>
          <w:trHeight w:val="285"/>
        </w:trPr>
        <w:tc>
          <w:tcPr>
            <w:tcW w:w="342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CC9F6A5"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Schizo-Affective disorder</w:t>
            </w:r>
          </w:p>
        </w:tc>
        <w:tc>
          <w:tcPr>
            <w:tcW w:w="1011" w:type="dxa"/>
            <w:tcBorders>
              <w:top w:val="nil"/>
              <w:left w:val="nil"/>
              <w:bottom w:val="single" w:sz="4" w:space="0" w:color="auto"/>
              <w:right w:val="single" w:sz="4" w:space="0" w:color="auto"/>
            </w:tcBorders>
            <w:shd w:val="clear" w:color="auto" w:fill="auto"/>
            <w:noWrap/>
            <w:vAlign w:val="bottom"/>
            <w:hideMark/>
          </w:tcPr>
          <w:p w14:paraId="1B080A6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1,112</w:t>
            </w:r>
          </w:p>
        </w:tc>
        <w:tc>
          <w:tcPr>
            <w:tcW w:w="978" w:type="dxa"/>
            <w:tcBorders>
              <w:top w:val="nil"/>
              <w:left w:val="nil"/>
              <w:bottom w:val="single" w:sz="4" w:space="0" w:color="auto"/>
              <w:right w:val="single" w:sz="4" w:space="0" w:color="auto"/>
            </w:tcBorders>
            <w:shd w:val="clear" w:color="auto" w:fill="auto"/>
            <w:noWrap/>
            <w:vAlign w:val="bottom"/>
            <w:hideMark/>
          </w:tcPr>
          <w:p w14:paraId="1E850CC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21%</w:t>
            </w:r>
          </w:p>
        </w:tc>
        <w:tc>
          <w:tcPr>
            <w:tcW w:w="1011" w:type="dxa"/>
            <w:tcBorders>
              <w:top w:val="nil"/>
              <w:left w:val="nil"/>
              <w:bottom w:val="single" w:sz="4" w:space="0" w:color="auto"/>
              <w:right w:val="single" w:sz="4" w:space="0" w:color="auto"/>
            </w:tcBorders>
            <w:shd w:val="clear" w:color="auto" w:fill="auto"/>
            <w:noWrap/>
            <w:vAlign w:val="bottom"/>
            <w:hideMark/>
          </w:tcPr>
          <w:p w14:paraId="714820E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1,545</w:t>
            </w:r>
          </w:p>
        </w:tc>
        <w:tc>
          <w:tcPr>
            <w:tcW w:w="723" w:type="dxa"/>
            <w:tcBorders>
              <w:top w:val="nil"/>
              <w:left w:val="nil"/>
              <w:bottom w:val="single" w:sz="4" w:space="0" w:color="auto"/>
              <w:right w:val="single" w:sz="4" w:space="0" w:color="auto"/>
            </w:tcBorders>
            <w:shd w:val="clear" w:color="auto" w:fill="auto"/>
            <w:noWrap/>
            <w:vAlign w:val="bottom"/>
            <w:hideMark/>
          </w:tcPr>
          <w:p w14:paraId="7724473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26%</w:t>
            </w:r>
          </w:p>
        </w:tc>
        <w:tc>
          <w:tcPr>
            <w:tcW w:w="1011" w:type="dxa"/>
            <w:tcBorders>
              <w:top w:val="nil"/>
              <w:left w:val="nil"/>
              <w:bottom w:val="single" w:sz="4" w:space="0" w:color="auto"/>
              <w:right w:val="single" w:sz="4" w:space="0" w:color="auto"/>
            </w:tcBorders>
            <w:shd w:val="clear" w:color="auto" w:fill="auto"/>
            <w:noWrap/>
            <w:vAlign w:val="bottom"/>
            <w:hideMark/>
          </w:tcPr>
          <w:p w14:paraId="45CCF37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1,377</w:t>
            </w:r>
          </w:p>
        </w:tc>
        <w:tc>
          <w:tcPr>
            <w:tcW w:w="723" w:type="dxa"/>
            <w:tcBorders>
              <w:top w:val="nil"/>
              <w:left w:val="nil"/>
              <w:bottom w:val="single" w:sz="4" w:space="0" w:color="auto"/>
              <w:right w:val="single" w:sz="4" w:space="0" w:color="auto"/>
            </w:tcBorders>
            <w:shd w:val="clear" w:color="auto" w:fill="auto"/>
            <w:noWrap/>
            <w:vAlign w:val="bottom"/>
            <w:hideMark/>
          </w:tcPr>
          <w:p w14:paraId="62A4875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22%</w:t>
            </w:r>
          </w:p>
        </w:tc>
        <w:tc>
          <w:tcPr>
            <w:tcW w:w="1011" w:type="dxa"/>
            <w:tcBorders>
              <w:top w:val="nil"/>
              <w:left w:val="nil"/>
              <w:bottom w:val="single" w:sz="4" w:space="0" w:color="auto"/>
              <w:right w:val="single" w:sz="4" w:space="0" w:color="auto"/>
            </w:tcBorders>
            <w:shd w:val="clear" w:color="auto" w:fill="auto"/>
            <w:noWrap/>
            <w:vAlign w:val="bottom"/>
            <w:hideMark/>
          </w:tcPr>
          <w:p w14:paraId="5CE8615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1,482</w:t>
            </w:r>
          </w:p>
        </w:tc>
        <w:tc>
          <w:tcPr>
            <w:tcW w:w="978" w:type="dxa"/>
            <w:tcBorders>
              <w:top w:val="nil"/>
              <w:left w:val="nil"/>
              <w:bottom w:val="single" w:sz="4" w:space="0" w:color="auto"/>
              <w:right w:val="single" w:sz="4" w:space="0" w:color="auto"/>
            </w:tcBorders>
            <w:shd w:val="clear" w:color="auto" w:fill="auto"/>
            <w:noWrap/>
            <w:vAlign w:val="bottom"/>
            <w:hideMark/>
          </w:tcPr>
          <w:p w14:paraId="59EBB09B"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23%</w:t>
            </w:r>
          </w:p>
        </w:tc>
        <w:tc>
          <w:tcPr>
            <w:tcW w:w="1011" w:type="dxa"/>
            <w:tcBorders>
              <w:top w:val="nil"/>
              <w:left w:val="nil"/>
              <w:bottom w:val="single" w:sz="4" w:space="0" w:color="auto"/>
              <w:right w:val="single" w:sz="4" w:space="0" w:color="auto"/>
            </w:tcBorders>
            <w:shd w:val="clear" w:color="auto" w:fill="auto"/>
            <w:noWrap/>
            <w:vAlign w:val="bottom"/>
            <w:hideMark/>
          </w:tcPr>
          <w:p w14:paraId="41E30E4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1,539</w:t>
            </w:r>
          </w:p>
        </w:tc>
        <w:tc>
          <w:tcPr>
            <w:tcW w:w="723" w:type="dxa"/>
            <w:tcBorders>
              <w:top w:val="nil"/>
              <w:left w:val="nil"/>
              <w:bottom w:val="single" w:sz="4" w:space="0" w:color="auto"/>
              <w:right w:val="single" w:sz="4" w:space="0" w:color="auto"/>
            </w:tcBorders>
            <w:shd w:val="clear" w:color="auto" w:fill="auto"/>
            <w:noWrap/>
            <w:vAlign w:val="bottom"/>
            <w:hideMark/>
          </w:tcPr>
          <w:p w14:paraId="3EA7060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22%</w:t>
            </w:r>
          </w:p>
        </w:tc>
      </w:tr>
      <w:tr w:rsidR="00FF504F" w:rsidRPr="00FF504F" w14:paraId="22392C2E" w14:textId="77777777" w:rsidTr="00FF504F">
        <w:trPr>
          <w:trHeight w:val="285"/>
        </w:trPr>
        <w:tc>
          <w:tcPr>
            <w:tcW w:w="342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B6A4BB7"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Bipolar disorder</w:t>
            </w:r>
          </w:p>
        </w:tc>
        <w:tc>
          <w:tcPr>
            <w:tcW w:w="1011" w:type="dxa"/>
            <w:tcBorders>
              <w:top w:val="nil"/>
              <w:left w:val="nil"/>
              <w:bottom w:val="single" w:sz="4" w:space="0" w:color="auto"/>
              <w:right w:val="single" w:sz="4" w:space="0" w:color="auto"/>
            </w:tcBorders>
            <w:shd w:val="clear" w:color="auto" w:fill="auto"/>
            <w:noWrap/>
            <w:vAlign w:val="bottom"/>
            <w:hideMark/>
          </w:tcPr>
          <w:p w14:paraId="67E78E8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595</w:t>
            </w:r>
          </w:p>
        </w:tc>
        <w:tc>
          <w:tcPr>
            <w:tcW w:w="978" w:type="dxa"/>
            <w:tcBorders>
              <w:top w:val="nil"/>
              <w:left w:val="nil"/>
              <w:bottom w:val="single" w:sz="4" w:space="0" w:color="auto"/>
              <w:right w:val="single" w:sz="4" w:space="0" w:color="auto"/>
            </w:tcBorders>
            <w:shd w:val="clear" w:color="auto" w:fill="auto"/>
            <w:noWrap/>
            <w:vAlign w:val="bottom"/>
            <w:hideMark/>
          </w:tcPr>
          <w:p w14:paraId="3953FCB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11%</w:t>
            </w:r>
          </w:p>
        </w:tc>
        <w:tc>
          <w:tcPr>
            <w:tcW w:w="1011" w:type="dxa"/>
            <w:tcBorders>
              <w:top w:val="nil"/>
              <w:left w:val="nil"/>
              <w:bottom w:val="single" w:sz="4" w:space="0" w:color="auto"/>
              <w:right w:val="single" w:sz="4" w:space="0" w:color="auto"/>
            </w:tcBorders>
            <w:shd w:val="clear" w:color="auto" w:fill="auto"/>
            <w:noWrap/>
            <w:vAlign w:val="bottom"/>
            <w:hideMark/>
          </w:tcPr>
          <w:p w14:paraId="6612648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603</w:t>
            </w:r>
          </w:p>
        </w:tc>
        <w:tc>
          <w:tcPr>
            <w:tcW w:w="723" w:type="dxa"/>
            <w:tcBorders>
              <w:top w:val="nil"/>
              <w:left w:val="nil"/>
              <w:bottom w:val="single" w:sz="4" w:space="0" w:color="auto"/>
              <w:right w:val="single" w:sz="4" w:space="0" w:color="auto"/>
            </w:tcBorders>
            <w:shd w:val="clear" w:color="auto" w:fill="auto"/>
            <w:noWrap/>
            <w:vAlign w:val="bottom"/>
            <w:hideMark/>
          </w:tcPr>
          <w:p w14:paraId="6AA842E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w:t>
            </w:r>
          </w:p>
        </w:tc>
        <w:tc>
          <w:tcPr>
            <w:tcW w:w="1011" w:type="dxa"/>
            <w:tcBorders>
              <w:top w:val="nil"/>
              <w:left w:val="nil"/>
              <w:bottom w:val="single" w:sz="4" w:space="0" w:color="auto"/>
              <w:right w:val="single" w:sz="4" w:space="0" w:color="auto"/>
            </w:tcBorders>
            <w:shd w:val="clear" w:color="auto" w:fill="auto"/>
            <w:noWrap/>
            <w:vAlign w:val="bottom"/>
            <w:hideMark/>
          </w:tcPr>
          <w:p w14:paraId="541C3F6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634</w:t>
            </w:r>
          </w:p>
        </w:tc>
        <w:tc>
          <w:tcPr>
            <w:tcW w:w="723" w:type="dxa"/>
            <w:tcBorders>
              <w:top w:val="nil"/>
              <w:left w:val="nil"/>
              <w:bottom w:val="single" w:sz="4" w:space="0" w:color="auto"/>
              <w:right w:val="single" w:sz="4" w:space="0" w:color="auto"/>
            </w:tcBorders>
            <w:shd w:val="clear" w:color="auto" w:fill="auto"/>
            <w:noWrap/>
            <w:vAlign w:val="bottom"/>
            <w:hideMark/>
          </w:tcPr>
          <w:p w14:paraId="5ABA6E2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w:t>
            </w:r>
          </w:p>
        </w:tc>
        <w:tc>
          <w:tcPr>
            <w:tcW w:w="1011" w:type="dxa"/>
            <w:tcBorders>
              <w:top w:val="nil"/>
              <w:left w:val="nil"/>
              <w:bottom w:val="single" w:sz="4" w:space="0" w:color="auto"/>
              <w:right w:val="single" w:sz="4" w:space="0" w:color="auto"/>
            </w:tcBorders>
            <w:shd w:val="clear" w:color="auto" w:fill="auto"/>
            <w:noWrap/>
            <w:vAlign w:val="bottom"/>
            <w:hideMark/>
          </w:tcPr>
          <w:p w14:paraId="3D208611"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596</w:t>
            </w:r>
          </w:p>
        </w:tc>
        <w:tc>
          <w:tcPr>
            <w:tcW w:w="978" w:type="dxa"/>
            <w:tcBorders>
              <w:top w:val="nil"/>
              <w:left w:val="nil"/>
              <w:bottom w:val="single" w:sz="4" w:space="0" w:color="auto"/>
              <w:right w:val="single" w:sz="4" w:space="0" w:color="auto"/>
            </w:tcBorders>
            <w:shd w:val="clear" w:color="auto" w:fill="auto"/>
            <w:noWrap/>
            <w:vAlign w:val="bottom"/>
            <w:hideMark/>
          </w:tcPr>
          <w:p w14:paraId="23C400F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9%</w:t>
            </w:r>
          </w:p>
        </w:tc>
        <w:tc>
          <w:tcPr>
            <w:tcW w:w="1011" w:type="dxa"/>
            <w:tcBorders>
              <w:top w:val="nil"/>
              <w:left w:val="nil"/>
              <w:bottom w:val="single" w:sz="4" w:space="0" w:color="auto"/>
              <w:right w:val="single" w:sz="4" w:space="0" w:color="auto"/>
            </w:tcBorders>
            <w:shd w:val="clear" w:color="auto" w:fill="auto"/>
            <w:noWrap/>
            <w:vAlign w:val="bottom"/>
            <w:hideMark/>
          </w:tcPr>
          <w:p w14:paraId="31668FF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611</w:t>
            </w:r>
          </w:p>
        </w:tc>
        <w:tc>
          <w:tcPr>
            <w:tcW w:w="723" w:type="dxa"/>
            <w:tcBorders>
              <w:top w:val="nil"/>
              <w:left w:val="nil"/>
              <w:bottom w:val="single" w:sz="4" w:space="0" w:color="auto"/>
              <w:right w:val="single" w:sz="4" w:space="0" w:color="auto"/>
            </w:tcBorders>
            <w:shd w:val="clear" w:color="auto" w:fill="auto"/>
            <w:noWrap/>
            <w:vAlign w:val="bottom"/>
            <w:hideMark/>
          </w:tcPr>
          <w:p w14:paraId="46AE27C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9%</w:t>
            </w:r>
          </w:p>
        </w:tc>
      </w:tr>
      <w:tr w:rsidR="00FF504F" w:rsidRPr="00FF504F" w14:paraId="5940260A" w14:textId="77777777" w:rsidTr="00FF504F">
        <w:trPr>
          <w:trHeight w:val="285"/>
        </w:trPr>
        <w:tc>
          <w:tcPr>
            <w:tcW w:w="342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660923E"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Depressive disorders</w:t>
            </w:r>
          </w:p>
        </w:tc>
        <w:tc>
          <w:tcPr>
            <w:tcW w:w="1011" w:type="dxa"/>
            <w:tcBorders>
              <w:top w:val="nil"/>
              <w:left w:val="nil"/>
              <w:bottom w:val="single" w:sz="4" w:space="0" w:color="auto"/>
              <w:right w:val="single" w:sz="4" w:space="0" w:color="auto"/>
            </w:tcBorders>
            <w:shd w:val="clear" w:color="auto" w:fill="auto"/>
            <w:noWrap/>
            <w:vAlign w:val="bottom"/>
            <w:hideMark/>
          </w:tcPr>
          <w:p w14:paraId="41D70A7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117</w:t>
            </w:r>
          </w:p>
        </w:tc>
        <w:tc>
          <w:tcPr>
            <w:tcW w:w="978" w:type="dxa"/>
            <w:tcBorders>
              <w:top w:val="nil"/>
              <w:left w:val="nil"/>
              <w:bottom w:val="single" w:sz="4" w:space="0" w:color="auto"/>
              <w:right w:val="single" w:sz="4" w:space="0" w:color="auto"/>
            </w:tcBorders>
            <w:shd w:val="clear" w:color="auto" w:fill="auto"/>
            <w:noWrap/>
            <w:vAlign w:val="bottom"/>
            <w:hideMark/>
          </w:tcPr>
          <w:p w14:paraId="71B9956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w:t>
            </w:r>
          </w:p>
        </w:tc>
        <w:tc>
          <w:tcPr>
            <w:tcW w:w="1011" w:type="dxa"/>
            <w:tcBorders>
              <w:top w:val="nil"/>
              <w:left w:val="nil"/>
              <w:bottom w:val="single" w:sz="4" w:space="0" w:color="auto"/>
              <w:right w:val="single" w:sz="4" w:space="0" w:color="auto"/>
            </w:tcBorders>
            <w:shd w:val="clear" w:color="auto" w:fill="auto"/>
            <w:noWrap/>
            <w:vAlign w:val="bottom"/>
            <w:hideMark/>
          </w:tcPr>
          <w:p w14:paraId="77A57B4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98</w:t>
            </w:r>
          </w:p>
        </w:tc>
        <w:tc>
          <w:tcPr>
            <w:tcW w:w="723" w:type="dxa"/>
            <w:tcBorders>
              <w:top w:val="nil"/>
              <w:left w:val="nil"/>
              <w:bottom w:val="single" w:sz="4" w:space="0" w:color="auto"/>
              <w:right w:val="single" w:sz="4" w:space="0" w:color="auto"/>
            </w:tcBorders>
            <w:shd w:val="clear" w:color="auto" w:fill="auto"/>
            <w:noWrap/>
            <w:vAlign w:val="bottom"/>
            <w:hideMark/>
          </w:tcPr>
          <w:p w14:paraId="2276BA72"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w:t>
            </w:r>
          </w:p>
        </w:tc>
        <w:tc>
          <w:tcPr>
            <w:tcW w:w="1011" w:type="dxa"/>
            <w:tcBorders>
              <w:top w:val="nil"/>
              <w:left w:val="nil"/>
              <w:bottom w:val="single" w:sz="4" w:space="0" w:color="auto"/>
              <w:right w:val="single" w:sz="4" w:space="0" w:color="auto"/>
            </w:tcBorders>
            <w:shd w:val="clear" w:color="auto" w:fill="auto"/>
            <w:noWrap/>
            <w:vAlign w:val="bottom"/>
            <w:hideMark/>
          </w:tcPr>
          <w:p w14:paraId="3FDB59B1"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128</w:t>
            </w:r>
          </w:p>
        </w:tc>
        <w:tc>
          <w:tcPr>
            <w:tcW w:w="723" w:type="dxa"/>
            <w:tcBorders>
              <w:top w:val="nil"/>
              <w:left w:val="nil"/>
              <w:bottom w:val="single" w:sz="4" w:space="0" w:color="auto"/>
              <w:right w:val="single" w:sz="4" w:space="0" w:color="auto"/>
            </w:tcBorders>
            <w:shd w:val="clear" w:color="auto" w:fill="auto"/>
            <w:noWrap/>
            <w:vAlign w:val="bottom"/>
            <w:hideMark/>
          </w:tcPr>
          <w:p w14:paraId="5D0CB091"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w:t>
            </w:r>
          </w:p>
        </w:tc>
        <w:tc>
          <w:tcPr>
            <w:tcW w:w="1011" w:type="dxa"/>
            <w:tcBorders>
              <w:top w:val="nil"/>
              <w:left w:val="nil"/>
              <w:bottom w:val="single" w:sz="4" w:space="0" w:color="auto"/>
              <w:right w:val="single" w:sz="4" w:space="0" w:color="auto"/>
            </w:tcBorders>
            <w:shd w:val="clear" w:color="auto" w:fill="auto"/>
            <w:noWrap/>
            <w:vAlign w:val="bottom"/>
            <w:hideMark/>
          </w:tcPr>
          <w:p w14:paraId="4ADE9FA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176</w:t>
            </w:r>
          </w:p>
        </w:tc>
        <w:tc>
          <w:tcPr>
            <w:tcW w:w="978" w:type="dxa"/>
            <w:tcBorders>
              <w:top w:val="nil"/>
              <w:left w:val="nil"/>
              <w:bottom w:val="single" w:sz="4" w:space="0" w:color="auto"/>
              <w:right w:val="single" w:sz="4" w:space="0" w:color="auto"/>
            </w:tcBorders>
            <w:shd w:val="clear" w:color="auto" w:fill="auto"/>
            <w:noWrap/>
            <w:vAlign w:val="bottom"/>
            <w:hideMark/>
          </w:tcPr>
          <w:p w14:paraId="599F1EC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3%</w:t>
            </w:r>
          </w:p>
        </w:tc>
        <w:tc>
          <w:tcPr>
            <w:tcW w:w="1011" w:type="dxa"/>
            <w:tcBorders>
              <w:top w:val="nil"/>
              <w:left w:val="nil"/>
              <w:bottom w:val="single" w:sz="4" w:space="0" w:color="auto"/>
              <w:right w:val="single" w:sz="4" w:space="0" w:color="auto"/>
            </w:tcBorders>
            <w:shd w:val="clear" w:color="auto" w:fill="auto"/>
            <w:noWrap/>
            <w:vAlign w:val="bottom"/>
            <w:hideMark/>
          </w:tcPr>
          <w:p w14:paraId="486DC8E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149</w:t>
            </w:r>
          </w:p>
        </w:tc>
        <w:tc>
          <w:tcPr>
            <w:tcW w:w="723" w:type="dxa"/>
            <w:tcBorders>
              <w:top w:val="nil"/>
              <w:left w:val="nil"/>
              <w:bottom w:val="single" w:sz="4" w:space="0" w:color="auto"/>
              <w:right w:val="single" w:sz="4" w:space="0" w:color="auto"/>
            </w:tcBorders>
            <w:shd w:val="clear" w:color="auto" w:fill="auto"/>
            <w:noWrap/>
            <w:vAlign w:val="bottom"/>
            <w:hideMark/>
          </w:tcPr>
          <w:p w14:paraId="36C25B9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w:t>
            </w:r>
          </w:p>
        </w:tc>
      </w:tr>
      <w:tr w:rsidR="00FF504F" w:rsidRPr="00FF504F" w14:paraId="2345DD5B" w14:textId="77777777" w:rsidTr="00FF504F">
        <w:trPr>
          <w:trHeight w:val="285"/>
        </w:trPr>
        <w:tc>
          <w:tcPr>
            <w:tcW w:w="342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D002F58"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Delusional disorder</w:t>
            </w:r>
          </w:p>
        </w:tc>
        <w:tc>
          <w:tcPr>
            <w:tcW w:w="1011" w:type="dxa"/>
            <w:tcBorders>
              <w:top w:val="nil"/>
              <w:left w:val="nil"/>
              <w:bottom w:val="single" w:sz="4" w:space="0" w:color="auto"/>
              <w:right w:val="single" w:sz="4" w:space="0" w:color="auto"/>
            </w:tcBorders>
            <w:shd w:val="clear" w:color="auto" w:fill="auto"/>
            <w:noWrap/>
            <w:vAlign w:val="bottom"/>
            <w:hideMark/>
          </w:tcPr>
          <w:p w14:paraId="5B24F10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99</w:t>
            </w:r>
          </w:p>
        </w:tc>
        <w:tc>
          <w:tcPr>
            <w:tcW w:w="978" w:type="dxa"/>
            <w:tcBorders>
              <w:top w:val="nil"/>
              <w:left w:val="nil"/>
              <w:bottom w:val="single" w:sz="4" w:space="0" w:color="auto"/>
              <w:right w:val="single" w:sz="4" w:space="0" w:color="auto"/>
            </w:tcBorders>
            <w:shd w:val="clear" w:color="auto" w:fill="auto"/>
            <w:noWrap/>
            <w:vAlign w:val="bottom"/>
            <w:hideMark/>
          </w:tcPr>
          <w:p w14:paraId="33404E6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w:t>
            </w:r>
          </w:p>
        </w:tc>
        <w:tc>
          <w:tcPr>
            <w:tcW w:w="1011" w:type="dxa"/>
            <w:tcBorders>
              <w:top w:val="nil"/>
              <w:left w:val="nil"/>
              <w:bottom w:val="single" w:sz="4" w:space="0" w:color="auto"/>
              <w:right w:val="single" w:sz="4" w:space="0" w:color="auto"/>
            </w:tcBorders>
            <w:shd w:val="clear" w:color="auto" w:fill="auto"/>
            <w:noWrap/>
            <w:vAlign w:val="bottom"/>
            <w:hideMark/>
          </w:tcPr>
          <w:p w14:paraId="450C6E41"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117</w:t>
            </w:r>
          </w:p>
        </w:tc>
        <w:tc>
          <w:tcPr>
            <w:tcW w:w="723" w:type="dxa"/>
            <w:tcBorders>
              <w:top w:val="nil"/>
              <w:left w:val="nil"/>
              <w:bottom w:val="single" w:sz="4" w:space="0" w:color="auto"/>
              <w:right w:val="single" w:sz="4" w:space="0" w:color="auto"/>
            </w:tcBorders>
            <w:shd w:val="clear" w:color="auto" w:fill="auto"/>
            <w:noWrap/>
            <w:vAlign w:val="bottom"/>
            <w:hideMark/>
          </w:tcPr>
          <w:p w14:paraId="08EE8D3B"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w:t>
            </w:r>
          </w:p>
        </w:tc>
        <w:tc>
          <w:tcPr>
            <w:tcW w:w="1011" w:type="dxa"/>
            <w:tcBorders>
              <w:top w:val="nil"/>
              <w:left w:val="nil"/>
              <w:bottom w:val="single" w:sz="4" w:space="0" w:color="auto"/>
              <w:right w:val="single" w:sz="4" w:space="0" w:color="auto"/>
            </w:tcBorders>
            <w:shd w:val="clear" w:color="auto" w:fill="auto"/>
            <w:noWrap/>
            <w:vAlign w:val="bottom"/>
            <w:hideMark/>
          </w:tcPr>
          <w:p w14:paraId="42ACCD3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137</w:t>
            </w:r>
          </w:p>
        </w:tc>
        <w:tc>
          <w:tcPr>
            <w:tcW w:w="723" w:type="dxa"/>
            <w:tcBorders>
              <w:top w:val="nil"/>
              <w:left w:val="nil"/>
              <w:bottom w:val="single" w:sz="4" w:space="0" w:color="auto"/>
              <w:right w:val="single" w:sz="4" w:space="0" w:color="auto"/>
            </w:tcBorders>
            <w:shd w:val="clear" w:color="auto" w:fill="auto"/>
            <w:noWrap/>
            <w:vAlign w:val="bottom"/>
            <w:hideMark/>
          </w:tcPr>
          <w:p w14:paraId="7A49034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w:t>
            </w:r>
          </w:p>
        </w:tc>
        <w:tc>
          <w:tcPr>
            <w:tcW w:w="1011" w:type="dxa"/>
            <w:tcBorders>
              <w:top w:val="nil"/>
              <w:left w:val="nil"/>
              <w:bottom w:val="single" w:sz="4" w:space="0" w:color="auto"/>
              <w:right w:val="single" w:sz="4" w:space="0" w:color="auto"/>
            </w:tcBorders>
            <w:shd w:val="clear" w:color="auto" w:fill="auto"/>
            <w:noWrap/>
            <w:vAlign w:val="bottom"/>
            <w:hideMark/>
          </w:tcPr>
          <w:p w14:paraId="5E0FAE42"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135</w:t>
            </w:r>
          </w:p>
        </w:tc>
        <w:tc>
          <w:tcPr>
            <w:tcW w:w="978" w:type="dxa"/>
            <w:tcBorders>
              <w:top w:val="nil"/>
              <w:left w:val="nil"/>
              <w:bottom w:val="single" w:sz="4" w:space="0" w:color="auto"/>
              <w:right w:val="single" w:sz="4" w:space="0" w:color="auto"/>
            </w:tcBorders>
            <w:shd w:val="clear" w:color="auto" w:fill="auto"/>
            <w:noWrap/>
            <w:vAlign w:val="bottom"/>
            <w:hideMark/>
          </w:tcPr>
          <w:p w14:paraId="1A9CF05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w:t>
            </w:r>
          </w:p>
        </w:tc>
        <w:tc>
          <w:tcPr>
            <w:tcW w:w="1011" w:type="dxa"/>
            <w:tcBorders>
              <w:top w:val="nil"/>
              <w:left w:val="nil"/>
              <w:bottom w:val="single" w:sz="4" w:space="0" w:color="auto"/>
              <w:right w:val="single" w:sz="4" w:space="0" w:color="auto"/>
            </w:tcBorders>
            <w:shd w:val="clear" w:color="auto" w:fill="auto"/>
            <w:noWrap/>
            <w:vAlign w:val="bottom"/>
            <w:hideMark/>
          </w:tcPr>
          <w:p w14:paraId="11BE308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163</w:t>
            </w:r>
          </w:p>
        </w:tc>
        <w:tc>
          <w:tcPr>
            <w:tcW w:w="723" w:type="dxa"/>
            <w:tcBorders>
              <w:top w:val="nil"/>
              <w:left w:val="nil"/>
              <w:bottom w:val="single" w:sz="4" w:space="0" w:color="auto"/>
              <w:right w:val="single" w:sz="4" w:space="0" w:color="auto"/>
            </w:tcBorders>
            <w:shd w:val="clear" w:color="auto" w:fill="auto"/>
            <w:noWrap/>
            <w:vAlign w:val="bottom"/>
            <w:hideMark/>
          </w:tcPr>
          <w:p w14:paraId="48594200"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w:t>
            </w:r>
          </w:p>
        </w:tc>
      </w:tr>
      <w:tr w:rsidR="00FF504F" w:rsidRPr="00FF504F" w14:paraId="7F56299D" w14:textId="77777777" w:rsidTr="00FF504F">
        <w:trPr>
          <w:trHeight w:val="285"/>
        </w:trPr>
        <w:tc>
          <w:tcPr>
            <w:tcW w:w="342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A49C05A"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Other</w:t>
            </w:r>
          </w:p>
        </w:tc>
        <w:tc>
          <w:tcPr>
            <w:tcW w:w="1011" w:type="dxa"/>
            <w:tcBorders>
              <w:top w:val="nil"/>
              <w:left w:val="nil"/>
              <w:bottom w:val="single" w:sz="4" w:space="0" w:color="auto"/>
              <w:right w:val="single" w:sz="4" w:space="0" w:color="auto"/>
            </w:tcBorders>
            <w:shd w:val="clear" w:color="auto" w:fill="auto"/>
            <w:noWrap/>
            <w:vAlign w:val="bottom"/>
            <w:hideMark/>
          </w:tcPr>
          <w:p w14:paraId="0A6523C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572</w:t>
            </w:r>
          </w:p>
        </w:tc>
        <w:tc>
          <w:tcPr>
            <w:tcW w:w="978" w:type="dxa"/>
            <w:tcBorders>
              <w:top w:val="nil"/>
              <w:left w:val="nil"/>
              <w:bottom w:val="single" w:sz="4" w:space="0" w:color="auto"/>
              <w:right w:val="single" w:sz="4" w:space="0" w:color="auto"/>
            </w:tcBorders>
            <w:shd w:val="clear" w:color="auto" w:fill="auto"/>
            <w:noWrap/>
            <w:vAlign w:val="bottom"/>
            <w:hideMark/>
          </w:tcPr>
          <w:p w14:paraId="651B208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11%</w:t>
            </w:r>
          </w:p>
        </w:tc>
        <w:tc>
          <w:tcPr>
            <w:tcW w:w="1011" w:type="dxa"/>
            <w:tcBorders>
              <w:top w:val="nil"/>
              <w:left w:val="nil"/>
              <w:bottom w:val="single" w:sz="4" w:space="0" w:color="auto"/>
              <w:right w:val="single" w:sz="4" w:space="0" w:color="auto"/>
            </w:tcBorders>
            <w:shd w:val="clear" w:color="auto" w:fill="auto"/>
            <w:noWrap/>
            <w:vAlign w:val="bottom"/>
            <w:hideMark/>
          </w:tcPr>
          <w:p w14:paraId="5CBC9A1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609</w:t>
            </w:r>
          </w:p>
        </w:tc>
        <w:tc>
          <w:tcPr>
            <w:tcW w:w="723" w:type="dxa"/>
            <w:tcBorders>
              <w:top w:val="nil"/>
              <w:left w:val="nil"/>
              <w:bottom w:val="single" w:sz="4" w:space="0" w:color="auto"/>
              <w:right w:val="single" w:sz="4" w:space="0" w:color="auto"/>
            </w:tcBorders>
            <w:shd w:val="clear" w:color="auto" w:fill="auto"/>
            <w:noWrap/>
            <w:vAlign w:val="bottom"/>
            <w:hideMark/>
          </w:tcPr>
          <w:p w14:paraId="4A70282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w:t>
            </w:r>
          </w:p>
        </w:tc>
        <w:tc>
          <w:tcPr>
            <w:tcW w:w="1011" w:type="dxa"/>
            <w:tcBorders>
              <w:top w:val="nil"/>
              <w:left w:val="nil"/>
              <w:bottom w:val="single" w:sz="4" w:space="0" w:color="auto"/>
              <w:right w:val="single" w:sz="4" w:space="0" w:color="auto"/>
            </w:tcBorders>
            <w:shd w:val="clear" w:color="auto" w:fill="auto"/>
            <w:noWrap/>
            <w:vAlign w:val="bottom"/>
            <w:hideMark/>
          </w:tcPr>
          <w:p w14:paraId="4BC1BBDB"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763</w:t>
            </w:r>
          </w:p>
        </w:tc>
        <w:tc>
          <w:tcPr>
            <w:tcW w:w="723" w:type="dxa"/>
            <w:tcBorders>
              <w:top w:val="nil"/>
              <w:left w:val="nil"/>
              <w:bottom w:val="single" w:sz="4" w:space="0" w:color="auto"/>
              <w:right w:val="single" w:sz="4" w:space="0" w:color="auto"/>
            </w:tcBorders>
            <w:shd w:val="clear" w:color="auto" w:fill="auto"/>
            <w:noWrap/>
            <w:vAlign w:val="bottom"/>
            <w:hideMark/>
          </w:tcPr>
          <w:p w14:paraId="6250B04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12%</w:t>
            </w:r>
          </w:p>
        </w:tc>
        <w:tc>
          <w:tcPr>
            <w:tcW w:w="1011" w:type="dxa"/>
            <w:tcBorders>
              <w:top w:val="nil"/>
              <w:left w:val="nil"/>
              <w:bottom w:val="single" w:sz="4" w:space="0" w:color="auto"/>
              <w:right w:val="single" w:sz="4" w:space="0" w:color="auto"/>
            </w:tcBorders>
            <w:shd w:val="clear" w:color="auto" w:fill="auto"/>
            <w:noWrap/>
            <w:vAlign w:val="bottom"/>
            <w:hideMark/>
          </w:tcPr>
          <w:p w14:paraId="4C8766F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810</w:t>
            </w:r>
          </w:p>
        </w:tc>
        <w:tc>
          <w:tcPr>
            <w:tcW w:w="978" w:type="dxa"/>
            <w:tcBorders>
              <w:top w:val="nil"/>
              <w:left w:val="nil"/>
              <w:bottom w:val="single" w:sz="4" w:space="0" w:color="auto"/>
              <w:right w:val="single" w:sz="4" w:space="0" w:color="auto"/>
            </w:tcBorders>
            <w:shd w:val="clear" w:color="auto" w:fill="auto"/>
            <w:noWrap/>
            <w:vAlign w:val="bottom"/>
            <w:hideMark/>
          </w:tcPr>
          <w:p w14:paraId="0185DD0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13%</w:t>
            </w:r>
          </w:p>
        </w:tc>
        <w:tc>
          <w:tcPr>
            <w:tcW w:w="1011" w:type="dxa"/>
            <w:tcBorders>
              <w:top w:val="nil"/>
              <w:left w:val="nil"/>
              <w:bottom w:val="single" w:sz="4" w:space="0" w:color="auto"/>
              <w:right w:val="single" w:sz="4" w:space="0" w:color="auto"/>
            </w:tcBorders>
            <w:shd w:val="clear" w:color="auto" w:fill="auto"/>
            <w:noWrap/>
            <w:vAlign w:val="bottom"/>
            <w:hideMark/>
          </w:tcPr>
          <w:p w14:paraId="077D6AC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809</w:t>
            </w:r>
          </w:p>
        </w:tc>
        <w:tc>
          <w:tcPr>
            <w:tcW w:w="723" w:type="dxa"/>
            <w:tcBorders>
              <w:top w:val="nil"/>
              <w:left w:val="nil"/>
              <w:bottom w:val="single" w:sz="4" w:space="0" w:color="auto"/>
              <w:right w:val="single" w:sz="4" w:space="0" w:color="auto"/>
            </w:tcBorders>
            <w:shd w:val="clear" w:color="auto" w:fill="auto"/>
            <w:noWrap/>
            <w:vAlign w:val="bottom"/>
            <w:hideMark/>
          </w:tcPr>
          <w:p w14:paraId="71770DB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12%</w:t>
            </w:r>
          </w:p>
        </w:tc>
      </w:tr>
      <w:tr w:rsidR="00FF504F" w:rsidRPr="00FF504F" w14:paraId="2670B487" w14:textId="77777777" w:rsidTr="00FF504F">
        <w:trPr>
          <w:trHeight w:val="285"/>
        </w:trPr>
        <w:tc>
          <w:tcPr>
            <w:tcW w:w="342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787657F"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104D7D8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5,329</w:t>
            </w:r>
          </w:p>
        </w:tc>
        <w:tc>
          <w:tcPr>
            <w:tcW w:w="978" w:type="dxa"/>
            <w:tcBorders>
              <w:top w:val="nil"/>
              <w:left w:val="nil"/>
              <w:bottom w:val="single" w:sz="4" w:space="0" w:color="auto"/>
              <w:right w:val="single" w:sz="4" w:space="0" w:color="auto"/>
            </w:tcBorders>
            <w:shd w:val="clear" w:color="auto" w:fill="auto"/>
            <w:noWrap/>
            <w:vAlign w:val="bottom"/>
            <w:hideMark/>
          </w:tcPr>
          <w:p w14:paraId="07D6377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401B386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5,960</w:t>
            </w:r>
          </w:p>
        </w:tc>
        <w:tc>
          <w:tcPr>
            <w:tcW w:w="723" w:type="dxa"/>
            <w:tcBorders>
              <w:top w:val="nil"/>
              <w:left w:val="nil"/>
              <w:bottom w:val="single" w:sz="4" w:space="0" w:color="auto"/>
              <w:right w:val="single" w:sz="4" w:space="0" w:color="auto"/>
            </w:tcBorders>
            <w:shd w:val="clear" w:color="auto" w:fill="auto"/>
            <w:noWrap/>
            <w:vAlign w:val="bottom"/>
            <w:hideMark/>
          </w:tcPr>
          <w:p w14:paraId="6F50D07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0A5B474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6,296</w:t>
            </w:r>
          </w:p>
        </w:tc>
        <w:tc>
          <w:tcPr>
            <w:tcW w:w="723" w:type="dxa"/>
            <w:tcBorders>
              <w:top w:val="nil"/>
              <w:left w:val="nil"/>
              <w:bottom w:val="single" w:sz="4" w:space="0" w:color="auto"/>
              <w:right w:val="single" w:sz="4" w:space="0" w:color="auto"/>
            </w:tcBorders>
            <w:shd w:val="clear" w:color="auto" w:fill="auto"/>
            <w:noWrap/>
            <w:vAlign w:val="bottom"/>
            <w:hideMark/>
          </w:tcPr>
          <w:p w14:paraId="6AC9DF4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5D87B65B"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6,467</w:t>
            </w:r>
          </w:p>
        </w:tc>
        <w:tc>
          <w:tcPr>
            <w:tcW w:w="978" w:type="dxa"/>
            <w:tcBorders>
              <w:top w:val="nil"/>
              <w:left w:val="nil"/>
              <w:bottom w:val="single" w:sz="4" w:space="0" w:color="auto"/>
              <w:right w:val="single" w:sz="4" w:space="0" w:color="auto"/>
            </w:tcBorders>
            <w:shd w:val="clear" w:color="auto" w:fill="auto"/>
            <w:noWrap/>
            <w:vAlign w:val="bottom"/>
            <w:hideMark/>
          </w:tcPr>
          <w:p w14:paraId="3A6B9BC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4D44B9A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6,849</w:t>
            </w:r>
          </w:p>
        </w:tc>
        <w:tc>
          <w:tcPr>
            <w:tcW w:w="723" w:type="dxa"/>
            <w:tcBorders>
              <w:top w:val="nil"/>
              <w:left w:val="nil"/>
              <w:bottom w:val="single" w:sz="4" w:space="0" w:color="auto"/>
              <w:right w:val="single" w:sz="4" w:space="0" w:color="auto"/>
            </w:tcBorders>
            <w:shd w:val="clear" w:color="auto" w:fill="auto"/>
            <w:noWrap/>
            <w:vAlign w:val="bottom"/>
            <w:hideMark/>
          </w:tcPr>
          <w:p w14:paraId="6093F02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r>
    </w:tbl>
    <w:p w14:paraId="4CCA66E6" w14:textId="77777777" w:rsidR="00FF504F" w:rsidRPr="00FF504F" w:rsidRDefault="00FF504F" w:rsidP="00FF504F">
      <w:pPr>
        <w:spacing w:after="200" w:line="276" w:lineRule="auto"/>
        <w:ind w:left="1440"/>
        <w:rPr>
          <w:rFonts w:asciiTheme="minorHAnsi" w:eastAsiaTheme="minorHAnsi" w:hAnsiTheme="minorHAnsi" w:cstheme="minorBidi"/>
          <w:sz w:val="22"/>
          <w:szCs w:val="22"/>
        </w:rPr>
      </w:pPr>
    </w:p>
    <w:p w14:paraId="10CE9BB6" w14:textId="77777777" w:rsidR="00CB3B34" w:rsidRPr="0016274D" w:rsidRDefault="00CB3B34" w:rsidP="000431DC">
      <w:pPr>
        <w:spacing w:after="200" w:line="276" w:lineRule="auto"/>
        <w:ind w:left="1440"/>
        <w:rPr>
          <w:rFonts w:asciiTheme="minorHAnsi" w:eastAsiaTheme="minorHAnsi" w:hAnsiTheme="minorHAnsi" w:cstheme="minorBidi"/>
          <w:sz w:val="22"/>
          <w:szCs w:val="22"/>
        </w:rPr>
      </w:pPr>
    </w:p>
    <w:p w14:paraId="7C336677" w14:textId="77777777" w:rsidR="00A27CA4" w:rsidRPr="0016274D" w:rsidRDefault="00A27CA4">
      <w:pPr>
        <w:rPr>
          <w:rFonts w:ascii="Arial" w:hAnsi="Arial" w:cs="Arial"/>
          <w:b/>
        </w:rPr>
      </w:pPr>
      <w:r>
        <w:rPr>
          <w:rFonts w:ascii="Arial" w:hAnsi="Arial" w:cs="Arial"/>
          <w:b/>
          <w:color w:val="FF0000"/>
        </w:rPr>
        <w:br w:type="page"/>
      </w:r>
    </w:p>
    <w:p w14:paraId="54504EE2" w14:textId="31D00120" w:rsidR="00A27CA4" w:rsidRPr="00053B9F" w:rsidRDefault="00A27CA4" w:rsidP="0016274D">
      <w:pPr>
        <w:keepNext/>
        <w:keepLines/>
        <w:spacing w:before="240" w:after="90"/>
        <w:ind w:left="2160" w:hanging="2160"/>
        <w:contextualSpacing/>
        <w:jc w:val="center"/>
        <w:outlineLvl w:val="1"/>
        <w:rPr>
          <w:rFonts w:ascii="Arial" w:hAnsi="Arial" w:cs="Arial"/>
          <w:b/>
          <w:caps/>
          <w:sz w:val="32"/>
          <w:szCs w:val="32"/>
        </w:rPr>
      </w:pPr>
      <w:bookmarkStart w:id="22" w:name="_Hlk12461350"/>
      <w:r w:rsidRPr="00053B9F">
        <w:rPr>
          <w:rFonts w:ascii="Arial" w:hAnsi="Arial" w:cs="Arial"/>
          <w:b/>
          <w:caps/>
          <w:sz w:val="32"/>
          <w:szCs w:val="32"/>
        </w:rPr>
        <w:lastRenderedPageBreak/>
        <w:t>Appendix B:</w:t>
      </w:r>
      <w:r w:rsidRPr="00053B9F">
        <w:rPr>
          <w:rFonts w:ascii="Arial" w:hAnsi="Arial" w:cs="Arial"/>
          <w:b/>
          <w:caps/>
          <w:sz w:val="32"/>
          <w:szCs w:val="32"/>
        </w:rPr>
        <w:tab/>
      </w:r>
      <w:r w:rsidR="000431DC">
        <w:rPr>
          <w:rFonts w:ascii="Arial" w:hAnsi="Arial" w:cs="Arial"/>
          <w:b/>
          <w:caps/>
          <w:sz w:val="32"/>
          <w:szCs w:val="32"/>
        </w:rPr>
        <w:t>secure treatment order</w:t>
      </w:r>
      <w:r w:rsidRPr="00053B9F">
        <w:rPr>
          <w:rFonts w:ascii="Arial" w:hAnsi="Arial" w:cs="Arial"/>
          <w:b/>
          <w:caps/>
          <w:sz w:val="32"/>
          <w:szCs w:val="32"/>
        </w:rPr>
        <w:t xml:space="preserve"> statistics and demographic data</w:t>
      </w:r>
    </w:p>
    <w:bookmarkEnd w:id="22"/>
    <w:p w14:paraId="27EF0CE5" w14:textId="77777777" w:rsidR="00A27CA4" w:rsidRDefault="00A27CA4" w:rsidP="00A27CA4">
      <w:pPr>
        <w:keepNext/>
        <w:keepLines/>
        <w:spacing w:before="240" w:after="90"/>
        <w:contextualSpacing/>
        <w:outlineLvl w:val="1"/>
        <w:rPr>
          <w:rFonts w:ascii="Arial" w:hAnsi="Arial" w:cs="Arial"/>
          <w:caps/>
        </w:rPr>
      </w:pPr>
    </w:p>
    <w:p w14:paraId="18CE6A09" w14:textId="77777777" w:rsidR="00A27CA4" w:rsidRDefault="00A27CA4" w:rsidP="00A27CA4">
      <w:pPr>
        <w:keepNext/>
        <w:keepLines/>
        <w:spacing w:before="240" w:after="90"/>
        <w:contextualSpacing/>
        <w:outlineLvl w:val="1"/>
        <w:rPr>
          <w:rFonts w:ascii="Arial" w:hAnsi="Arial" w:cs="Arial"/>
          <w:caps/>
        </w:rPr>
      </w:pPr>
    </w:p>
    <w:p w14:paraId="4BADFD9A" w14:textId="77777777" w:rsidR="000431DC" w:rsidRPr="000431DC" w:rsidRDefault="000431DC" w:rsidP="000431DC">
      <w:pPr>
        <w:spacing w:after="200" w:line="276" w:lineRule="auto"/>
        <w:ind w:left="1440"/>
        <w:rPr>
          <w:rFonts w:asciiTheme="minorHAnsi" w:eastAsiaTheme="minorHAnsi" w:hAnsiTheme="minorHAnsi" w:cstheme="minorBidi"/>
          <w:sz w:val="22"/>
          <w:szCs w:val="22"/>
        </w:rPr>
      </w:pPr>
    </w:p>
    <w:tbl>
      <w:tblPr>
        <w:tblW w:w="12245" w:type="dxa"/>
        <w:tblInd w:w="1440" w:type="dxa"/>
        <w:tblLook w:val="04A0" w:firstRow="1" w:lastRow="0" w:firstColumn="1" w:lastColumn="0" w:noHBand="0" w:noVBand="1"/>
      </w:tblPr>
      <w:tblGrid>
        <w:gridCol w:w="3575"/>
        <w:gridCol w:w="1011"/>
        <w:gridCol w:w="723"/>
        <w:gridCol w:w="1011"/>
        <w:gridCol w:w="723"/>
        <w:gridCol w:w="1011"/>
        <w:gridCol w:w="723"/>
        <w:gridCol w:w="1011"/>
        <w:gridCol w:w="723"/>
        <w:gridCol w:w="1011"/>
        <w:gridCol w:w="723"/>
      </w:tblGrid>
      <w:tr w:rsidR="000431DC" w:rsidRPr="000431DC" w14:paraId="078D56A4" w14:textId="77777777" w:rsidTr="000431DC">
        <w:trPr>
          <w:trHeight w:val="285"/>
        </w:trPr>
        <w:tc>
          <w:tcPr>
            <w:tcW w:w="3575"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bottom"/>
            <w:hideMark/>
          </w:tcPr>
          <w:p w14:paraId="6CE6E4F2" w14:textId="70AA852B" w:rsidR="000431DC" w:rsidRPr="000431DC" w:rsidRDefault="000431DC" w:rsidP="000431DC">
            <w:pPr>
              <w:ind w:firstLineChars="100" w:firstLine="221"/>
              <w:rPr>
                <w:rFonts w:ascii="VIC" w:hAnsi="VIC"/>
                <w:b/>
                <w:bCs/>
                <w:color w:val="000000"/>
                <w:sz w:val="22"/>
                <w:szCs w:val="22"/>
                <w:lang w:eastAsia="en-AU"/>
              </w:rPr>
            </w:pPr>
            <w:r w:rsidRPr="000431DC">
              <w:rPr>
                <w:rFonts w:ascii="VIC" w:hAnsi="VIC"/>
                <w:b/>
                <w:bCs/>
                <w:color w:val="000000"/>
                <w:sz w:val="22"/>
                <w:szCs w:val="22"/>
                <w:lang w:eastAsia="en-AU"/>
              </w:rPr>
              <w:t>S</w:t>
            </w:r>
            <w:r>
              <w:rPr>
                <w:rFonts w:ascii="VIC" w:hAnsi="VIC"/>
                <w:b/>
                <w:bCs/>
                <w:color w:val="000000"/>
                <w:sz w:val="22"/>
                <w:szCs w:val="22"/>
                <w:lang w:eastAsia="en-AU"/>
              </w:rPr>
              <w:t>TO Determinations</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70E9F63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5A98C31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31818BC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1/7/2016 - 30/6/2017</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51DCD24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1/7/2017 - 30/6/2018</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1F7C888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1/6/2018 - 31/5/2019</w:t>
            </w:r>
          </w:p>
        </w:tc>
      </w:tr>
      <w:tr w:rsidR="000431DC" w:rsidRPr="000431DC" w14:paraId="183FE4DB" w14:textId="77777777" w:rsidTr="000431DC">
        <w:trPr>
          <w:trHeight w:val="285"/>
        </w:trPr>
        <w:tc>
          <w:tcPr>
            <w:tcW w:w="3575" w:type="dxa"/>
            <w:vMerge/>
            <w:tcBorders>
              <w:top w:val="single" w:sz="4" w:space="0" w:color="auto"/>
              <w:left w:val="single" w:sz="4" w:space="0" w:color="auto"/>
              <w:bottom w:val="single" w:sz="4" w:space="0" w:color="000000"/>
              <w:right w:val="single" w:sz="4" w:space="0" w:color="auto"/>
            </w:tcBorders>
            <w:vAlign w:val="center"/>
            <w:hideMark/>
          </w:tcPr>
          <w:p w14:paraId="544197A3" w14:textId="77777777" w:rsidR="000431DC" w:rsidRPr="000431DC" w:rsidRDefault="000431DC" w:rsidP="000431DC">
            <w:pPr>
              <w:rPr>
                <w:rFonts w:ascii="VIC" w:hAnsi="VIC"/>
                <w:b/>
                <w:bCs/>
                <w:color w:val="000000"/>
                <w:sz w:val="22"/>
                <w:szCs w:val="22"/>
                <w:lang w:eastAsia="en-AU"/>
              </w:rPr>
            </w:pPr>
          </w:p>
        </w:tc>
        <w:tc>
          <w:tcPr>
            <w:tcW w:w="1011" w:type="dxa"/>
            <w:tcBorders>
              <w:top w:val="nil"/>
              <w:left w:val="nil"/>
              <w:bottom w:val="single" w:sz="4" w:space="0" w:color="auto"/>
              <w:right w:val="single" w:sz="4" w:space="0" w:color="auto"/>
            </w:tcBorders>
            <w:shd w:val="clear" w:color="000000" w:fill="D9E1F2"/>
            <w:vAlign w:val="bottom"/>
            <w:hideMark/>
          </w:tcPr>
          <w:p w14:paraId="73631BA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vAlign w:val="bottom"/>
            <w:hideMark/>
          </w:tcPr>
          <w:p w14:paraId="3C29EFC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vAlign w:val="bottom"/>
            <w:hideMark/>
          </w:tcPr>
          <w:p w14:paraId="2FDF773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vAlign w:val="bottom"/>
            <w:hideMark/>
          </w:tcPr>
          <w:p w14:paraId="2AEE148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vAlign w:val="bottom"/>
            <w:hideMark/>
          </w:tcPr>
          <w:p w14:paraId="0A95A5A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vAlign w:val="bottom"/>
            <w:hideMark/>
          </w:tcPr>
          <w:p w14:paraId="2A00DD1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vAlign w:val="bottom"/>
            <w:hideMark/>
          </w:tcPr>
          <w:p w14:paraId="7E2FC5D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vAlign w:val="bottom"/>
            <w:hideMark/>
          </w:tcPr>
          <w:p w14:paraId="09C6230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vAlign w:val="bottom"/>
            <w:hideMark/>
          </w:tcPr>
          <w:p w14:paraId="1139729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vAlign w:val="bottom"/>
            <w:hideMark/>
          </w:tcPr>
          <w:p w14:paraId="63ED0E0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r>
      <w:tr w:rsidR="000431DC" w:rsidRPr="000431DC" w14:paraId="67F99AB4" w14:textId="77777777" w:rsidTr="000431DC">
        <w:trPr>
          <w:trHeight w:val="285"/>
        </w:trPr>
        <w:tc>
          <w:tcPr>
            <w:tcW w:w="3575" w:type="dxa"/>
            <w:tcBorders>
              <w:top w:val="nil"/>
              <w:left w:val="single" w:sz="4" w:space="0" w:color="auto"/>
              <w:bottom w:val="single" w:sz="4" w:space="0" w:color="auto"/>
              <w:right w:val="single" w:sz="4" w:space="0" w:color="auto"/>
            </w:tcBorders>
            <w:shd w:val="clear" w:color="000000" w:fill="D9E1F2"/>
            <w:noWrap/>
            <w:vAlign w:val="bottom"/>
            <w:hideMark/>
          </w:tcPr>
          <w:p w14:paraId="663B75E1" w14:textId="77777777" w:rsidR="000431DC" w:rsidRPr="000431DC" w:rsidRDefault="000431DC" w:rsidP="000431DC">
            <w:pPr>
              <w:ind w:firstLineChars="100" w:firstLine="200"/>
              <w:rPr>
                <w:rFonts w:ascii="VIC" w:hAnsi="VIC"/>
                <w:color w:val="000000"/>
                <w:lang w:eastAsia="en-AU"/>
              </w:rPr>
            </w:pPr>
            <w:r w:rsidRPr="000431DC">
              <w:rPr>
                <w:rFonts w:ascii="VIC" w:hAnsi="VIC"/>
                <w:color w:val="000000"/>
                <w:lang w:eastAsia="en-AU"/>
              </w:rPr>
              <w:t>Remain security patient</w:t>
            </w:r>
          </w:p>
        </w:tc>
        <w:tc>
          <w:tcPr>
            <w:tcW w:w="1011" w:type="dxa"/>
            <w:tcBorders>
              <w:top w:val="nil"/>
              <w:left w:val="nil"/>
              <w:bottom w:val="single" w:sz="4" w:space="0" w:color="auto"/>
              <w:right w:val="single" w:sz="4" w:space="0" w:color="auto"/>
            </w:tcBorders>
            <w:shd w:val="clear" w:color="auto" w:fill="auto"/>
            <w:noWrap/>
            <w:vAlign w:val="bottom"/>
            <w:hideMark/>
          </w:tcPr>
          <w:p w14:paraId="12262E2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98</w:t>
            </w:r>
          </w:p>
        </w:tc>
        <w:tc>
          <w:tcPr>
            <w:tcW w:w="723" w:type="dxa"/>
            <w:tcBorders>
              <w:top w:val="nil"/>
              <w:left w:val="nil"/>
              <w:bottom w:val="single" w:sz="4" w:space="0" w:color="auto"/>
              <w:right w:val="single" w:sz="4" w:space="0" w:color="auto"/>
            </w:tcBorders>
            <w:shd w:val="clear" w:color="auto" w:fill="auto"/>
            <w:noWrap/>
            <w:vAlign w:val="bottom"/>
            <w:hideMark/>
          </w:tcPr>
          <w:p w14:paraId="5DC559D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96%</w:t>
            </w:r>
          </w:p>
        </w:tc>
        <w:tc>
          <w:tcPr>
            <w:tcW w:w="1011" w:type="dxa"/>
            <w:tcBorders>
              <w:top w:val="nil"/>
              <w:left w:val="nil"/>
              <w:bottom w:val="single" w:sz="4" w:space="0" w:color="auto"/>
              <w:right w:val="single" w:sz="4" w:space="0" w:color="auto"/>
            </w:tcBorders>
            <w:shd w:val="clear" w:color="auto" w:fill="auto"/>
            <w:noWrap/>
            <w:vAlign w:val="bottom"/>
            <w:hideMark/>
          </w:tcPr>
          <w:p w14:paraId="77149ED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76</w:t>
            </w:r>
          </w:p>
        </w:tc>
        <w:tc>
          <w:tcPr>
            <w:tcW w:w="723" w:type="dxa"/>
            <w:tcBorders>
              <w:top w:val="nil"/>
              <w:left w:val="nil"/>
              <w:bottom w:val="single" w:sz="4" w:space="0" w:color="auto"/>
              <w:right w:val="single" w:sz="4" w:space="0" w:color="auto"/>
            </w:tcBorders>
            <w:shd w:val="clear" w:color="auto" w:fill="auto"/>
            <w:noWrap/>
            <w:vAlign w:val="bottom"/>
            <w:hideMark/>
          </w:tcPr>
          <w:p w14:paraId="6D1E831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97%</w:t>
            </w:r>
          </w:p>
        </w:tc>
        <w:tc>
          <w:tcPr>
            <w:tcW w:w="1011" w:type="dxa"/>
            <w:tcBorders>
              <w:top w:val="nil"/>
              <w:left w:val="nil"/>
              <w:bottom w:val="single" w:sz="4" w:space="0" w:color="auto"/>
              <w:right w:val="single" w:sz="4" w:space="0" w:color="auto"/>
            </w:tcBorders>
            <w:shd w:val="clear" w:color="auto" w:fill="auto"/>
            <w:noWrap/>
            <w:vAlign w:val="bottom"/>
            <w:hideMark/>
          </w:tcPr>
          <w:p w14:paraId="46989D5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72</w:t>
            </w:r>
          </w:p>
        </w:tc>
        <w:tc>
          <w:tcPr>
            <w:tcW w:w="723" w:type="dxa"/>
            <w:tcBorders>
              <w:top w:val="nil"/>
              <w:left w:val="nil"/>
              <w:bottom w:val="single" w:sz="4" w:space="0" w:color="auto"/>
              <w:right w:val="single" w:sz="4" w:space="0" w:color="auto"/>
            </w:tcBorders>
            <w:shd w:val="clear" w:color="auto" w:fill="auto"/>
            <w:noWrap/>
            <w:vAlign w:val="bottom"/>
            <w:hideMark/>
          </w:tcPr>
          <w:p w14:paraId="67D805A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92%</w:t>
            </w:r>
          </w:p>
        </w:tc>
        <w:tc>
          <w:tcPr>
            <w:tcW w:w="1011" w:type="dxa"/>
            <w:tcBorders>
              <w:top w:val="nil"/>
              <w:left w:val="nil"/>
              <w:bottom w:val="single" w:sz="4" w:space="0" w:color="auto"/>
              <w:right w:val="single" w:sz="4" w:space="0" w:color="auto"/>
            </w:tcBorders>
            <w:shd w:val="clear" w:color="auto" w:fill="auto"/>
            <w:noWrap/>
            <w:vAlign w:val="bottom"/>
            <w:hideMark/>
          </w:tcPr>
          <w:p w14:paraId="655E316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77</w:t>
            </w:r>
          </w:p>
        </w:tc>
        <w:tc>
          <w:tcPr>
            <w:tcW w:w="723" w:type="dxa"/>
            <w:tcBorders>
              <w:top w:val="nil"/>
              <w:left w:val="nil"/>
              <w:bottom w:val="single" w:sz="4" w:space="0" w:color="auto"/>
              <w:right w:val="single" w:sz="4" w:space="0" w:color="auto"/>
            </w:tcBorders>
            <w:shd w:val="clear" w:color="auto" w:fill="auto"/>
            <w:noWrap/>
            <w:vAlign w:val="bottom"/>
            <w:hideMark/>
          </w:tcPr>
          <w:p w14:paraId="699A5D2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97%</w:t>
            </w:r>
          </w:p>
        </w:tc>
        <w:tc>
          <w:tcPr>
            <w:tcW w:w="1011" w:type="dxa"/>
            <w:tcBorders>
              <w:top w:val="nil"/>
              <w:left w:val="nil"/>
              <w:bottom w:val="single" w:sz="4" w:space="0" w:color="auto"/>
              <w:right w:val="single" w:sz="4" w:space="0" w:color="auto"/>
            </w:tcBorders>
            <w:shd w:val="clear" w:color="auto" w:fill="auto"/>
            <w:noWrap/>
            <w:vAlign w:val="bottom"/>
            <w:hideMark/>
          </w:tcPr>
          <w:p w14:paraId="61F3F94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84</w:t>
            </w:r>
          </w:p>
        </w:tc>
        <w:tc>
          <w:tcPr>
            <w:tcW w:w="723" w:type="dxa"/>
            <w:tcBorders>
              <w:top w:val="nil"/>
              <w:left w:val="nil"/>
              <w:bottom w:val="single" w:sz="4" w:space="0" w:color="auto"/>
              <w:right w:val="single" w:sz="4" w:space="0" w:color="auto"/>
            </w:tcBorders>
            <w:shd w:val="clear" w:color="auto" w:fill="auto"/>
            <w:noWrap/>
            <w:vAlign w:val="bottom"/>
            <w:hideMark/>
          </w:tcPr>
          <w:p w14:paraId="67B00D4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r w:rsidR="000431DC" w:rsidRPr="000431DC" w14:paraId="5A7948E7" w14:textId="77777777" w:rsidTr="000431DC">
        <w:trPr>
          <w:trHeight w:val="285"/>
        </w:trPr>
        <w:tc>
          <w:tcPr>
            <w:tcW w:w="3575" w:type="dxa"/>
            <w:tcBorders>
              <w:top w:val="nil"/>
              <w:left w:val="single" w:sz="4" w:space="0" w:color="auto"/>
              <w:bottom w:val="single" w:sz="4" w:space="0" w:color="auto"/>
              <w:right w:val="single" w:sz="4" w:space="0" w:color="auto"/>
            </w:tcBorders>
            <w:shd w:val="clear" w:color="000000" w:fill="D9E1F2"/>
            <w:noWrap/>
            <w:vAlign w:val="bottom"/>
            <w:hideMark/>
          </w:tcPr>
          <w:p w14:paraId="6DB0E3A6" w14:textId="77777777" w:rsidR="000431DC" w:rsidRPr="000431DC" w:rsidRDefault="000431DC" w:rsidP="000431DC">
            <w:pPr>
              <w:ind w:firstLineChars="100" w:firstLine="200"/>
              <w:rPr>
                <w:rFonts w:ascii="VIC" w:hAnsi="VIC"/>
                <w:color w:val="000000"/>
                <w:lang w:eastAsia="en-AU"/>
              </w:rPr>
            </w:pPr>
            <w:r w:rsidRPr="000431DC">
              <w:rPr>
                <w:rFonts w:ascii="VIC" w:hAnsi="VIC"/>
                <w:color w:val="000000"/>
                <w:lang w:eastAsia="en-AU"/>
              </w:rPr>
              <w:t>Discharged as security patient</w:t>
            </w:r>
          </w:p>
        </w:tc>
        <w:tc>
          <w:tcPr>
            <w:tcW w:w="1011" w:type="dxa"/>
            <w:tcBorders>
              <w:top w:val="nil"/>
              <w:left w:val="nil"/>
              <w:bottom w:val="single" w:sz="4" w:space="0" w:color="auto"/>
              <w:right w:val="single" w:sz="4" w:space="0" w:color="auto"/>
            </w:tcBorders>
            <w:shd w:val="clear" w:color="auto" w:fill="auto"/>
            <w:noWrap/>
            <w:vAlign w:val="bottom"/>
            <w:hideMark/>
          </w:tcPr>
          <w:p w14:paraId="361A459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w:t>
            </w:r>
          </w:p>
        </w:tc>
        <w:tc>
          <w:tcPr>
            <w:tcW w:w="723" w:type="dxa"/>
            <w:tcBorders>
              <w:top w:val="nil"/>
              <w:left w:val="nil"/>
              <w:bottom w:val="single" w:sz="4" w:space="0" w:color="auto"/>
              <w:right w:val="single" w:sz="4" w:space="0" w:color="auto"/>
            </w:tcBorders>
            <w:shd w:val="clear" w:color="auto" w:fill="auto"/>
            <w:noWrap/>
            <w:vAlign w:val="bottom"/>
            <w:hideMark/>
          </w:tcPr>
          <w:p w14:paraId="28ECE6C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w:t>
            </w:r>
          </w:p>
        </w:tc>
        <w:tc>
          <w:tcPr>
            <w:tcW w:w="1011" w:type="dxa"/>
            <w:tcBorders>
              <w:top w:val="nil"/>
              <w:left w:val="nil"/>
              <w:bottom w:val="single" w:sz="4" w:space="0" w:color="auto"/>
              <w:right w:val="single" w:sz="4" w:space="0" w:color="auto"/>
            </w:tcBorders>
            <w:shd w:val="clear" w:color="auto" w:fill="auto"/>
            <w:noWrap/>
            <w:vAlign w:val="bottom"/>
            <w:hideMark/>
          </w:tcPr>
          <w:p w14:paraId="235F601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w:t>
            </w:r>
          </w:p>
        </w:tc>
        <w:tc>
          <w:tcPr>
            <w:tcW w:w="723" w:type="dxa"/>
            <w:tcBorders>
              <w:top w:val="nil"/>
              <w:left w:val="nil"/>
              <w:bottom w:val="single" w:sz="4" w:space="0" w:color="auto"/>
              <w:right w:val="single" w:sz="4" w:space="0" w:color="auto"/>
            </w:tcBorders>
            <w:shd w:val="clear" w:color="auto" w:fill="auto"/>
            <w:noWrap/>
            <w:vAlign w:val="bottom"/>
            <w:hideMark/>
          </w:tcPr>
          <w:p w14:paraId="1CF5A0A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w:t>
            </w:r>
          </w:p>
        </w:tc>
        <w:tc>
          <w:tcPr>
            <w:tcW w:w="1011" w:type="dxa"/>
            <w:tcBorders>
              <w:top w:val="nil"/>
              <w:left w:val="nil"/>
              <w:bottom w:val="single" w:sz="4" w:space="0" w:color="auto"/>
              <w:right w:val="single" w:sz="4" w:space="0" w:color="auto"/>
            </w:tcBorders>
            <w:shd w:val="clear" w:color="auto" w:fill="auto"/>
            <w:noWrap/>
            <w:vAlign w:val="bottom"/>
            <w:hideMark/>
          </w:tcPr>
          <w:p w14:paraId="1621FCA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w:t>
            </w:r>
          </w:p>
        </w:tc>
        <w:tc>
          <w:tcPr>
            <w:tcW w:w="723" w:type="dxa"/>
            <w:tcBorders>
              <w:top w:val="nil"/>
              <w:left w:val="nil"/>
              <w:bottom w:val="single" w:sz="4" w:space="0" w:color="auto"/>
              <w:right w:val="single" w:sz="4" w:space="0" w:color="auto"/>
            </w:tcBorders>
            <w:shd w:val="clear" w:color="auto" w:fill="auto"/>
            <w:noWrap/>
            <w:vAlign w:val="bottom"/>
            <w:hideMark/>
          </w:tcPr>
          <w:p w14:paraId="30E5F9B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w:t>
            </w:r>
          </w:p>
        </w:tc>
        <w:tc>
          <w:tcPr>
            <w:tcW w:w="1011" w:type="dxa"/>
            <w:tcBorders>
              <w:top w:val="nil"/>
              <w:left w:val="nil"/>
              <w:bottom w:val="single" w:sz="4" w:space="0" w:color="auto"/>
              <w:right w:val="single" w:sz="4" w:space="0" w:color="auto"/>
            </w:tcBorders>
            <w:shd w:val="clear" w:color="auto" w:fill="auto"/>
            <w:noWrap/>
            <w:vAlign w:val="bottom"/>
            <w:hideMark/>
          </w:tcPr>
          <w:p w14:paraId="01A9CF0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w:t>
            </w:r>
          </w:p>
        </w:tc>
        <w:tc>
          <w:tcPr>
            <w:tcW w:w="723" w:type="dxa"/>
            <w:tcBorders>
              <w:top w:val="nil"/>
              <w:left w:val="nil"/>
              <w:bottom w:val="single" w:sz="4" w:space="0" w:color="auto"/>
              <w:right w:val="single" w:sz="4" w:space="0" w:color="auto"/>
            </w:tcBorders>
            <w:shd w:val="clear" w:color="auto" w:fill="auto"/>
            <w:noWrap/>
            <w:vAlign w:val="bottom"/>
            <w:hideMark/>
          </w:tcPr>
          <w:p w14:paraId="6A78087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w:t>
            </w:r>
          </w:p>
        </w:tc>
        <w:tc>
          <w:tcPr>
            <w:tcW w:w="1011" w:type="dxa"/>
            <w:tcBorders>
              <w:top w:val="nil"/>
              <w:left w:val="nil"/>
              <w:bottom w:val="single" w:sz="4" w:space="0" w:color="auto"/>
              <w:right w:val="single" w:sz="4" w:space="0" w:color="auto"/>
            </w:tcBorders>
            <w:shd w:val="clear" w:color="auto" w:fill="auto"/>
            <w:noWrap/>
            <w:vAlign w:val="bottom"/>
            <w:hideMark/>
          </w:tcPr>
          <w:p w14:paraId="19E8F38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723" w:type="dxa"/>
            <w:tcBorders>
              <w:top w:val="nil"/>
              <w:left w:val="nil"/>
              <w:bottom w:val="single" w:sz="4" w:space="0" w:color="auto"/>
              <w:right w:val="single" w:sz="4" w:space="0" w:color="auto"/>
            </w:tcBorders>
            <w:shd w:val="clear" w:color="auto" w:fill="auto"/>
            <w:noWrap/>
            <w:vAlign w:val="bottom"/>
            <w:hideMark/>
          </w:tcPr>
          <w:p w14:paraId="18D264F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r>
      <w:tr w:rsidR="000431DC" w:rsidRPr="000431DC" w14:paraId="6A7D86AA" w14:textId="77777777" w:rsidTr="000431DC">
        <w:trPr>
          <w:trHeight w:val="285"/>
        </w:trPr>
        <w:tc>
          <w:tcPr>
            <w:tcW w:w="3575" w:type="dxa"/>
            <w:tcBorders>
              <w:top w:val="nil"/>
              <w:left w:val="single" w:sz="4" w:space="0" w:color="auto"/>
              <w:bottom w:val="single" w:sz="4" w:space="0" w:color="auto"/>
              <w:right w:val="single" w:sz="4" w:space="0" w:color="auto"/>
            </w:tcBorders>
            <w:shd w:val="clear" w:color="000000" w:fill="D9E1F2"/>
            <w:noWrap/>
            <w:vAlign w:val="bottom"/>
            <w:hideMark/>
          </w:tcPr>
          <w:p w14:paraId="79EE9D95" w14:textId="77777777" w:rsidR="000431DC" w:rsidRPr="000431DC" w:rsidRDefault="000431DC" w:rsidP="000431DC">
            <w:pPr>
              <w:ind w:firstLineChars="100" w:firstLine="200"/>
              <w:rPr>
                <w:rFonts w:ascii="VIC" w:hAnsi="VIC"/>
                <w:color w:val="000000"/>
                <w:lang w:eastAsia="en-AU"/>
              </w:rPr>
            </w:pPr>
            <w:r w:rsidRPr="000431DC">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52204AE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102</w:t>
            </w:r>
          </w:p>
        </w:tc>
        <w:tc>
          <w:tcPr>
            <w:tcW w:w="723" w:type="dxa"/>
            <w:tcBorders>
              <w:top w:val="nil"/>
              <w:left w:val="nil"/>
              <w:bottom w:val="single" w:sz="4" w:space="0" w:color="auto"/>
              <w:right w:val="single" w:sz="4" w:space="0" w:color="auto"/>
            </w:tcBorders>
            <w:shd w:val="clear" w:color="auto" w:fill="auto"/>
            <w:noWrap/>
            <w:vAlign w:val="bottom"/>
            <w:hideMark/>
          </w:tcPr>
          <w:p w14:paraId="3BE6377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09E9B46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65B9CE4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242B0F8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22FF551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386FD27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79</w:t>
            </w:r>
          </w:p>
        </w:tc>
        <w:tc>
          <w:tcPr>
            <w:tcW w:w="723" w:type="dxa"/>
            <w:tcBorders>
              <w:top w:val="nil"/>
              <w:left w:val="nil"/>
              <w:bottom w:val="single" w:sz="4" w:space="0" w:color="auto"/>
              <w:right w:val="single" w:sz="4" w:space="0" w:color="auto"/>
            </w:tcBorders>
            <w:shd w:val="clear" w:color="auto" w:fill="auto"/>
            <w:noWrap/>
            <w:vAlign w:val="bottom"/>
            <w:hideMark/>
          </w:tcPr>
          <w:p w14:paraId="34E9A57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027D098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84</w:t>
            </w:r>
          </w:p>
        </w:tc>
        <w:tc>
          <w:tcPr>
            <w:tcW w:w="723" w:type="dxa"/>
            <w:tcBorders>
              <w:top w:val="nil"/>
              <w:left w:val="nil"/>
              <w:bottom w:val="single" w:sz="4" w:space="0" w:color="auto"/>
              <w:right w:val="single" w:sz="4" w:space="0" w:color="auto"/>
            </w:tcBorders>
            <w:shd w:val="clear" w:color="auto" w:fill="auto"/>
            <w:noWrap/>
            <w:vAlign w:val="bottom"/>
            <w:hideMark/>
          </w:tcPr>
          <w:p w14:paraId="11E3C80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bl>
    <w:p w14:paraId="6CA41B98" w14:textId="77777777" w:rsidR="000431DC" w:rsidRPr="000431DC" w:rsidRDefault="000431DC" w:rsidP="000431DC">
      <w:pPr>
        <w:spacing w:after="200" w:line="276" w:lineRule="auto"/>
        <w:ind w:left="1440"/>
        <w:rPr>
          <w:rFonts w:asciiTheme="minorHAnsi" w:eastAsiaTheme="minorHAnsi" w:hAnsiTheme="minorHAnsi" w:cstheme="minorBidi"/>
          <w:sz w:val="22"/>
          <w:szCs w:val="22"/>
        </w:rPr>
      </w:pPr>
    </w:p>
    <w:tbl>
      <w:tblPr>
        <w:tblW w:w="10753" w:type="dxa"/>
        <w:tblInd w:w="1440" w:type="dxa"/>
        <w:tblLook w:val="04A0" w:firstRow="1" w:lastRow="0" w:firstColumn="1" w:lastColumn="0" w:noHBand="0" w:noVBand="1"/>
      </w:tblPr>
      <w:tblGrid>
        <w:gridCol w:w="2070"/>
        <w:gridCol w:w="1011"/>
        <w:gridCol w:w="723"/>
        <w:gridCol w:w="1011"/>
        <w:gridCol w:w="723"/>
        <w:gridCol w:w="1011"/>
        <w:gridCol w:w="723"/>
        <w:gridCol w:w="1011"/>
        <w:gridCol w:w="723"/>
        <w:gridCol w:w="1011"/>
        <w:gridCol w:w="736"/>
      </w:tblGrid>
      <w:tr w:rsidR="000431DC" w:rsidRPr="000431DC" w14:paraId="696F88B0" w14:textId="77777777" w:rsidTr="000431DC">
        <w:trPr>
          <w:trHeight w:val="285"/>
        </w:trPr>
        <w:tc>
          <w:tcPr>
            <w:tcW w:w="2070"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bottom"/>
            <w:hideMark/>
          </w:tcPr>
          <w:p w14:paraId="4471F725" w14:textId="77777777" w:rsidR="000431DC" w:rsidRPr="000431DC" w:rsidRDefault="000431DC" w:rsidP="000431DC">
            <w:pPr>
              <w:ind w:firstLineChars="100" w:firstLine="221"/>
              <w:rPr>
                <w:rFonts w:ascii="VIC" w:hAnsi="VIC"/>
                <w:b/>
                <w:bCs/>
                <w:color w:val="000000"/>
                <w:sz w:val="22"/>
                <w:szCs w:val="22"/>
                <w:lang w:eastAsia="en-AU"/>
              </w:rPr>
            </w:pPr>
            <w:r w:rsidRPr="000431DC">
              <w:rPr>
                <w:rFonts w:ascii="VIC" w:hAnsi="VIC"/>
                <w:b/>
                <w:bCs/>
                <w:color w:val="000000"/>
                <w:sz w:val="22"/>
                <w:szCs w:val="22"/>
                <w:lang w:eastAsia="en-AU"/>
              </w:rPr>
              <w:t>Gender</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3232C4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5766272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04F83BE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1/7/2016 - 30/6/2017</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421F3D7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1/7/2017 - 30/6/2018</w:t>
            </w:r>
          </w:p>
        </w:tc>
        <w:tc>
          <w:tcPr>
            <w:tcW w:w="1747"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43853C8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1/6/2018 - 31/5/2019</w:t>
            </w:r>
          </w:p>
        </w:tc>
      </w:tr>
      <w:tr w:rsidR="000431DC" w:rsidRPr="000431DC" w14:paraId="79198187" w14:textId="77777777" w:rsidTr="000431DC">
        <w:trPr>
          <w:trHeight w:val="285"/>
        </w:trPr>
        <w:tc>
          <w:tcPr>
            <w:tcW w:w="2070" w:type="dxa"/>
            <w:vMerge/>
            <w:tcBorders>
              <w:top w:val="single" w:sz="4" w:space="0" w:color="auto"/>
              <w:left w:val="single" w:sz="4" w:space="0" w:color="auto"/>
              <w:bottom w:val="single" w:sz="4" w:space="0" w:color="000000"/>
              <w:right w:val="single" w:sz="4" w:space="0" w:color="auto"/>
            </w:tcBorders>
            <w:vAlign w:val="center"/>
            <w:hideMark/>
          </w:tcPr>
          <w:p w14:paraId="76DBC7FD" w14:textId="77777777" w:rsidR="000431DC" w:rsidRPr="000431DC" w:rsidRDefault="000431DC" w:rsidP="000431DC">
            <w:pPr>
              <w:rPr>
                <w:rFonts w:ascii="VIC" w:hAnsi="VIC"/>
                <w:b/>
                <w:bCs/>
                <w:color w:val="000000"/>
                <w:sz w:val="22"/>
                <w:szCs w:val="22"/>
                <w:lang w:eastAsia="en-AU"/>
              </w:rPr>
            </w:pPr>
          </w:p>
        </w:tc>
        <w:tc>
          <w:tcPr>
            <w:tcW w:w="1011" w:type="dxa"/>
            <w:tcBorders>
              <w:top w:val="nil"/>
              <w:left w:val="nil"/>
              <w:bottom w:val="single" w:sz="4" w:space="0" w:color="auto"/>
              <w:right w:val="single" w:sz="4" w:space="0" w:color="auto"/>
            </w:tcBorders>
            <w:shd w:val="clear" w:color="000000" w:fill="D9E1F2"/>
            <w:noWrap/>
            <w:vAlign w:val="bottom"/>
            <w:hideMark/>
          </w:tcPr>
          <w:p w14:paraId="68941F0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1576715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7BE7A3E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0087815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697A289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0E74335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1AE1CFD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63F053E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15CEF5F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36" w:type="dxa"/>
            <w:tcBorders>
              <w:top w:val="nil"/>
              <w:left w:val="nil"/>
              <w:bottom w:val="single" w:sz="4" w:space="0" w:color="auto"/>
              <w:right w:val="single" w:sz="4" w:space="0" w:color="auto"/>
            </w:tcBorders>
            <w:shd w:val="clear" w:color="000000" w:fill="D9E1F2"/>
            <w:noWrap/>
            <w:vAlign w:val="bottom"/>
            <w:hideMark/>
          </w:tcPr>
          <w:p w14:paraId="3FBE0D8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r>
      <w:tr w:rsidR="000431DC" w:rsidRPr="000431DC" w14:paraId="47F4C542" w14:textId="77777777" w:rsidTr="000431DC">
        <w:trPr>
          <w:trHeight w:val="315"/>
        </w:trPr>
        <w:tc>
          <w:tcPr>
            <w:tcW w:w="10753" w:type="dxa"/>
            <w:gridSpan w:val="11"/>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4002D6BC" w14:textId="6BD857FA" w:rsidR="000431DC" w:rsidRPr="000431DC" w:rsidRDefault="000431DC" w:rsidP="000431DC">
            <w:pPr>
              <w:rPr>
                <w:rFonts w:ascii="VIC" w:hAnsi="VIC"/>
                <w:i/>
                <w:iCs/>
                <w:color w:val="000000"/>
                <w:lang w:eastAsia="en-AU"/>
              </w:rPr>
            </w:pPr>
            <w:r w:rsidRPr="000431DC">
              <w:rPr>
                <w:rFonts w:ascii="VIC" w:hAnsi="VIC"/>
                <w:i/>
                <w:iCs/>
                <w:color w:val="000000"/>
                <w:lang w:eastAsia="en-AU"/>
              </w:rPr>
              <w:t>S</w:t>
            </w:r>
            <w:r w:rsidR="00FF504F">
              <w:rPr>
                <w:rFonts w:ascii="VIC" w:hAnsi="VIC"/>
                <w:i/>
                <w:iCs/>
                <w:color w:val="000000"/>
                <w:lang w:eastAsia="en-AU"/>
              </w:rPr>
              <w:t>TO heari</w:t>
            </w:r>
            <w:r w:rsidRPr="000431DC">
              <w:rPr>
                <w:rFonts w:ascii="VIC" w:hAnsi="VIC"/>
                <w:i/>
                <w:iCs/>
                <w:color w:val="000000"/>
                <w:lang w:eastAsia="en-AU"/>
              </w:rPr>
              <w:t>ngs</w:t>
            </w:r>
          </w:p>
        </w:tc>
      </w:tr>
      <w:tr w:rsidR="000431DC" w:rsidRPr="000431DC" w14:paraId="61E6BD87" w14:textId="77777777" w:rsidTr="000431DC">
        <w:trPr>
          <w:trHeight w:val="285"/>
        </w:trPr>
        <w:tc>
          <w:tcPr>
            <w:tcW w:w="2070" w:type="dxa"/>
            <w:tcBorders>
              <w:top w:val="nil"/>
              <w:left w:val="single" w:sz="4" w:space="0" w:color="auto"/>
              <w:bottom w:val="single" w:sz="4" w:space="0" w:color="auto"/>
              <w:right w:val="single" w:sz="4" w:space="0" w:color="auto"/>
            </w:tcBorders>
            <w:shd w:val="clear" w:color="000000" w:fill="D9E1F2"/>
            <w:noWrap/>
            <w:vAlign w:val="bottom"/>
            <w:hideMark/>
          </w:tcPr>
          <w:p w14:paraId="14406273"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Female</w:t>
            </w:r>
          </w:p>
        </w:tc>
        <w:tc>
          <w:tcPr>
            <w:tcW w:w="1011" w:type="dxa"/>
            <w:tcBorders>
              <w:top w:val="nil"/>
              <w:left w:val="nil"/>
              <w:bottom w:val="single" w:sz="4" w:space="0" w:color="auto"/>
              <w:right w:val="single" w:sz="4" w:space="0" w:color="auto"/>
            </w:tcBorders>
            <w:shd w:val="clear" w:color="auto" w:fill="auto"/>
            <w:noWrap/>
            <w:vAlign w:val="bottom"/>
            <w:hideMark/>
          </w:tcPr>
          <w:p w14:paraId="050D97B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25</w:t>
            </w:r>
          </w:p>
        </w:tc>
        <w:tc>
          <w:tcPr>
            <w:tcW w:w="723" w:type="dxa"/>
            <w:tcBorders>
              <w:top w:val="nil"/>
              <w:left w:val="nil"/>
              <w:bottom w:val="single" w:sz="4" w:space="0" w:color="auto"/>
              <w:right w:val="single" w:sz="4" w:space="0" w:color="auto"/>
            </w:tcBorders>
            <w:shd w:val="clear" w:color="auto" w:fill="auto"/>
            <w:noWrap/>
            <w:vAlign w:val="bottom"/>
            <w:hideMark/>
          </w:tcPr>
          <w:p w14:paraId="75821B5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25%</w:t>
            </w:r>
          </w:p>
        </w:tc>
        <w:tc>
          <w:tcPr>
            <w:tcW w:w="1011" w:type="dxa"/>
            <w:tcBorders>
              <w:top w:val="nil"/>
              <w:left w:val="nil"/>
              <w:bottom w:val="single" w:sz="4" w:space="0" w:color="auto"/>
              <w:right w:val="single" w:sz="4" w:space="0" w:color="auto"/>
            </w:tcBorders>
            <w:shd w:val="clear" w:color="auto" w:fill="auto"/>
            <w:noWrap/>
            <w:vAlign w:val="bottom"/>
            <w:hideMark/>
          </w:tcPr>
          <w:p w14:paraId="1B5F22C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w:t>
            </w:r>
          </w:p>
        </w:tc>
        <w:tc>
          <w:tcPr>
            <w:tcW w:w="723" w:type="dxa"/>
            <w:tcBorders>
              <w:top w:val="nil"/>
              <w:left w:val="nil"/>
              <w:bottom w:val="single" w:sz="4" w:space="0" w:color="auto"/>
              <w:right w:val="single" w:sz="4" w:space="0" w:color="auto"/>
            </w:tcBorders>
            <w:shd w:val="clear" w:color="auto" w:fill="auto"/>
            <w:noWrap/>
            <w:vAlign w:val="bottom"/>
            <w:hideMark/>
          </w:tcPr>
          <w:p w14:paraId="2BC7292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22%</w:t>
            </w:r>
          </w:p>
        </w:tc>
        <w:tc>
          <w:tcPr>
            <w:tcW w:w="1011" w:type="dxa"/>
            <w:tcBorders>
              <w:top w:val="nil"/>
              <w:left w:val="nil"/>
              <w:bottom w:val="single" w:sz="4" w:space="0" w:color="auto"/>
              <w:right w:val="single" w:sz="4" w:space="0" w:color="auto"/>
            </w:tcBorders>
            <w:shd w:val="clear" w:color="auto" w:fill="auto"/>
            <w:noWrap/>
            <w:vAlign w:val="bottom"/>
            <w:hideMark/>
          </w:tcPr>
          <w:p w14:paraId="1282A1B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13</w:t>
            </w:r>
          </w:p>
        </w:tc>
        <w:tc>
          <w:tcPr>
            <w:tcW w:w="723" w:type="dxa"/>
            <w:tcBorders>
              <w:top w:val="nil"/>
              <w:left w:val="nil"/>
              <w:bottom w:val="single" w:sz="4" w:space="0" w:color="auto"/>
              <w:right w:val="single" w:sz="4" w:space="0" w:color="auto"/>
            </w:tcBorders>
            <w:shd w:val="clear" w:color="auto" w:fill="auto"/>
            <w:noWrap/>
            <w:vAlign w:val="bottom"/>
            <w:hideMark/>
          </w:tcPr>
          <w:p w14:paraId="388306E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w:t>
            </w:r>
          </w:p>
        </w:tc>
        <w:tc>
          <w:tcPr>
            <w:tcW w:w="1011" w:type="dxa"/>
            <w:tcBorders>
              <w:top w:val="nil"/>
              <w:left w:val="nil"/>
              <w:bottom w:val="single" w:sz="4" w:space="0" w:color="auto"/>
              <w:right w:val="single" w:sz="4" w:space="0" w:color="auto"/>
            </w:tcBorders>
            <w:shd w:val="clear" w:color="auto" w:fill="auto"/>
            <w:noWrap/>
            <w:vAlign w:val="bottom"/>
            <w:hideMark/>
          </w:tcPr>
          <w:p w14:paraId="15ACBDD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15</w:t>
            </w:r>
          </w:p>
        </w:tc>
        <w:tc>
          <w:tcPr>
            <w:tcW w:w="723" w:type="dxa"/>
            <w:tcBorders>
              <w:top w:val="nil"/>
              <w:left w:val="nil"/>
              <w:bottom w:val="single" w:sz="4" w:space="0" w:color="auto"/>
              <w:right w:val="single" w:sz="4" w:space="0" w:color="auto"/>
            </w:tcBorders>
            <w:shd w:val="clear" w:color="auto" w:fill="auto"/>
            <w:noWrap/>
            <w:vAlign w:val="bottom"/>
            <w:hideMark/>
          </w:tcPr>
          <w:p w14:paraId="1EFA8BA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19%</w:t>
            </w:r>
          </w:p>
        </w:tc>
        <w:tc>
          <w:tcPr>
            <w:tcW w:w="1011" w:type="dxa"/>
            <w:tcBorders>
              <w:top w:val="nil"/>
              <w:left w:val="nil"/>
              <w:bottom w:val="single" w:sz="4" w:space="0" w:color="auto"/>
              <w:right w:val="single" w:sz="4" w:space="0" w:color="auto"/>
            </w:tcBorders>
            <w:shd w:val="clear" w:color="auto" w:fill="auto"/>
            <w:noWrap/>
            <w:vAlign w:val="bottom"/>
            <w:hideMark/>
          </w:tcPr>
          <w:p w14:paraId="0CCBB31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w:t>
            </w:r>
          </w:p>
        </w:tc>
        <w:tc>
          <w:tcPr>
            <w:tcW w:w="736" w:type="dxa"/>
            <w:tcBorders>
              <w:top w:val="nil"/>
              <w:left w:val="nil"/>
              <w:bottom w:val="single" w:sz="4" w:space="0" w:color="auto"/>
              <w:right w:val="single" w:sz="4" w:space="0" w:color="auto"/>
            </w:tcBorders>
            <w:shd w:val="clear" w:color="auto" w:fill="auto"/>
            <w:noWrap/>
            <w:vAlign w:val="bottom"/>
            <w:hideMark/>
          </w:tcPr>
          <w:p w14:paraId="7DA2997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11%</w:t>
            </w:r>
          </w:p>
        </w:tc>
      </w:tr>
      <w:tr w:rsidR="000431DC" w:rsidRPr="000431DC" w14:paraId="149C2082" w14:textId="77777777" w:rsidTr="000431DC">
        <w:trPr>
          <w:trHeight w:val="285"/>
        </w:trPr>
        <w:tc>
          <w:tcPr>
            <w:tcW w:w="2070" w:type="dxa"/>
            <w:tcBorders>
              <w:top w:val="nil"/>
              <w:left w:val="single" w:sz="4" w:space="0" w:color="auto"/>
              <w:bottom w:val="single" w:sz="4" w:space="0" w:color="auto"/>
              <w:right w:val="single" w:sz="4" w:space="0" w:color="auto"/>
            </w:tcBorders>
            <w:shd w:val="clear" w:color="000000" w:fill="D9E1F2"/>
            <w:noWrap/>
            <w:vAlign w:val="bottom"/>
            <w:hideMark/>
          </w:tcPr>
          <w:p w14:paraId="6C01C692"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Male</w:t>
            </w:r>
          </w:p>
        </w:tc>
        <w:tc>
          <w:tcPr>
            <w:tcW w:w="1011" w:type="dxa"/>
            <w:tcBorders>
              <w:top w:val="nil"/>
              <w:left w:val="nil"/>
              <w:bottom w:val="single" w:sz="4" w:space="0" w:color="auto"/>
              <w:right w:val="single" w:sz="4" w:space="0" w:color="auto"/>
            </w:tcBorders>
            <w:shd w:val="clear" w:color="auto" w:fill="auto"/>
            <w:noWrap/>
            <w:vAlign w:val="bottom"/>
            <w:hideMark/>
          </w:tcPr>
          <w:p w14:paraId="1B2BC9C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77</w:t>
            </w:r>
          </w:p>
        </w:tc>
        <w:tc>
          <w:tcPr>
            <w:tcW w:w="723" w:type="dxa"/>
            <w:tcBorders>
              <w:top w:val="nil"/>
              <w:left w:val="nil"/>
              <w:bottom w:val="single" w:sz="4" w:space="0" w:color="auto"/>
              <w:right w:val="single" w:sz="4" w:space="0" w:color="auto"/>
            </w:tcBorders>
            <w:shd w:val="clear" w:color="auto" w:fill="auto"/>
            <w:noWrap/>
            <w:vAlign w:val="bottom"/>
            <w:hideMark/>
          </w:tcPr>
          <w:p w14:paraId="79E878C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75%</w:t>
            </w:r>
          </w:p>
        </w:tc>
        <w:tc>
          <w:tcPr>
            <w:tcW w:w="1011" w:type="dxa"/>
            <w:tcBorders>
              <w:top w:val="nil"/>
              <w:left w:val="nil"/>
              <w:bottom w:val="single" w:sz="4" w:space="0" w:color="auto"/>
              <w:right w:val="single" w:sz="4" w:space="0" w:color="auto"/>
            </w:tcBorders>
            <w:shd w:val="clear" w:color="auto" w:fill="auto"/>
            <w:noWrap/>
            <w:vAlign w:val="bottom"/>
            <w:hideMark/>
          </w:tcPr>
          <w:p w14:paraId="666E984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61</w:t>
            </w:r>
          </w:p>
        </w:tc>
        <w:tc>
          <w:tcPr>
            <w:tcW w:w="723" w:type="dxa"/>
            <w:tcBorders>
              <w:top w:val="nil"/>
              <w:left w:val="nil"/>
              <w:bottom w:val="single" w:sz="4" w:space="0" w:color="auto"/>
              <w:right w:val="single" w:sz="4" w:space="0" w:color="auto"/>
            </w:tcBorders>
            <w:shd w:val="clear" w:color="auto" w:fill="auto"/>
            <w:noWrap/>
            <w:vAlign w:val="bottom"/>
            <w:hideMark/>
          </w:tcPr>
          <w:p w14:paraId="3BD4ACF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78%</w:t>
            </w:r>
          </w:p>
        </w:tc>
        <w:tc>
          <w:tcPr>
            <w:tcW w:w="1011" w:type="dxa"/>
            <w:tcBorders>
              <w:top w:val="nil"/>
              <w:left w:val="nil"/>
              <w:bottom w:val="single" w:sz="4" w:space="0" w:color="auto"/>
              <w:right w:val="single" w:sz="4" w:space="0" w:color="auto"/>
            </w:tcBorders>
            <w:shd w:val="clear" w:color="auto" w:fill="auto"/>
            <w:noWrap/>
            <w:vAlign w:val="bottom"/>
            <w:hideMark/>
          </w:tcPr>
          <w:p w14:paraId="68FB688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65</w:t>
            </w:r>
          </w:p>
        </w:tc>
        <w:tc>
          <w:tcPr>
            <w:tcW w:w="723" w:type="dxa"/>
            <w:tcBorders>
              <w:top w:val="nil"/>
              <w:left w:val="nil"/>
              <w:bottom w:val="single" w:sz="4" w:space="0" w:color="auto"/>
              <w:right w:val="single" w:sz="4" w:space="0" w:color="auto"/>
            </w:tcBorders>
            <w:shd w:val="clear" w:color="auto" w:fill="auto"/>
            <w:noWrap/>
            <w:vAlign w:val="bottom"/>
            <w:hideMark/>
          </w:tcPr>
          <w:p w14:paraId="0FE5C7C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83%</w:t>
            </w:r>
          </w:p>
        </w:tc>
        <w:tc>
          <w:tcPr>
            <w:tcW w:w="1011" w:type="dxa"/>
            <w:tcBorders>
              <w:top w:val="nil"/>
              <w:left w:val="nil"/>
              <w:bottom w:val="single" w:sz="4" w:space="0" w:color="auto"/>
              <w:right w:val="single" w:sz="4" w:space="0" w:color="auto"/>
            </w:tcBorders>
            <w:shd w:val="clear" w:color="auto" w:fill="auto"/>
            <w:noWrap/>
            <w:vAlign w:val="bottom"/>
            <w:hideMark/>
          </w:tcPr>
          <w:p w14:paraId="7D2D003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64</w:t>
            </w:r>
          </w:p>
        </w:tc>
        <w:tc>
          <w:tcPr>
            <w:tcW w:w="723" w:type="dxa"/>
            <w:tcBorders>
              <w:top w:val="nil"/>
              <w:left w:val="nil"/>
              <w:bottom w:val="single" w:sz="4" w:space="0" w:color="auto"/>
              <w:right w:val="single" w:sz="4" w:space="0" w:color="auto"/>
            </w:tcBorders>
            <w:shd w:val="clear" w:color="auto" w:fill="auto"/>
            <w:noWrap/>
            <w:vAlign w:val="bottom"/>
            <w:hideMark/>
          </w:tcPr>
          <w:p w14:paraId="426F2F2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81%</w:t>
            </w:r>
          </w:p>
        </w:tc>
        <w:tc>
          <w:tcPr>
            <w:tcW w:w="1011" w:type="dxa"/>
            <w:tcBorders>
              <w:top w:val="nil"/>
              <w:left w:val="nil"/>
              <w:bottom w:val="single" w:sz="4" w:space="0" w:color="auto"/>
              <w:right w:val="single" w:sz="4" w:space="0" w:color="auto"/>
            </w:tcBorders>
            <w:shd w:val="clear" w:color="auto" w:fill="auto"/>
            <w:noWrap/>
            <w:vAlign w:val="bottom"/>
            <w:hideMark/>
          </w:tcPr>
          <w:p w14:paraId="3E70C2E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75</w:t>
            </w:r>
          </w:p>
        </w:tc>
        <w:tc>
          <w:tcPr>
            <w:tcW w:w="736" w:type="dxa"/>
            <w:tcBorders>
              <w:top w:val="nil"/>
              <w:left w:val="nil"/>
              <w:bottom w:val="single" w:sz="4" w:space="0" w:color="auto"/>
              <w:right w:val="single" w:sz="4" w:space="0" w:color="auto"/>
            </w:tcBorders>
            <w:shd w:val="clear" w:color="auto" w:fill="auto"/>
            <w:noWrap/>
            <w:vAlign w:val="bottom"/>
            <w:hideMark/>
          </w:tcPr>
          <w:p w14:paraId="06F2330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89%</w:t>
            </w:r>
          </w:p>
        </w:tc>
      </w:tr>
      <w:tr w:rsidR="000431DC" w:rsidRPr="000431DC" w14:paraId="24DFAA37" w14:textId="77777777" w:rsidTr="000431DC">
        <w:trPr>
          <w:trHeight w:val="285"/>
        </w:trPr>
        <w:tc>
          <w:tcPr>
            <w:tcW w:w="2070" w:type="dxa"/>
            <w:tcBorders>
              <w:top w:val="nil"/>
              <w:left w:val="single" w:sz="4" w:space="0" w:color="auto"/>
              <w:bottom w:val="single" w:sz="4" w:space="0" w:color="auto"/>
              <w:right w:val="single" w:sz="4" w:space="0" w:color="auto"/>
            </w:tcBorders>
            <w:shd w:val="clear" w:color="000000" w:fill="D9E1F2"/>
            <w:noWrap/>
            <w:vAlign w:val="bottom"/>
            <w:hideMark/>
          </w:tcPr>
          <w:p w14:paraId="4497DEF6"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1151650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102</w:t>
            </w:r>
          </w:p>
        </w:tc>
        <w:tc>
          <w:tcPr>
            <w:tcW w:w="723" w:type="dxa"/>
            <w:tcBorders>
              <w:top w:val="nil"/>
              <w:left w:val="nil"/>
              <w:bottom w:val="single" w:sz="4" w:space="0" w:color="auto"/>
              <w:right w:val="single" w:sz="4" w:space="0" w:color="auto"/>
            </w:tcBorders>
            <w:shd w:val="clear" w:color="auto" w:fill="auto"/>
            <w:noWrap/>
            <w:vAlign w:val="bottom"/>
            <w:hideMark/>
          </w:tcPr>
          <w:p w14:paraId="7A9C7E7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0ACE11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63450AC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ABC183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4CF9C33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24C392B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79</w:t>
            </w:r>
          </w:p>
        </w:tc>
        <w:tc>
          <w:tcPr>
            <w:tcW w:w="723" w:type="dxa"/>
            <w:tcBorders>
              <w:top w:val="nil"/>
              <w:left w:val="nil"/>
              <w:bottom w:val="single" w:sz="4" w:space="0" w:color="auto"/>
              <w:right w:val="single" w:sz="4" w:space="0" w:color="auto"/>
            </w:tcBorders>
            <w:shd w:val="clear" w:color="auto" w:fill="auto"/>
            <w:noWrap/>
            <w:vAlign w:val="bottom"/>
            <w:hideMark/>
          </w:tcPr>
          <w:p w14:paraId="7DDF451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796BB8A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84</w:t>
            </w:r>
          </w:p>
        </w:tc>
        <w:tc>
          <w:tcPr>
            <w:tcW w:w="736" w:type="dxa"/>
            <w:tcBorders>
              <w:top w:val="nil"/>
              <w:left w:val="nil"/>
              <w:bottom w:val="single" w:sz="4" w:space="0" w:color="auto"/>
              <w:right w:val="single" w:sz="4" w:space="0" w:color="auto"/>
            </w:tcBorders>
            <w:shd w:val="clear" w:color="auto" w:fill="auto"/>
            <w:noWrap/>
            <w:vAlign w:val="bottom"/>
            <w:hideMark/>
          </w:tcPr>
          <w:p w14:paraId="3497212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bl>
    <w:p w14:paraId="1C092064" w14:textId="77777777" w:rsidR="000431DC" w:rsidRPr="000431DC" w:rsidRDefault="000431DC" w:rsidP="000431DC">
      <w:pPr>
        <w:spacing w:after="200" w:line="276" w:lineRule="auto"/>
        <w:ind w:left="1440"/>
        <w:rPr>
          <w:rFonts w:asciiTheme="minorHAnsi" w:eastAsiaTheme="minorHAnsi" w:hAnsiTheme="minorHAnsi" w:cstheme="minorBidi"/>
          <w:sz w:val="22"/>
          <w:szCs w:val="22"/>
        </w:rPr>
      </w:pPr>
    </w:p>
    <w:tbl>
      <w:tblPr>
        <w:tblW w:w="11491" w:type="dxa"/>
        <w:tblInd w:w="1440" w:type="dxa"/>
        <w:tblLook w:val="04A0" w:firstRow="1" w:lastRow="0" w:firstColumn="1" w:lastColumn="0" w:noHBand="0" w:noVBand="1"/>
      </w:tblPr>
      <w:tblGrid>
        <w:gridCol w:w="2808"/>
        <w:gridCol w:w="1011"/>
        <w:gridCol w:w="723"/>
        <w:gridCol w:w="1011"/>
        <w:gridCol w:w="723"/>
        <w:gridCol w:w="1011"/>
        <w:gridCol w:w="723"/>
        <w:gridCol w:w="1011"/>
        <w:gridCol w:w="723"/>
        <w:gridCol w:w="1011"/>
        <w:gridCol w:w="723"/>
        <w:gridCol w:w="13"/>
      </w:tblGrid>
      <w:tr w:rsidR="000431DC" w:rsidRPr="000431DC" w14:paraId="53FA111D" w14:textId="77777777" w:rsidTr="000431DC">
        <w:trPr>
          <w:gridAfter w:val="1"/>
          <w:wAfter w:w="13" w:type="dxa"/>
          <w:trHeight w:val="285"/>
        </w:trPr>
        <w:tc>
          <w:tcPr>
            <w:tcW w:w="2808"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bottom"/>
            <w:hideMark/>
          </w:tcPr>
          <w:p w14:paraId="0EA170A4" w14:textId="77777777" w:rsidR="000431DC" w:rsidRPr="000431DC" w:rsidRDefault="000431DC" w:rsidP="000431DC">
            <w:pPr>
              <w:ind w:firstLineChars="100" w:firstLine="221"/>
              <w:rPr>
                <w:rFonts w:ascii="VIC" w:hAnsi="VIC"/>
                <w:b/>
                <w:bCs/>
                <w:color w:val="000000"/>
                <w:sz w:val="22"/>
                <w:szCs w:val="22"/>
                <w:lang w:eastAsia="en-AU"/>
              </w:rPr>
            </w:pPr>
            <w:r w:rsidRPr="000431DC">
              <w:rPr>
                <w:rFonts w:ascii="VIC" w:hAnsi="VIC"/>
                <w:b/>
                <w:bCs/>
                <w:color w:val="000000"/>
                <w:sz w:val="22"/>
                <w:szCs w:val="22"/>
                <w:lang w:eastAsia="en-AU"/>
              </w:rPr>
              <w:t>Age</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26B0E0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40071E0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C18D94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1/7/2016 - 30/6/2017</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10552D2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1/7/2017 - 30/6/2018</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2EB0E97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1/6/2018 - 31/5/2019</w:t>
            </w:r>
          </w:p>
        </w:tc>
      </w:tr>
      <w:tr w:rsidR="000431DC" w:rsidRPr="000431DC" w14:paraId="517FE062" w14:textId="77777777" w:rsidTr="000431DC">
        <w:trPr>
          <w:gridAfter w:val="1"/>
          <w:wAfter w:w="13" w:type="dxa"/>
          <w:trHeight w:val="285"/>
        </w:trPr>
        <w:tc>
          <w:tcPr>
            <w:tcW w:w="2808" w:type="dxa"/>
            <w:vMerge/>
            <w:tcBorders>
              <w:top w:val="single" w:sz="4" w:space="0" w:color="auto"/>
              <w:left w:val="single" w:sz="4" w:space="0" w:color="auto"/>
              <w:bottom w:val="single" w:sz="4" w:space="0" w:color="000000"/>
              <w:right w:val="single" w:sz="4" w:space="0" w:color="auto"/>
            </w:tcBorders>
            <w:vAlign w:val="center"/>
            <w:hideMark/>
          </w:tcPr>
          <w:p w14:paraId="3B6F61EC" w14:textId="77777777" w:rsidR="000431DC" w:rsidRPr="000431DC" w:rsidRDefault="000431DC" w:rsidP="000431DC">
            <w:pPr>
              <w:rPr>
                <w:rFonts w:ascii="VIC" w:hAnsi="VIC"/>
                <w:b/>
                <w:bCs/>
                <w:color w:val="000000"/>
                <w:sz w:val="22"/>
                <w:szCs w:val="22"/>
                <w:lang w:eastAsia="en-AU"/>
              </w:rPr>
            </w:pPr>
          </w:p>
        </w:tc>
        <w:tc>
          <w:tcPr>
            <w:tcW w:w="1011" w:type="dxa"/>
            <w:tcBorders>
              <w:top w:val="nil"/>
              <w:left w:val="nil"/>
              <w:bottom w:val="single" w:sz="4" w:space="0" w:color="auto"/>
              <w:right w:val="single" w:sz="4" w:space="0" w:color="auto"/>
            </w:tcBorders>
            <w:shd w:val="clear" w:color="000000" w:fill="D9E1F2"/>
            <w:noWrap/>
            <w:vAlign w:val="bottom"/>
            <w:hideMark/>
          </w:tcPr>
          <w:p w14:paraId="3B0C732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67AA5F8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0E1FBF5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72FD669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7E56A3B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5CD2DDD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209697B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4C4824C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06B8789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6DF7AB9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r>
      <w:tr w:rsidR="000431DC" w:rsidRPr="000431DC" w14:paraId="647EEB16" w14:textId="77777777" w:rsidTr="000431DC">
        <w:trPr>
          <w:trHeight w:val="315"/>
        </w:trPr>
        <w:tc>
          <w:tcPr>
            <w:tcW w:w="11491" w:type="dxa"/>
            <w:gridSpan w:val="12"/>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1077F1AB" w14:textId="13787E05" w:rsidR="000431DC" w:rsidRPr="000431DC" w:rsidRDefault="000431DC" w:rsidP="000431DC">
            <w:pPr>
              <w:rPr>
                <w:rFonts w:ascii="VIC" w:hAnsi="VIC"/>
                <w:i/>
                <w:iCs/>
                <w:color w:val="000000"/>
                <w:lang w:eastAsia="en-AU"/>
              </w:rPr>
            </w:pPr>
            <w:r w:rsidRPr="000431DC">
              <w:rPr>
                <w:rFonts w:ascii="VIC" w:hAnsi="VIC"/>
                <w:i/>
                <w:iCs/>
                <w:color w:val="000000"/>
                <w:lang w:eastAsia="en-AU"/>
              </w:rPr>
              <w:t>S</w:t>
            </w:r>
            <w:r w:rsidR="00FF504F">
              <w:rPr>
                <w:rFonts w:ascii="VIC" w:hAnsi="VIC"/>
                <w:i/>
                <w:iCs/>
                <w:color w:val="000000"/>
                <w:lang w:eastAsia="en-AU"/>
              </w:rPr>
              <w:t>TO</w:t>
            </w:r>
            <w:r w:rsidRPr="000431DC">
              <w:rPr>
                <w:rFonts w:ascii="VIC" w:hAnsi="VIC"/>
                <w:i/>
                <w:iCs/>
                <w:color w:val="000000"/>
                <w:lang w:eastAsia="en-AU"/>
              </w:rPr>
              <w:t xml:space="preserve"> hearings</w:t>
            </w:r>
          </w:p>
        </w:tc>
      </w:tr>
      <w:tr w:rsidR="000431DC" w:rsidRPr="000431DC" w14:paraId="016A9FFA" w14:textId="77777777" w:rsidTr="000431DC">
        <w:trPr>
          <w:gridAfter w:val="1"/>
          <w:wAfter w:w="13" w:type="dxa"/>
          <w:trHeight w:val="285"/>
        </w:trPr>
        <w:tc>
          <w:tcPr>
            <w:tcW w:w="2808" w:type="dxa"/>
            <w:tcBorders>
              <w:top w:val="nil"/>
              <w:left w:val="single" w:sz="4" w:space="0" w:color="auto"/>
              <w:bottom w:val="single" w:sz="4" w:space="0" w:color="auto"/>
              <w:right w:val="single" w:sz="4" w:space="0" w:color="auto"/>
            </w:tcBorders>
            <w:shd w:val="clear" w:color="000000" w:fill="D9E1F2"/>
            <w:noWrap/>
            <w:vAlign w:val="bottom"/>
            <w:hideMark/>
          </w:tcPr>
          <w:p w14:paraId="740D8D25"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Adult (18 to 64 years)</w:t>
            </w:r>
          </w:p>
        </w:tc>
        <w:tc>
          <w:tcPr>
            <w:tcW w:w="1011" w:type="dxa"/>
            <w:tcBorders>
              <w:top w:val="nil"/>
              <w:left w:val="nil"/>
              <w:bottom w:val="single" w:sz="4" w:space="0" w:color="auto"/>
              <w:right w:val="single" w:sz="4" w:space="0" w:color="auto"/>
            </w:tcBorders>
            <w:shd w:val="clear" w:color="auto" w:fill="auto"/>
            <w:noWrap/>
            <w:vAlign w:val="bottom"/>
            <w:hideMark/>
          </w:tcPr>
          <w:p w14:paraId="46ECC2B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102</w:t>
            </w:r>
          </w:p>
        </w:tc>
        <w:tc>
          <w:tcPr>
            <w:tcW w:w="723" w:type="dxa"/>
            <w:tcBorders>
              <w:top w:val="nil"/>
              <w:left w:val="nil"/>
              <w:bottom w:val="single" w:sz="4" w:space="0" w:color="auto"/>
              <w:right w:val="single" w:sz="4" w:space="0" w:color="auto"/>
            </w:tcBorders>
            <w:shd w:val="clear" w:color="auto" w:fill="auto"/>
            <w:noWrap/>
            <w:vAlign w:val="bottom"/>
            <w:hideMark/>
          </w:tcPr>
          <w:p w14:paraId="03F6030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0FDFE22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77</w:t>
            </w:r>
          </w:p>
        </w:tc>
        <w:tc>
          <w:tcPr>
            <w:tcW w:w="723" w:type="dxa"/>
            <w:tcBorders>
              <w:top w:val="nil"/>
              <w:left w:val="nil"/>
              <w:bottom w:val="single" w:sz="4" w:space="0" w:color="auto"/>
              <w:right w:val="single" w:sz="4" w:space="0" w:color="auto"/>
            </w:tcBorders>
            <w:shd w:val="clear" w:color="auto" w:fill="auto"/>
            <w:noWrap/>
            <w:vAlign w:val="bottom"/>
            <w:hideMark/>
          </w:tcPr>
          <w:p w14:paraId="1AF33F7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99%</w:t>
            </w:r>
          </w:p>
        </w:tc>
        <w:tc>
          <w:tcPr>
            <w:tcW w:w="1011" w:type="dxa"/>
            <w:tcBorders>
              <w:top w:val="nil"/>
              <w:left w:val="nil"/>
              <w:bottom w:val="single" w:sz="4" w:space="0" w:color="auto"/>
              <w:right w:val="single" w:sz="4" w:space="0" w:color="auto"/>
            </w:tcBorders>
            <w:shd w:val="clear" w:color="auto" w:fill="auto"/>
            <w:noWrap/>
            <w:vAlign w:val="bottom"/>
            <w:hideMark/>
          </w:tcPr>
          <w:p w14:paraId="00D5AD0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205B399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6BC0B4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5708759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99%</w:t>
            </w:r>
          </w:p>
        </w:tc>
        <w:tc>
          <w:tcPr>
            <w:tcW w:w="1011" w:type="dxa"/>
            <w:tcBorders>
              <w:top w:val="nil"/>
              <w:left w:val="nil"/>
              <w:bottom w:val="single" w:sz="4" w:space="0" w:color="auto"/>
              <w:right w:val="single" w:sz="4" w:space="0" w:color="auto"/>
            </w:tcBorders>
            <w:shd w:val="clear" w:color="auto" w:fill="auto"/>
            <w:noWrap/>
            <w:vAlign w:val="bottom"/>
            <w:hideMark/>
          </w:tcPr>
          <w:p w14:paraId="7A943A8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84</w:t>
            </w:r>
          </w:p>
        </w:tc>
        <w:tc>
          <w:tcPr>
            <w:tcW w:w="723" w:type="dxa"/>
            <w:tcBorders>
              <w:top w:val="nil"/>
              <w:left w:val="nil"/>
              <w:bottom w:val="single" w:sz="4" w:space="0" w:color="auto"/>
              <w:right w:val="single" w:sz="4" w:space="0" w:color="auto"/>
            </w:tcBorders>
            <w:shd w:val="clear" w:color="auto" w:fill="auto"/>
            <w:noWrap/>
            <w:vAlign w:val="bottom"/>
            <w:hideMark/>
          </w:tcPr>
          <w:p w14:paraId="239760D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r w:rsidR="000431DC" w:rsidRPr="000431DC" w14:paraId="253FF7FC" w14:textId="77777777" w:rsidTr="000431DC">
        <w:trPr>
          <w:gridAfter w:val="1"/>
          <w:wAfter w:w="13" w:type="dxa"/>
          <w:trHeight w:val="285"/>
        </w:trPr>
        <w:tc>
          <w:tcPr>
            <w:tcW w:w="2808" w:type="dxa"/>
            <w:tcBorders>
              <w:top w:val="nil"/>
              <w:left w:val="single" w:sz="4" w:space="0" w:color="auto"/>
              <w:bottom w:val="single" w:sz="4" w:space="0" w:color="auto"/>
              <w:right w:val="single" w:sz="4" w:space="0" w:color="auto"/>
            </w:tcBorders>
            <w:shd w:val="clear" w:color="000000" w:fill="D9E1F2"/>
            <w:noWrap/>
            <w:vAlign w:val="bottom"/>
            <w:hideMark/>
          </w:tcPr>
          <w:p w14:paraId="7287F011"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Aged (&gt; 65 years)</w:t>
            </w:r>
          </w:p>
        </w:tc>
        <w:tc>
          <w:tcPr>
            <w:tcW w:w="1011" w:type="dxa"/>
            <w:tcBorders>
              <w:top w:val="nil"/>
              <w:left w:val="nil"/>
              <w:bottom w:val="single" w:sz="4" w:space="0" w:color="auto"/>
              <w:right w:val="single" w:sz="4" w:space="0" w:color="auto"/>
            </w:tcBorders>
            <w:shd w:val="clear" w:color="auto" w:fill="auto"/>
            <w:noWrap/>
            <w:vAlign w:val="bottom"/>
            <w:hideMark/>
          </w:tcPr>
          <w:p w14:paraId="6411A97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723" w:type="dxa"/>
            <w:tcBorders>
              <w:top w:val="nil"/>
              <w:left w:val="nil"/>
              <w:bottom w:val="single" w:sz="4" w:space="0" w:color="auto"/>
              <w:right w:val="single" w:sz="4" w:space="0" w:color="auto"/>
            </w:tcBorders>
            <w:shd w:val="clear" w:color="auto" w:fill="auto"/>
            <w:noWrap/>
            <w:vAlign w:val="bottom"/>
            <w:hideMark/>
          </w:tcPr>
          <w:p w14:paraId="14A0531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1011" w:type="dxa"/>
            <w:tcBorders>
              <w:top w:val="nil"/>
              <w:left w:val="nil"/>
              <w:bottom w:val="single" w:sz="4" w:space="0" w:color="auto"/>
              <w:right w:val="single" w:sz="4" w:space="0" w:color="auto"/>
            </w:tcBorders>
            <w:shd w:val="clear" w:color="auto" w:fill="auto"/>
            <w:noWrap/>
            <w:vAlign w:val="bottom"/>
            <w:hideMark/>
          </w:tcPr>
          <w:p w14:paraId="65A1618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w:t>
            </w:r>
          </w:p>
        </w:tc>
        <w:tc>
          <w:tcPr>
            <w:tcW w:w="723" w:type="dxa"/>
            <w:tcBorders>
              <w:top w:val="nil"/>
              <w:left w:val="nil"/>
              <w:bottom w:val="single" w:sz="4" w:space="0" w:color="auto"/>
              <w:right w:val="single" w:sz="4" w:space="0" w:color="auto"/>
            </w:tcBorders>
            <w:shd w:val="clear" w:color="auto" w:fill="auto"/>
            <w:noWrap/>
            <w:vAlign w:val="bottom"/>
            <w:hideMark/>
          </w:tcPr>
          <w:p w14:paraId="7B27DB7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w:t>
            </w:r>
          </w:p>
        </w:tc>
        <w:tc>
          <w:tcPr>
            <w:tcW w:w="1011" w:type="dxa"/>
            <w:tcBorders>
              <w:top w:val="nil"/>
              <w:left w:val="nil"/>
              <w:bottom w:val="single" w:sz="4" w:space="0" w:color="auto"/>
              <w:right w:val="single" w:sz="4" w:space="0" w:color="auto"/>
            </w:tcBorders>
            <w:shd w:val="clear" w:color="auto" w:fill="auto"/>
            <w:noWrap/>
            <w:vAlign w:val="bottom"/>
            <w:hideMark/>
          </w:tcPr>
          <w:p w14:paraId="431AAF5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723" w:type="dxa"/>
            <w:tcBorders>
              <w:top w:val="nil"/>
              <w:left w:val="nil"/>
              <w:bottom w:val="single" w:sz="4" w:space="0" w:color="auto"/>
              <w:right w:val="single" w:sz="4" w:space="0" w:color="auto"/>
            </w:tcBorders>
            <w:shd w:val="clear" w:color="auto" w:fill="auto"/>
            <w:noWrap/>
            <w:vAlign w:val="bottom"/>
            <w:hideMark/>
          </w:tcPr>
          <w:p w14:paraId="71C520B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1011" w:type="dxa"/>
            <w:tcBorders>
              <w:top w:val="nil"/>
              <w:left w:val="nil"/>
              <w:bottom w:val="single" w:sz="4" w:space="0" w:color="auto"/>
              <w:right w:val="single" w:sz="4" w:space="0" w:color="auto"/>
            </w:tcBorders>
            <w:shd w:val="clear" w:color="auto" w:fill="auto"/>
            <w:noWrap/>
            <w:vAlign w:val="bottom"/>
            <w:hideMark/>
          </w:tcPr>
          <w:p w14:paraId="3285590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w:t>
            </w:r>
          </w:p>
        </w:tc>
        <w:tc>
          <w:tcPr>
            <w:tcW w:w="723" w:type="dxa"/>
            <w:tcBorders>
              <w:top w:val="nil"/>
              <w:left w:val="nil"/>
              <w:bottom w:val="single" w:sz="4" w:space="0" w:color="auto"/>
              <w:right w:val="single" w:sz="4" w:space="0" w:color="auto"/>
            </w:tcBorders>
            <w:shd w:val="clear" w:color="auto" w:fill="auto"/>
            <w:noWrap/>
            <w:vAlign w:val="bottom"/>
            <w:hideMark/>
          </w:tcPr>
          <w:p w14:paraId="40B5839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w:t>
            </w:r>
          </w:p>
        </w:tc>
        <w:tc>
          <w:tcPr>
            <w:tcW w:w="1011" w:type="dxa"/>
            <w:tcBorders>
              <w:top w:val="nil"/>
              <w:left w:val="nil"/>
              <w:bottom w:val="single" w:sz="4" w:space="0" w:color="auto"/>
              <w:right w:val="single" w:sz="4" w:space="0" w:color="auto"/>
            </w:tcBorders>
            <w:shd w:val="clear" w:color="auto" w:fill="auto"/>
            <w:noWrap/>
            <w:vAlign w:val="bottom"/>
            <w:hideMark/>
          </w:tcPr>
          <w:p w14:paraId="0E86F39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723" w:type="dxa"/>
            <w:tcBorders>
              <w:top w:val="nil"/>
              <w:left w:val="nil"/>
              <w:bottom w:val="single" w:sz="4" w:space="0" w:color="auto"/>
              <w:right w:val="single" w:sz="4" w:space="0" w:color="auto"/>
            </w:tcBorders>
            <w:shd w:val="clear" w:color="auto" w:fill="auto"/>
            <w:noWrap/>
            <w:vAlign w:val="bottom"/>
            <w:hideMark/>
          </w:tcPr>
          <w:p w14:paraId="6A3C456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r>
      <w:tr w:rsidR="000431DC" w:rsidRPr="000431DC" w14:paraId="06A4775D" w14:textId="77777777" w:rsidTr="000431DC">
        <w:trPr>
          <w:gridAfter w:val="1"/>
          <w:wAfter w:w="13" w:type="dxa"/>
          <w:trHeight w:val="285"/>
        </w:trPr>
        <w:tc>
          <w:tcPr>
            <w:tcW w:w="2808" w:type="dxa"/>
            <w:tcBorders>
              <w:top w:val="nil"/>
              <w:left w:val="single" w:sz="4" w:space="0" w:color="auto"/>
              <w:bottom w:val="single" w:sz="4" w:space="0" w:color="auto"/>
              <w:right w:val="single" w:sz="4" w:space="0" w:color="auto"/>
            </w:tcBorders>
            <w:shd w:val="clear" w:color="000000" w:fill="D9E1F2"/>
            <w:noWrap/>
            <w:vAlign w:val="bottom"/>
            <w:hideMark/>
          </w:tcPr>
          <w:p w14:paraId="2219376B"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3C6FD88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102</w:t>
            </w:r>
          </w:p>
        </w:tc>
        <w:tc>
          <w:tcPr>
            <w:tcW w:w="723" w:type="dxa"/>
            <w:tcBorders>
              <w:top w:val="nil"/>
              <w:left w:val="nil"/>
              <w:bottom w:val="single" w:sz="4" w:space="0" w:color="auto"/>
              <w:right w:val="single" w:sz="4" w:space="0" w:color="auto"/>
            </w:tcBorders>
            <w:shd w:val="clear" w:color="auto" w:fill="auto"/>
            <w:noWrap/>
            <w:vAlign w:val="bottom"/>
            <w:hideMark/>
          </w:tcPr>
          <w:p w14:paraId="29D309B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2028745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4B03222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52427DD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5BE1D5F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01D9C45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79</w:t>
            </w:r>
          </w:p>
        </w:tc>
        <w:tc>
          <w:tcPr>
            <w:tcW w:w="723" w:type="dxa"/>
            <w:tcBorders>
              <w:top w:val="nil"/>
              <w:left w:val="nil"/>
              <w:bottom w:val="single" w:sz="4" w:space="0" w:color="auto"/>
              <w:right w:val="single" w:sz="4" w:space="0" w:color="auto"/>
            </w:tcBorders>
            <w:shd w:val="clear" w:color="auto" w:fill="auto"/>
            <w:noWrap/>
            <w:vAlign w:val="bottom"/>
            <w:hideMark/>
          </w:tcPr>
          <w:p w14:paraId="1A4EEBA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0B2D3D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84</w:t>
            </w:r>
          </w:p>
        </w:tc>
        <w:tc>
          <w:tcPr>
            <w:tcW w:w="723" w:type="dxa"/>
            <w:tcBorders>
              <w:top w:val="nil"/>
              <w:left w:val="nil"/>
              <w:bottom w:val="single" w:sz="4" w:space="0" w:color="auto"/>
              <w:right w:val="single" w:sz="4" w:space="0" w:color="auto"/>
            </w:tcBorders>
            <w:shd w:val="clear" w:color="auto" w:fill="auto"/>
            <w:noWrap/>
            <w:vAlign w:val="bottom"/>
            <w:hideMark/>
          </w:tcPr>
          <w:p w14:paraId="4775A0B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bl>
    <w:p w14:paraId="18C04F0E" w14:textId="57E186D9" w:rsidR="00A27CA4" w:rsidRDefault="00A27CA4" w:rsidP="000431DC">
      <w:pPr>
        <w:ind w:left="1440"/>
      </w:pPr>
    </w:p>
    <w:p w14:paraId="01FF2660" w14:textId="0F126784" w:rsidR="00CB3B34" w:rsidRDefault="00CB3B34">
      <w:r>
        <w:br w:type="page"/>
      </w:r>
    </w:p>
    <w:p w14:paraId="5019E2FB" w14:textId="77777777" w:rsidR="00CB3B34" w:rsidRDefault="00CB3B34" w:rsidP="000431DC">
      <w:pPr>
        <w:ind w:left="1440"/>
      </w:pPr>
    </w:p>
    <w:p w14:paraId="601D6FD3" w14:textId="77777777" w:rsidR="00FF504F" w:rsidRPr="00FF504F" w:rsidRDefault="00FF504F" w:rsidP="00FF504F">
      <w:pPr>
        <w:spacing w:after="200" w:line="276" w:lineRule="auto"/>
        <w:ind w:left="1440"/>
        <w:rPr>
          <w:rFonts w:asciiTheme="minorHAnsi" w:eastAsiaTheme="minorHAnsi" w:hAnsiTheme="minorHAnsi" w:cstheme="minorBidi"/>
          <w:sz w:val="22"/>
          <w:szCs w:val="22"/>
        </w:rPr>
      </w:pPr>
    </w:p>
    <w:tbl>
      <w:tblPr>
        <w:tblW w:w="12547" w:type="dxa"/>
        <w:tblInd w:w="1440" w:type="dxa"/>
        <w:tblLook w:val="04A0" w:firstRow="1" w:lastRow="0" w:firstColumn="1" w:lastColumn="0" w:noHBand="0" w:noVBand="1"/>
      </w:tblPr>
      <w:tblGrid>
        <w:gridCol w:w="3367"/>
        <w:gridCol w:w="1011"/>
        <w:gridCol w:w="978"/>
        <w:gridCol w:w="1011"/>
        <w:gridCol w:w="723"/>
        <w:gridCol w:w="1011"/>
        <w:gridCol w:w="723"/>
        <w:gridCol w:w="1011"/>
        <w:gridCol w:w="978"/>
        <w:gridCol w:w="1011"/>
        <w:gridCol w:w="723"/>
      </w:tblGrid>
      <w:tr w:rsidR="00FF504F" w:rsidRPr="00FF504F" w14:paraId="7E22B342" w14:textId="77777777" w:rsidTr="00FF504F">
        <w:trPr>
          <w:trHeight w:val="285"/>
        </w:trPr>
        <w:tc>
          <w:tcPr>
            <w:tcW w:w="3367"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bottom"/>
            <w:hideMark/>
          </w:tcPr>
          <w:p w14:paraId="6457E0B2" w14:textId="2C70C567" w:rsidR="00FF504F" w:rsidRPr="00FF504F" w:rsidRDefault="00FF504F" w:rsidP="00FF504F">
            <w:pPr>
              <w:rPr>
                <w:rFonts w:ascii="VIC" w:hAnsi="VIC"/>
                <w:b/>
                <w:bCs/>
                <w:color w:val="000000"/>
                <w:lang w:eastAsia="en-AU"/>
              </w:rPr>
            </w:pPr>
            <w:r>
              <w:rPr>
                <w:rFonts w:ascii="VIC" w:hAnsi="VIC"/>
                <w:b/>
                <w:bCs/>
                <w:color w:val="000000"/>
                <w:lang w:eastAsia="en-AU"/>
              </w:rPr>
              <w:t>DIAGNOSI</w:t>
            </w:r>
            <w:r w:rsidRPr="00FF504F">
              <w:rPr>
                <w:rFonts w:ascii="VIC" w:hAnsi="VIC"/>
                <w:b/>
                <w:bCs/>
                <w:color w:val="000000"/>
                <w:lang w:eastAsia="en-AU"/>
              </w:rPr>
              <w:t>S</w:t>
            </w:r>
          </w:p>
        </w:tc>
        <w:tc>
          <w:tcPr>
            <w:tcW w:w="1989"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1A53EDD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20D867D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29154E72"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1/7/2016 - 30/6/2017</w:t>
            </w:r>
          </w:p>
        </w:tc>
        <w:tc>
          <w:tcPr>
            <w:tcW w:w="1989"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316F37F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1/7/2017 - 30/6/2018</w:t>
            </w:r>
          </w:p>
        </w:tc>
        <w:tc>
          <w:tcPr>
            <w:tcW w:w="1734"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12C3D72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1/6/2018 - 31/5/2019</w:t>
            </w:r>
          </w:p>
        </w:tc>
      </w:tr>
      <w:tr w:rsidR="00FF504F" w:rsidRPr="00FF504F" w14:paraId="6C639F14" w14:textId="77777777" w:rsidTr="00FF504F">
        <w:trPr>
          <w:trHeight w:val="285"/>
        </w:trPr>
        <w:tc>
          <w:tcPr>
            <w:tcW w:w="3367"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1443E9FC" w14:textId="77777777" w:rsidR="00FF504F" w:rsidRPr="00FF504F" w:rsidRDefault="00FF504F" w:rsidP="00FF504F">
            <w:pPr>
              <w:rPr>
                <w:rFonts w:ascii="VIC" w:hAnsi="VIC"/>
                <w:b/>
                <w:bCs/>
                <w:color w:val="000000"/>
                <w:lang w:eastAsia="en-AU"/>
              </w:rPr>
            </w:pP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0C74178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978" w:type="dxa"/>
            <w:tcBorders>
              <w:top w:val="nil"/>
              <w:left w:val="nil"/>
              <w:bottom w:val="single" w:sz="4" w:space="0" w:color="auto"/>
              <w:right w:val="single" w:sz="4" w:space="0" w:color="auto"/>
            </w:tcBorders>
            <w:shd w:val="clear" w:color="auto" w:fill="DBE5F1" w:themeFill="accent1" w:themeFillTint="33"/>
            <w:vAlign w:val="bottom"/>
            <w:hideMark/>
          </w:tcPr>
          <w:p w14:paraId="5CB76B9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03A82A2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auto" w:fill="DBE5F1" w:themeFill="accent1" w:themeFillTint="33"/>
            <w:vAlign w:val="bottom"/>
            <w:hideMark/>
          </w:tcPr>
          <w:p w14:paraId="6565AB8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08731F7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auto" w:fill="DBE5F1" w:themeFill="accent1" w:themeFillTint="33"/>
            <w:vAlign w:val="bottom"/>
            <w:hideMark/>
          </w:tcPr>
          <w:p w14:paraId="438AA02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382F9B91"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978" w:type="dxa"/>
            <w:tcBorders>
              <w:top w:val="nil"/>
              <w:left w:val="nil"/>
              <w:bottom w:val="single" w:sz="4" w:space="0" w:color="auto"/>
              <w:right w:val="single" w:sz="4" w:space="0" w:color="auto"/>
            </w:tcBorders>
            <w:shd w:val="clear" w:color="auto" w:fill="DBE5F1" w:themeFill="accent1" w:themeFillTint="33"/>
            <w:vAlign w:val="bottom"/>
            <w:hideMark/>
          </w:tcPr>
          <w:p w14:paraId="156FCC8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7D05985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auto" w:fill="DBE5F1" w:themeFill="accent1" w:themeFillTint="33"/>
            <w:vAlign w:val="bottom"/>
            <w:hideMark/>
          </w:tcPr>
          <w:p w14:paraId="5AB1A71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r>
      <w:tr w:rsidR="00FF504F" w:rsidRPr="00FF504F" w14:paraId="29FD35D2" w14:textId="77777777" w:rsidTr="00FC2056">
        <w:trPr>
          <w:trHeight w:val="285"/>
        </w:trPr>
        <w:tc>
          <w:tcPr>
            <w:tcW w:w="12547" w:type="dxa"/>
            <w:gridSpan w:val="11"/>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409B89AB" w14:textId="56EF5F55" w:rsidR="00FF504F" w:rsidRPr="00FF504F" w:rsidRDefault="00FF504F" w:rsidP="00FF504F">
            <w:pPr>
              <w:rPr>
                <w:rFonts w:ascii="VIC" w:hAnsi="VIC"/>
                <w:i/>
                <w:color w:val="000000"/>
                <w:lang w:eastAsia="en-AU"/>
              </w:rPr>
            </w:pPr>
            <w:r>
              <w:rPr>
                <w:rFonts w:ascii="VIC" w:hAnsi="VIC"/>
                <w:i/>
                <w:color w:val="000000"/>
                <w:lang w:eastAsia="en-AU"/>
              </w:rPr>
              <w:t>STO hearings</w:t>
            </w:r>
          </w:p>
        </w:tc>
      </w:tr>
      <w:tr w:rsidR="00FF504F" w:rsidRPr="00FF504F" w14:paraId="66F60B83" w14:textId="77777777" w:rsidTr="00FF504F">
        <w:trPr>
          <w:trHeight w:val="285"/>
        </w:trPr>
        <w:tc>
          <w:tcPr>
            <w:tcW w:w="33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2BDDA0D"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Schizophrenia</w:t>
            </w:r>
          </w:p>
        </w:tc>
        <w:tc>
          <w:tcPr>
            <w:tcW w:w="1011" w:type="dxa"/>
            <w:tcBorders>
              <w:top w:val="nil"/>
              <w:left w:val="nil"/>
              <w:bottom w:val="single" w:sz="4" w:space="0" w:color="auto"/>
              <w:right w:val="single" w:sz="4" w:space="0" w:color="auto"/>
            </w:tcBorders>
            <w:shd w:val="clear" w:color="auto" w:fill="auto"/>
            <w:noWrap/>
            <w:vAlign w:val="bottom"/>
            <w:hideMark/>
          </w:tcPr>
          <w:p w14:paraId="28630C9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61</w:t>
            </w:r>
          </w:p>
        </w:tc>
        <w:tc>
          <w:tcPr>
            <w:tcW w:w="978" w:type="dxa"/>
            <w:tcBorders>
              <w:top w:val="nil"/>
              <w:left w:val="nil"/>
              <w:bottom w:val="single" w:sz="4" w:space="0" w:color="auto"/>
              <w:right w:val="single" w:sz="4" w:space="0" w:color="auto"/>
            </w:tcBorders>
            <w:shd w:val="clear" w:color="auto" w:fill="auto"/>
            <w:noWrap/>
            <w:vAlign w:val="bottom"/>
            <w:hideMark/>
          </w:tcPr>
          <w:p w14:paraId="7AE633C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60%</w:t>
            </w:r>
          </w:p>
        </w:tc>
        <w:tc>
          <w:tcPr>
            <w:tcW w:w="1011" w:type="dxa"/>
            <w:tcBorders>
              <w:top w:val="nil"/>
              <w:left w:val="nil"/>
              <w:bottom w:val="single" w:sz="4" w:space="0" w:color="auto"/>
              <w:right w:val="single" w:sz="4" w:space="0" w:color="auto"/>
            </w:tcBorders>
            <w:shd w:val="clear" w:color="auto" w:fill="auto"/>
            <w:noWrap/>
            <w:vAlign w:val="bottom"/>
            <w:hideMark/>
          </w:tcPr>
          <w:p w14:paraId="6C5E157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40</w:t>
            </w:r>
          </w:p>
        </w:tc>
        <w:tc>
          <w:tcPr>
            <w:tcW w:w="723" w:type="dxa"/>
            <w:tcBorders>
              <w:top w:val="nil"/>
              <w:left w:val="nil"/>
              <w:bottom w:val="single" w:sz="4" w:space="0" w:color="auto"/>
              <w:right w:val="single" w:sz="4" w:space="0" w:color="auto"/>
            </w:tcBorders>
            <w:shd w:val="clear" w:color="auto" w:fill="auto"/>
            <w:noWrap/>
            <w:vAlign w:val="bottom"/>
            <w:hideMark/>
          </w:tcPr>
          <w:p w14:paraId="706B4A5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51%</w:t>
            </w:r>
          </w:p>
        </w:tc>
        <w:tc>
          <w:tcPr>
            <w:tcW w:w="1011" w:type="dxa"/>
            <w:tcBorders>
              <w:top w:val="nil"/>
              <w:left w:val="nil"/>
              <w:bottom w:val="single" w:sz="4" w:space="0" w:color="auto"/>
              <w:right w:val="single" w:sz="4" w:space="0" w:color="auto"/>
            </w:tcBorders>
            <w:shd w:val="clear" w:color="auto" w:fill="auto"/>
            <w:noWrap/>
            <w:vAlign w:val="bottom"/>
            <w:hideMark/>
          </w:tcPr>
          <w:p w14:paraId="5F0F645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47</w:t>
            </w:r>
          </w:p>
        </w:tc>
        <w:tc>
          <w:tcPr>
            <w:tcW w:w="723" w:type="dxa"/>
            <w:tcBorders>
              <w:top w:val="nil"/>
              <w:left w:val="nil"/>
              <w:bottom w:val="single" w:sz="4" w:space="0" w:color="auto"/>
              <w:right w:val="single" w:sz="4" w:space="0" w:color="auto"/>
            </w:tcBorders>
            <w:shd w:val="clear" w:color="auto" w:fill="auto"/>
            <w:noWrap/>
            <w:vAlign w:val="bottom"/>
            <w:hideMark/>
          </w:tcPr>
          <w:p w14:paraId="6C891FC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60%</w:t>
            </w:r>
          </w:p>
        </w:tc>
        <w:tc>
          <w:tcPr>
            <w:tcW w:w="1011" w:type="dxa"/>
            <w:tcBorders>
              <w:top w:val="nil"/>
              <w:left w:val="nil"/>
              <w:bottom w:val="single" w:sz="4" w:space="0" w:color="auto"/>
              <w:right w:val="single" w:sz="4" w:space="0" w:color="auto"/>
            </w:tcBorders>
            <w:shd w:val="clear" w:color="auto" w:fill="auto"/>
            <w:noWrap/>
            <w:vAlign w:val="bottom"/>
            <w:hideMark/>
          </w:tcPr>
          <w:p w14:paraId="63948AF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53</w:t>
            </w:r>
          </w:p>
        </w:tc>
        <w:tc>
          <w:tcPr>
            <w:tcW w:w="978" w:type="dxa"/>
            <w:tcBorders>
              <w:top w:val="nil"/>
              <w:left w:val="nil"/>
              <w:bottom w:val="single" w:sz="4" w:space="0" w:color="auto"/>
              <w:right w:val="single" w:sz="4" w:space="0" w:color="auto"/>
            </w:tcBorders>
            <w:shd w:val="clear" w:color="auto" w:fill="auto"/>
            <w:noWrap/>
            <w:vAlign w:val="bottom"/>
            <w:hideMark/>
          </w:tcPr>
          <w:p w14:paraId="54A38A1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67%</w:t>
            </w:r>
          </w:p>
        </w:tc>
        <w:tc>
          <w:tcPr>
            <w:tcW w:w="1011" w:type="dxa"/>
            <w:tcBorders>
              <w:top w:val="nil"/>
              <w:left w:val="nil"/>
              <w:bottom w:val="single" w:sz="4" w:space="0" w:color="auto"/>
              <w:right w:val="single" w:sz="4" w:space="0" w:color="auto"/>
            </w:tcBorders>
            <w:shd w:val="clear" w:color="auto" w:fill="auto"/>
            <w:noWrap/>
            <w:vAlign w:val="bottom"/>
            <w:hideMark/>
          </w:tcPr>
          <w:p w14:paraId="20F5207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54</w:t>
            </w:r>
          </w:p>
        </w:tc>
        <w:tc>
          <w:tcPr>
            <w:tcW w:w="723" w:type="dxa"/>
            <w:tcBorders>
              <w:top w:val="nil"/>
              <w:left w:val="nil"/>
              <w:bottom w:val="single" w:sz="4" w:space="0" w:color="auto"/>
              <w:right w:val="single" w:sz="4" w:space="0" w:color="auto"/>
            </w:tcBorders>
            <w:shd w:val="clear" w:color="auto" w:fill="auto"/>
            <w:noWrap/>
            <w:vAlign w:val="bottom"/>
            <w:hideMark/>
          </w:tcPr>
          <w:p w14:paraId="76EC6BF2"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64%</w:t>
            </w:r>
          </w:p>
        </w:tc>
      </w:tr>
      <w:tr w:rsidR="00FF504F" w:rsidRPr="00FF504F" w14:paraId="5ED2229C" w14:textId="77777777" w:rsidTr="00FF504F">
        <w:trPr>
          <w:trHeight w:val="285"/>
        </w:trPr>
        <w:tc>
          <w:tcPr>
            <w:tcW w:w="33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8249050"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Schizo-Affective disorder</w:t>
            </w:r>
          </w:p>
        </w:tc>
        <w:tc>
          <w:tcPr>
            <w:tcW w:w="1011" w:type="dxa"/>
            <w:tcBorders>
              <w:top w:val="nil"/>
              <w:left w:val="nil"/>
              <w:bottom w:val="single" w:sz="4" w:space="0" w:color="auto"/>
              <w:right w:val="single" w:sz="4" w:space="0" w:color="auto"/>
            </w:tcBorders>
            <w:shd w:val="clear" w:color="auto" w:fill="auto"/>
            <w:noWrap/>
            <w:vAlign w:val="bottom"/>
            <w:hideMark/>
          </w:tcPr>
          <w:p w14:paraId="7DC0F9D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w:t>
            </w:r>
          </w:p>
        </w:tc>
        <w:tc>
          <w:tcPr>
            <w:tcW w:w="978" w:type="dxa"/>
            <w:tcBorders>
              <w:top w:val="nil"/>
              <w:left w:val="nil"/>
              <w:bottom w:val="single" w:sz="4" w:space="0" w:color="auto"/>
              <w:right w:val="single" w:sz="4" w:space="0" w:color="auto"/>
            </w:tcBorders>
            <w:shd w:val="clear" w:color="auto" w:fill="auto"/>
            <w:noWrap/>
            <w:vAlign w:val="bottom"/>
            <w:hideMark/>
          </w:tcPr>
          <w:p w14:paraId="6F3EAB50"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w:t>
            </w:r>
          </w:p>
        </w:tc>
        <w:tc>
          <w:tcPr>
            <w:tcW w:w="1011" w:type="dxa"/>
            <w:tcBorders>
              <w:top w:val="nil"/>
              <w:left w:val="nil"/>
              <w:bottom w:val="single" w:sz="4" w:space="0" w:color="auto"/>
              <w:right w:val="single" w:sz="4" w:space="0" w:color="auto"/>
            </w:tcBorders>
            <w:shd w:val="clear" w:color="auto" w:fill="auto"/>
            <w:noWrap/>
            <w:vAlign w:val="bottom"/>
            <w:hideMark/>
          </w:tcPr>
          <w:p w14:paraId="523F0B0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25</w:t>
            </w:r>
          </w:p>
        </w:tc>
        <w:tc>
          <w:tcPr>
            <w:tcW w:w="723" w:type="dxa"/>
            <w:tcBorders>
              <w:top w:val="nil"/>
              <w:left w:val="nil"/>
              <w:bottom w:val="single" w:sz="4" w:space="0" w:color="auto"/>
              <w:right w:val="single" w:sz="4" w:space="0" w:color="auto"/>
            </w:tcBorders>
            <w:shd w:val="clear" w:color="auto" w:fill="auto"/>
            <w:noWrap/>
            <w:vAlign w:val="bottom"/>
            <w:hideMark/>
          </w:tcPr>
          <w:p w14:paraId="57970C32"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32%</w:t>
            </w:r>
          </w:p>
        </w:tc>
        <w:tc>
          <w:tcPr>
            <w:tcW w:w="1011" w:type="dxa"/>
            <w:tcBorders>
              <w:top w:val="nil"/>
              <w:left w:val="nil"/>
              <w:bottom w:val="single" w:sz="4" w:space="0" w:color="auto"/>
              <w:right w:val="single" w:sz="4" w:space="0" w:color="auto"/>
            </w:tcBorders>
            <w:shd w:val="clear" w:color="auto" w:fill="auto"/>
            <w:noWrap/>
            <w:vAlign w:val="bottom"/>
            <w:hideMark/>
          </w:tcPr>
          <w:p w14:paraId="58BBAF4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16</w:t>
            </w:r>
          </w:p>
        </w:tc>
        <w:tc>
          <w:tcPr>
            <w:tcW w:w="723" w:type="dxa"/>
            <w:tcBorders>
              <w:top w:val="nil"/>
              <w:left w:val="nil"/>
              <w:bottom w:val="single" w:sz="4" w:space="0" w:color="auto"/>
              <w:right w:val="single" w:sz="4" w:space="0" w:color="auto"/>
            </w:tcBorders>
            <w:shd w:val="clear" w:color="auto" w:fill="auto"/>
            <w:noWrap/>
            <w:vAlign w:val="bottom"/>
            <w:hideMark/>
          </w:tcPr>
          <w:p w14:paraId="3340442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21%</w:t>
            </w:r>
          </w:p>
        </w:tc>
        <w:tc>
          <w:tcPr>
            <w:tcW w:w="1011" w:type="dxa"/>
            <w:tcBorders>
              <w:top w:val="nil"/>
              <w:left w:val="nil"/>
              <w:bottom w:val="single" w:sz="4" w:space="0" w:color="auto"/>
              <w:right w:val="single" w:sz="4" w:space="0" w:color="auto"/>
            </w:tcBorders>
            <w:shd w:val="clear" w:color="auto" w:fill="auto"/>
            <w:noWrap/>
            <w:vAlign w:val="bottom"/>
            <w:hideMark/>
          </w:tcPr>
          <w:p w14:paraId="43848F8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9</w:t>
            </w:r>
          </w:p>
        </w:tc>
        <w:tc>
          <w:tcPr>
            <w:tcW w:w="978" w:type="dxa"/>
            <w:tcBorders>
              <w:top w:val="nil"/>
              <w:left w:val="nil"/>
              <w:bottom w:val="single" w:sz="4" w:space="0" w:color="auto"/>
              <w:right w:val="single" w:sz="4" w:space="0" w:color="auto"/>
            </w:tcBorders>
            <w:shd w:val="clear" w:color="auto" w:fill="auto"/>
            <w:noWrap/>
            <w:vAlign w:val="bottom"/>
            <w:hideMark/>
          </w:tcPr>
          <w:p w14:paraId="4F83CAD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11%</w:t>
            </w:r>
          </w:p>
        </w:tc>
        <w:tc>
          <w:tcPr>
            <w:tcW w:w="1011" w:type="dxa"/>
            <w:tcBorders>
              <w:top w:val="nil"/>
              <w:left w:val="nil"/>
              <w:bottom w:val="single" w:sz="4" w:space="0" w:color="auto"/>
              <w:right w:val="single" w:sz="4" w:space="0" w:color="auto"/>
            </w:tcBorders>
            <w:shd w:val="clear" w:color="auto" w:fill="auto"/>
            <w:noWrap/>
            <w:vAlign w:val="bottom"/>
            <w:hideMark/>
          </w:tcPr>
          <w:p w14:paraId="0E09AA4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13</w:t>
            </w:r>
          </w:p>
        </w:tc>
        <w:tc>
          <w:tcPr>
            <w:tcW w:w="723" w:type="dxa"/>
            <w:tcBorders>
              <w:top w:val="nil"/>
              <w:left w:val="nil"/>
              <w:bottom w:val="single" w:sz="4" w:space="0" w:color="auto"/>
              <w:right w:val="single" w:sz="4" w:space="0" w:color="auto"/>
            </w:tcBorders>
            <w:shd w:val="clear" w:color="auto" w:fill="auto"/>
            <w:noWrap/>
            <w:vAlign w:val="bottom"/>
            <w:hideMark/>
          </w:tcPr>
          <w:p w14:paraId="23D5DED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15%</w:t>
            </w:r>
          </w:p>
        </w:tc>
      </w:tr>
      <w:tr w:rsidR="00FF504F" w:rsidRPr="00FF504F" w14:paraId="60802972" w14:textId="77777777" w:rsidTr="00FF504F">
        <w:trPr>
          <w:trHeight w:val="285"/>
        </w:trPr>
        <w:tc>
          <w:tcPr>
            <w:tcW w:w="33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E86B255"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Bipolar disorder</w:t>
            </w:r>
          </w:p>
        </w:tc>
        <w:tc>
          <w:tcPr>
            <w:tcW w:w="1011" w:type="dxa"/>
            <w:tcBorders>
              <w:top w:val="nil"/>
              <w:left w:val="nil"/>
              <w:bottom w:val="single" w:sz="4" w:space="0" w:color="auto"/>
              <w:right w:val="single" w:sz="4" w:space="0" w:color="auto"/>
            </w:tcBorders>
            <w:shd w:val="clear" w:color="auto" w:fill="auto"/>
            <w:noWrap/>
            <w:vAlign w:val="bottom"/>
            <w:hideMark/>
          </w:tcPr>
          <w:p w14:paraId="507443C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w:t>
            </w:r>
          </w:p>
        </w:tc>
        <w:tc>
          <w:tcPr>
            <w:tcW w:w="978" w:type="dxa"/>
            <w:tcBorders>
              <w:top w:val="nil"/>
              <w:left w:val="nil"/>
              <w:bottom w:val="single" w:sz="4" w:space="0" w:color="auto"/>
              <w:right w:val="single" w:sz="4" w:space="0" w:color="auto"/>
            </w:tcBorders>
            <w:shd w:val="clear" w:color="auto" w:fill="auto"/>
            <w:noWrap/>
            <w:vAlign w:val="bottom"/>
            <w:hideMark/>
          </w:tcPr>
          <w:p w14:paraId="17597F3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w:t>
            </w:r>
          </w:p>
        </w:tc>
        <w:tc>
          <w:tcPr>
            <w:tcW w:w="1011" w:type="dxa"/>
            <w:tcBorders>
              <w:top w:val="nil"/>
              <w:left w:val="nil"/>
              <w:bottom w:val="single" w:sz="4" w:space="0" w:color="auto"/>
              <w:right w:val="single" w:sz="4" w:space="0" w:color="auto"/>
            </w:tcBorders>
            <w:shd w:val="clear" w:color="auto" w:fill="auto"/>
            <w:noWrap/>
            <w:vAlign w:val="bottom"/>
            <w:hideMark/>
          </w:tcPr>
          <w:p w14:paraId="5F722AD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3</w:t>
            </w:r>
          </w:p>
        </w:tc>
        <w:tc>
          <w:tcPr>
            <w:tcW w:w="723" w:type="dxa"/>
            <w:tcBorders>
              <w:top w:val="nil"/>
              <w:left w:val="nil"/>
              <w:bottom w:val="single" w:sz="4" w:space="0" w:color="auto"/>
              <w:right w:val="single" w:sz="4" w:space="0" w:color="auto"/>
            </w:tcBorders>
            <w:shd w:val="clear" w:color="auto" w:fill="auto"/>
            <w:noWrap/>
            <w:vAlign w:val="bottom"/>
            <w:hideMark/>
          </w:tcPr>
          <w:p w14:paraId="39E31782"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4%</w:t>
            </w:r>
          </w:p>
        </w:tc>
        <w:tc>
          <w:tcPr>
            <w:tcW w:w="1011" w:type="dxa"/>
            <w:tcBorders>
              <w:top w:val="nil"/>
              <w:left w:val="nil"/>
              <w:bottom w:val="single" w:sz="4" w:space="0" w:color="auto"/>
              <w:right w:val="single" w:sz="4" w:space="0" w:color="auto"/>
            </w:tcBorders>
            <w:shd w:val="clear" w:color="auto" w:fill="auto"/>
            <w:noWrap/>
            <w:vAlign w:val="bottom"/>
            <w:hideMark/>
          </w:tcPr>
          <w:p w14:paraId="5809AB0B"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w:t>
            </w:r>
          </w:p>
        </w:tc>
        <w:tc>
          <w:tcPr>
            <w:tcW w:w="723" w:type="dxa"/>
            <w:tcBorders>
              <w:top w:val="nil"/>
              <w:left w:val="nil"/>
              <w:bottom w:val="single" w:sz="4" w:space="0" w:color="auto"/>
              <w:right w:val="single" w:sz="4" w:space="0" w:color="auto"/>
            </w:tcBorders>
            <w:shd w:val="clear" w:color="auto" w:fill="auto"/>
            <w:noWrap/>
            <w:vAlign w:val="bottom"/>
            <w:hideMark/>
          </w:tcPr>
          <w:p w14:paraId="05F3B68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w:t>
            </w:r>
          </w:p>
        </w:tc>
        <w:tc>
          <w:tcPr>
            <w:tcW w:w="1011" w:type="dxa"/>
            <w:tcBorders>
              <w:top w:val="nil"/>
              <w:left w:val="nil"/>
              <w:bottom w:val="single" w:sz="4" w:space="0" w:color="auto"/>
              <w:right w:val="single" w:sz="4" w:space="0" w:color="auto"/>
            </w:tcBorders>
            <w:shd w:val="clear" w:color="auto" w:fill="auto"/>
            <w:noWrap/>
            <w:vAlign w:val="bottom"/>
            <w:hideMark/>
          </w:tcPr>
          <w:p w14:paraId="71ADA08B"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4</w:t>
            </w:r>
          </w:p>
        </w:tc>
        <w:tc>
          <w:tcPr>
            <w:tcW w:w="978" w:type="dxa"/>
            <w:tcBorders>
              <w:top w:val="nil"/>
              <w:left w:val="nil"/>
              <w:bottom w:val="single" w:sz="4" w:space="0" w:color="auto"/>
              <w:right w:val="single" w:sz="4" w:space="0" w:color="auto"/>
            </w:tcBorders>
            <w:shd w:val="clear" w:color="auto" w:fill="auto"/>
            <w:noWrap/>
            <w:vAlign w:val="bottom"/>
            <w:hideMark/>
          </w:tcPr>
          <w:p w14:paraId="2CF4F65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w:t>
            </w:r>
          </w:p>
        </w:tc>
        <w:tc>
          <w:tcPr>
            <w:tcW w:w="1011" w:type="dxa"/>
            <w:tcBorders>
              <w:top w:val="nil"/>
              <w:left w:val="nil"/>
              <w:bottom w:val="single" w:sz="4" w:space="0" w:color="auto"/>
              <w:right w:val="single" w:sz="4" w:space="0" w:color="auto"/>
            </w:tcBorders>
            <w:shd w:val="clear" w:color="auto" w:fill="auto"/>
            <w:noWrap/>
            <w:vAlign w:val="bottom"/>
            <w:hideMark/>
          </w:tcPr>
          <w:p w14:paraId="4C9B85E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5</w:t>
            </w:r>
          </w:p>
        </w:tc>
        <w:tc>
          <w:tcPr>
            <w:tcW w:w="723" w:type="dxa"/>
            <w:tcBorders>
              <w:top w:val="nil"/>
              <w:left w:val="nil"/>
              <w:bottom w:val="single" w:sz="4" w:space="0" w:color="auto"/>
              <w:right w:val="single" w:sz="4" w:space="0" w:color="auto"/>
            </w:tcBorders>
            <w:shd w:val="clear" w:color="auto" w:fill="auto"/>
            <w:noWrap/>
            <w:vAlign w:val="bottom"/>
            <w:hideMark/>
          </w:tcPr>
          <w:p w14:paraId="056DCDE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w:t>
            </w:r>
          </w:p>
        </w:tc>
      </w:tr>
      <w:tr w:rsidR="00FF504F" w:rsidRPr="00FF504F" w14:paraId="3EF72BBC" w14:textId="77777777" w:rsidTr="00FF504F">
        <w:trPr>
          <w:trHeight w:val="285"/>
        </w:trPr>
        <w:tc>
          <w:tcPr>
            <w:tcW w:w="33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FC2EC28"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Other</w:t>
            </w:r>
          </w:p>
        </w:tc>
        <w:tc>
          <w:tcPr>
            <w:tcW w:w="1011" w:type="dxa"/>
            <w:tcBorders>
              <w:top w:val="nil"/>
              <w:left w:val="nil"/>
              <w:bottom w:val="single" w:sz="4" w:space="0" w:color="auto"/>
              <w:right w:val="single" w:sz="4" w:space="0" w:color="auto"/>
            </w:tcBorders>
            <w:shd w:val="clear" w:color="auto" w:fill="auto"/>
            <w:noWrap/>
            <w:vAlign w:val="bottom"/>
            <w:hideMark/>
          </w:tcPr>
          <w:p w14:paraId="63EA8A0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14</w:t>
            </w:r>
          </w:p>
        </w:tc>
        <w:tc>
          <w:tcPr>
            <w:tcW w:w="978" w:type="dxa"/>
            <w:tcBorders>
              <w:top w:val="nil"/>
              <w:left w:val="nil"/>
              <w:bottom w:val="single" w:sz="4" w:space="0" w:color="auto"/>
              <w:right w:val="single" w:sz="4" w:space="0" w:color="auto"/>
            </w:tcBorders>
            <w:shd w:val="clear" w:color="auto" w:fill="auto"/>
            <w:noWrap/>
            <w:vAlign w:val="bottom"/>
            <w:hideMark/>
          </w:tcPr>
          <w:p w14:paraId="37BE240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14%</w:t>
            </w:r>
          </w:p>
        </w:tc>
        <w:tc>
          <w:tcPr>
            <w:tcW w:w="1011" w:type="dxa"/>
            <w:tcBorders>
              <w:top w:val="nil"/>
              <w:left w:val="nil"/>
              <w:bottom w:val="single" w:sz="4" w:space="0" w:color="auto"/>
              <w:right w:val="single" w:sz="4" w:space="0" w:color="auto"/>
            </w:tcBorders>
            <w:shd w:val="clear" w:color="auto" w:fill="auto"/>
            <w:noWrap/>
            <w:vAlign w:val="bottom"/>
            <w:hideMark/>
          </w:tcPr>
          <w:p w14:paraId="1479198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w:t>
            </w:r>
          </w:p>
        </w:tc>
        <w:tc>
          <w:tcPr>
            <w:tcW w:w="723" w:type="dxa"/>
            <w:tcBorders>
              <w:top w:val="nil"/>
              <w:left w:val="nil"/>
              <w:bottom w:val="single" w:sz="4" w:space="0" w:color="auto"/>
              <w:right w:val="single" w:sz="4" w:space="0" w:color="auto"/>
            </w:tcBorders>
            <w:shd w:val="clear" w:color="auto" w:fill="auto"/>
            <w:noWrap/>
            <w:vAlign w:val="bottom"/>
            <w:hideMark/>
          </w:tcPr>
          <w:p w14:paraId="04D61D7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13%</w:t>
            </w:r>
          </w:p>
        </w:tc>
        <w:tc>
          <w:tcPr>
            <w:tcW w:w="1011" w:type="dxa"/>
            <w:tcBorders>
              <w:top w:val="nil"/>
              <w:left w:val="nil"/>
              <w:bottom w:val="single" w:sz="4" w:space="0" w:color="auto"/>
              <w:right w:val="single" w:sz="4" w:space="0" w:color="auto"/>
            </w:tcBorders>
            <w:shd w:val="clear" w:color="auto" w:fill="auto"/>
            <w:noWrap/>
            <w:vAlign w:val="bottom"/>
            <w:hideMark/>
          </w:tcPr>
          <w:p w14:paraId="2535905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14</w:t>
            </w:r>
          </w:p>
        </w:tc>
        <w:tc>
          <w:tcPr>
            <w:tcW w:w="723" w:type="dxa"/>
            <w:tcBorders>
              <w:top w:val="nil"/>
              <w:left w:val="nil"/>
              <w:bottom w:val="single" w:sz="4" w:space="0" w:color="auto"/>
              <w:right w:val="single" w:sz="4" w:space="0" w:color="auto"/>
            </w:tcBorders>
            <w:shd w:val="clear" w:color="auto" w:fill="auto"/>
            <w:noWrap/>
            <w:vAlign w:val="bottom"/>
            <w:hideMark/>
          </w:tcPr>
          <w:p w14:paraId="12EF03D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18%</w:t>
            </w:r>
          </w:p>
        </w:tc>
        <w:tc>
          <w:tcPr>
            <w:tcW w:w="1011" w:type="dxa"/>
            <w:tcBorders>
              <w:top w:val="nil"/>
              <w:left w:val="nil"/>
              <w:bottom w:val="single" w:sz="4" w:space="0" w:color="auto"/>
              <w:right w:val="single" w:sz="4" w:space="0" w:color="auto"/>
            </w:tcBorders>
            <w:shd w:val="clear" w:color="auto" w:fill="auto"/>
            <w:noWrap/>
            <w:vAlign w:val="bottom"/>
            <w:hideMark/>
          </w:tcPr>
          <w:p w14:paraId="7674203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13</w:t>
            </w:r>
          </w:p>
        </w:tc>
        <w:tc>
          <w:tcPr>
            <w:tcW w:w="978" w:type="dxa"/>
            <w:tcBorders>
              <w:top w:val="nil"/>
              <w:left w:val="nil"/>
              <w:bottom w:val="single" w:sz="4" w:space="0" w:color="auto"/>
              <w:right w:val="single" w:sz="4" w:space="0" w:color="auto"/>
            </w:tcBorders>
            <w:shd w:val="clear" w:color="auto" w:fill="auto"/>
            <w:noWrap/>
            <w:vAlign w:val="bottom"/>
            <w:hideMark/>
          </w:tcPr>
          <w:p w14:paraId="600472C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16%</w:t>
            </w:r>
          </w:p>
        </w:tc>
        <w:tc>
          <w:tcPr>
            <w:tcW w:w="1011" w:type="dxa"/>
            <w:tcBorders>
              <w:top w:val="nil"/>
              <w:left w:val="nil"/>
              <w:bottom w:val="single" w:sz="4" w:space="0" w:color="auto"/>
              <w:right w:val="single" w:sz="4" w:space="0" w:color="auto"/>
            </w:tcBorders>
            <w:shd w:val="clear" w:color="auto" w:fill="auto"/>
            <w:noWrap/>
            <w:vAlign w:val="bottom"/>
            <w:hideMark/>
          </w:tcPr>
          <w:p w14:paraId="25B55C3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12</w:t>
            </w:r>
          </w:p>
        </w:tc>
        <w:tc>
          <w:tcPr>
            <w:tcW w:w="723" w:type="dxa"/>
            <w:tcBorders>
              <w:top w:val="nil"/>
              <w:left w:val="nil"/>
              <w:bottom w:val="single" w:sz="4" w:space="0" w:color="auto"/>
              <w:right w:val="single" w:sz="4" w:space="0" w:color="auto"/>
            </w:tcBorders>
            <w:shd w:val="clear" w:color="auto" w:fill="auto"/>
            <w:noWrap/>
            <w:vAlign w:val="bottom"/>
            <w:hideMark/>
          </w:tcPr>
          <w:p w14:paraId="399FB53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14%</w:t>
            </w:r>
          </w:p>
        </w:tc>
      </w:tr>
      <w:tr w:rsidR="00FF504F" w:rsidRPr="00FF504F" w14:paraId="769B1C60" w14:textId="77777777" w:rsidTr="00FF504F">
        <w:trPr>
          <w:trHeight w:val="285"/>
        </w:trPr>
        <w:tc>
          <w:tcPr>
            <w:tcW w:w="33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B55ACB5"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10CF545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102</w:t>
            </w:r>
          </w:p>
        </w:tc>
        <w:tc>
          <w:tcPr>
            <w:tcW w:w="978" w:type="dxa"/>
            <w:tcBorders>
              <w:top w:val="nil"/>
              <w:left w:val="nil"/>
              <w:bottom w:val="single" w:sz="4" w:space="0" w:color="auto"/>
              <w:right w:val="single" w:sz="4" w:space="0" w:color="auto"/>
            </w:tcBorders>
            <w:shd w:val="clear" w:color="auto" w:fill="auto"/>
            <w:noWrap/>
            <w:vAlign w:val="bottom"/>
            <w:hideMark/>
          </w:tcPr>
          <w:p w14:paraId="7CE2D34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24D171C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12062D9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1210CFD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78</w:t>
            </w:r>
          </w:p>
        </w:tc>
        <w:tc>
          <w:tcPr>
            <w:tcW w:w="723" w:type="dxa"/>
            <w:tcBorders>
              <w:top w:val="nil"/>
              <w:left w:val="nil"/>
              <w:bottom w:val="single" w:sz="4" w:space="0" w:color="auto"/>
              <w:right w:val="single" w:sz="4" w:space="0" w:color="auto"/>
            </w:tcBorders>
            <w:shd w:val="clear" w:color="auto" w:fill="auto"/>
            <w:noWrap/>
            <w:vAlign w:val="bottom"/>
            <w:hideMark/>
          </w:tcPr>
          <w:p w14:paraId="2A01D22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22E80FB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79</w:t>
            </w:r>
          </w:p>
        </w:tc>
        <w:tc>
          <w:tcPr>
            <w:tcW w:w="978" w:type="dxa"/>
            <w:tcBorders>
              <w:top w:val="nil"/>
              <w:left w:val="nil"/>
              <w:bottom w:val="single" w:sz="4" w:space="0" w:color="auto"/>
              <w:right w:val="single" w:sz="4" w:space="0" w:color="auto"/>
            </w:tcBorders>
            <w:shd w:val="clear" w:color="auto" w:fill="auto"/>
            <w:noWrap/>
            <w:vAlign w:val="bottom"/>
            <w:hideMark/>
          </w:tcPr>
          <w:p w14:paraId="3BAFA86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5CDBADB0"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84</w:t>
            </w:r>
          </w:p>
        </w:tc>
        <w:tc>
          <w:tcPr>
            <w:tcW w:w="723" w:type="dxa"/>
            <w:tcBorders>
              <w:top w:val="nil"/>
              <w:left w:val="nil"/>
              <w:bottom w:val="single" w:sz="4" w:space="0" w:color="auto"/>
              <w:right w:val="single" w:sz="4" w:space="0" w:color="auto"/>
            </w:tcBorders>
            <w:shd w:val="clear" w:color="auto" w:fill="auto"/>
            <w:noWrap/>
            <w:vAlign w:val="bottom"/>
            <w:hideMark/>
          </w:tcPr>
          <w:p w14:paraId="72A31CF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r>
    </w:tbl>
    <w:p w14:paraId="379C7767" w14:textId="77777777" w:rsidR="00FF504F" w:rsidRPr="00FF504F" w:rsidRDefault="00FF504F" w:rsidP="00FF504F">
      <w:pPr>
        <w:spacing w:after="200" w:line="276" w:lineRule="auto"/>
        <w:ind w:left="1440"/>
        <w:rPr>
          <w:rFonts w:asciiTheme="minorHAnsi" w:eastAsiaTheme="minorHAnsi" w:hAnsiTheme="minorHAnsi" w:cstheme="minorBidi"/>
          <w:sz w:val="22"/>
          <w:szCs w:val="22"/>
        </w:rPr>
      </w:pPr>
    </w:p>
    <w:p w14:paraId="08C390C2" w14:textId="77777777" w:rsidR="00CB3B34" w:rsidRDefault="00CB3B34" w:rsidP="000431DC">
      <w:pPr>
        <w:ind w:left="1440"/>
      </w:pPr>
    </w:p>
    <w:p w14:paraId="71CDAB82" w14:textId="7A398EE3" w:rsidR="000431DC" w:rsidRDefault="000431DC">
      <w:r>
        <w:br w:type="page"/>
      </w:r>
    </w:p>
    <w:p w14:paraId="545D9DE5" w14:textId="26AFD797" w:rsidR="000431DC" w:rsidRPr="00053B9F" w:rsidRDefault="000431DC" w:rsidP="000431DC">
      <w:pPr>
        <w:keepNext/>
        <w:keepLines/>
        <w:spacing w:before="240" w:after="90"/>
        <w:ind w:left="2160" w:hanging="2160"/>
        <w:contextualSpacing/>
        <w:jc w:val="center"/>
        <w:outlineLvl w:val="1"/>
        <w:rPr>
          <w:rFonts w:ascii="Arial" w:hAnsi="Arial" w:cs="Arial"/>
          <w:b/>
          <w:caps/>
          <w:sz w:val="32"/>
          <w:szCs w:val="32"/>
        </w:rPr>
      </w:pPr>
      <w:r w:rsidRPr="00053B9F">
        <w:rPr>
          <w:rFonts w:ascii="Arial" w:hAnsi="Arial" w:cs="Arial"/>
          <w:b/>
          <w:caps/>
          <w:sz w:val="32"/>
          <w:szCs w:val="32"/>
        </w:rPr>
        <w:lastRenderedPageBreak/>
        <w:t xml:space="preserve">Appendix </w:t>
      </w:r>
      <w:r>
        <w:rPr>
          <w:rFonts w:ascii="Arial" w:hAnsi="Arial" w:cs="Arial"/>
          <w:b/>
          <w:caps/>
          <w:sz w:val="32"/>
          <w:szCs w:val="32"/>
        </w:rPr>
        <w:t>C</w:t>
      </w:r>
      <w:r w:rsidRPr="00053B9F">
        <w:rPr>
          <w:rFonts w:ascii="Arial" w:hAnsi="Arial" w:cs="Arial"/>
          <w:b/>
          <w:caps/>
          <w:sz w:val="32"/>
          <w:szCs w:val="32"/>
        </w:rPr>
        <w:t>:</w:t>
      </w:r>
      <w:r w:rsidRPr="00053B9F">
        <w:rPr>
          <w:rFonts w:ascii="Arial" w:hAnsi="Arial" w:cs="Arial"/>
          <w:b/>
          <w:caps/>
          <w:sz w:val="32"/>
          <w:szCs w:val="32"/>
        </w:rPr>
        <w:tab/>
        <w:t xml:space="preserve">ECT </w:t>
      </w:r>
      <w:r w:rsidR="00E76A95">
        <w:rPr>
          <w:rFonts w:ascii="Arial" w:hAnsi="Arial" w:cs="Arial"/>
          <w:b/>
          <w:caps/>
          <w:sz w:val="32"/>
          <w:szCs w:val="32"/>
        </w:rPr>
        <w:t xml:space="preserve">ORDER </w:t>
      </w:r>
      <w:r w:rsidRPr="00053B9F">
        <w:rPr>
          <w:rFonts w:ascii="Arial" w:hAnsi="Arial" w:cs="Arial"/>
          <w:b/>
          <w:caps/>
          <w:sz w:val="32"/>
          <w:szCs w:val="32"/>
        </w:rPr>
        <w:t>statistics and demographic data</w:t>
      </w:r>
    </w:p>
    <w:p w14:paraId="0D2B93A1" w14:textId="51672EC5" w:rsidR="000431DC" w:rsidRDefault="000431DC"/>
    <w:p w14:paraId="7E7A1CE5" w14:textId="2DB37B86" w:rsidR="00F80430" w:rsidRDefault="00F80430"/>
    <w:p w14:paraId="599680BF" w14:textId="77777777" w:rsidR="00F80430" w:rsidRDefault="00F80430" w:rsidP="00F80430">
      <w:pPr>
        <w:ind w:left="1440"/>
      </w:pPr>
    </w:p>
    <w:tbl>
      <w:tblPr>
        <w:tblW w:w="11469" w:type="dxa"/>
        <w:tblInd w:w="1440" w:type="dxa"/>
        <w:tblLook w:val="04A0" w:firstRow="1" w:lastRow="0" w:firstColumn="1" w:lastColumn="0" w:noHBand="0" w:noVBand="1"/>
      </w:tblPr>
      <w:tblGrid>
        <w:gridCol w:w="2786"/>
        <w:gridCol w:w="1011"/>
        <w:gridCol w:w="723"/>
        <w:gridCol w:w="1011"/>
        <w:gridCol w:w="723"/>
        <w:gridCol w:w="1011"/>
        <w:gridCol w:w="723"/>
        <w:gridCol w:w="1011"/>
        <w:gridCol w:w="723"/>
        <w:gridCol w:w="1011"/>
        <w:gridCol w:w="736"/>
      </w:tblGrid>
      <w:tr w:rsidR="000431DC" w:rsidRPr="000431DC" w14:paraId="7217B698" w14:textId="77777777" w:rsidTr="00F80430">
        <w:trPr>
          <w:trHeight w:val="285"/>
        </w:trPr>
        <w:tc>
          <w:tcPr>
            <w:tcW w:w="2786"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bottom"/>
            <w:hideMark/>
          </w:tcPr>
          <w:p w14:paraId="6C426DEA" w14:textId="6EF0A87F" w:rsidR="000431DC" w:rsidRPr="000431DC" w:rsidRDefault="000431DC" w:rsidP="000431DC">
            <w:pPr>
              <w:ind w:firstLineChars="100" w:firstLine="221"/>
              <w:rPr>
                <w:rFonts w:ascii="VIC" w:hAnsi="VIC"/>
                <w:b/>
                <w:bCs/>
                <w:color w:val="000000"/>
                <w:sz w:val="22"/>
                <w:szCs w:val="22"/>
                <w:lang w:eastAsia="en-AU"/>
              </w:rPr>
            </w:pPr>
            <w:r w:rsidRPr="000431DC">
              <w:rPr>
                <w:rFonts w:ascii="VIC" w:hAnsi="VIC"/>
                <w:b/>
                <w:bCs/>
                <w:color w:val="000000"/>
                <w:sz w:val="22"/>
                <w:szCs w:val="22"/>
                <w:lang w:eastAsia="en-AU"/>
              </w:rPr>
              <w:t xml:space="preserve">ECT </w:t>
            </w:r>
            <w:r w:rsidR="00F80430">
              <w:rPr>
                <w:rFonts w:ascii="VIC" w:hAnsi="VIC"/>
                <w:b/>
                <w:bCs/>
                <w:color w:val="000000"/>
                <w:sz w:val="22"/>
                <w:szCs w:val="22"/>
                <w:lang w:eastAsia="en-AU"/>
              </w:rPr>
              <w:t>Determinations</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4B7FA55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7AF6D3D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A29EC1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1/7/2016 - 30/6/2017</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554356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1/7/2017 - 30/6/2018</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A91AFF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1/6/2018 - 31/5/2019</w:t>
            </w:r>
          </w:p>
        </w:tc>
      </w:tr>
      <w:tr w:rsidR="000431DC" w:rsidRPr="000431DC" w14:paraId="39D031AA" w14:textId="77777777" w:rsidTr="00F80430">
        <w:trPr>
          <w:trHeight w:val="285"/>
        </w:trPr>
        <w:tc>
          <w:tcPr>
            <w:tcW w:w="2786" w:type="dxa"/>
            <w:vMerge/>
            <w:tcBorders>
              <w:top w:val="single" w:sz="4" w:space="0" w:color="auto"/>
              <w:left w:val="single" w:sz="4" w:space="0" w:color="auto"/>
              <w:bottom w:val="single" w:sz="4" w:space="0" w:color="000000"/>
              <w:right w:val="single" w:sz="4" w:space="0" w:color="auto"/>
            </w:tcBorders>
            <w:vAlign w:val="center"/>
            <w:hideMark/>
          </w:tcPr>
          <w:p w14:paraId="12C4E3B3" w14:textId="77777777" w:rsidR="000431DC" w:rsidRPr="000431DC" w:rsidRDefault="000431DC" w:rsidP="000431DC">
            <w:pPr>
              <w:rPr>
                <w:rFonts w:ascii="VIC" w:hAnsi="VIC"/>
                <w:b/>
                <w:bCs/>
                <w:color w:val="000000"/>
                <w:sz w:val="22"/>
                <w:szCs w:val="22"/>
                <w:lang w:eastAsia="en-AU"/>
              </w:rPr>
            </w:pPr>
          </w:p>
        </w:tc>
        <w:tc>
          <w:tcPr>
            <w:tcW w:w="1011" w:type="dxa"/>
            <w:tcBorders>
              <w:top w:val="nil"/>
              <w:left w:val="nil"/>
              <w:bottom w:val="single" w:sz="4" w:space="0" w:color="auto"/>
              <w:right w:val="single" w:sz="4" w:space="0" w:color="auto"/>
            </w:tcBorders>
            <w:shd w:val="clear" w:color="000000" w:fill="D9E1F2"/>
            <w:noWrap/>
            <w:vAlign w:val="bottom"/>
            <w:hideMark/>
          </w:tcPr>
          <w:p w14:paraId="266014E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4F0DE72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636AE20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166EB66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3057A72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2DB3EC3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6A7ACA0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03A5880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005F1B7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5BADE8F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r>
      <w:tr w:rsidR="000431DC" w:rsidRPr="000431DC" w14:paraId="506FBA78" w14:textId="77777777" w:rsidTr="00F80430">
        <w:trPr>
          <w:trHeight w:val="315"/>
        </w:trPr>
        <w:tc>
          <w:tcPr>
            <w:tcW w:w="11469" w:type="dxa"/>
            <w:gridSpan w:val="11"/>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030E2360" w14:textId="77777777" w:rsidR="000431DC" w:rsidRPr="000431DC" w:rsidRDefault="000431DC" w:rsidP="000431DC">
            <w:pPr>
              <w:rPr>
                <w:rFonts w:ascii="VIC" w:hAnsi="VIC"/>
                <w:i/>
                <w:iCs/>
                <w:color w:val="000000"/>
                <w:lang w:eastAsia="en-AU"/>
              </w:rPr>
            </w:pPr>
            <w:r w:rsidRPr="000431DC">
              <w:rPr>
                <w:rFonts w:ascii="VIC" w:hAnsi="VIC"/>
                <w:i/>
                <w:iCs/>
                <w:color w:val="000000"/>
                <w:lang w:eastAsia="en-AU"/>
              </w:rPr>
              <w:t>Compulsory adults</w:t>
            </w:r>
          </w:p>
        </w:tc>
      </w:tr>
      <w:tr w:rsidR="000431DC" w:rsidRPr="000431DC" w14:paraId="4B9F83CB" w14:textId="77777777" w:rsidTr="00F80430">
        <w:trPr>
          <w:trHeight w:val="285"/>
        </w:trPr>
        <w:tc>
          <w:tcPr>
            <w:tcW w:w="2786" w:type="dxa"/>
            <w:tcBorders>
              <w:top w:val="nil"/>
              <w:left w:val="single" w:sz="4" w:space="0" w:color="auto"/>
              <w:bottom w:val="single" w:sz="4" w:space="0" w:color="auto"/>
              <w:right w:val="single" w:sz="4" w:space="0" w:color="auto"/>
            </w:tcBorders>
            <w:shd w:val="clear" w:color="000000" w:fill="D9E1F2"/>
            <w:noWrap/>
            <w:vAlign w:val="bottom"/>
            <w:hideMark/>
          </w:tcPr>
          <w:p w14:paraId="695167F5"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ECT Orders made</w:t>
            </w:r>
          </w:p>
        </w:tc>
        <w:tc>
          <w:tcPr>
            <w:tcW w:w="1011" w:type="dxa"/>
            <w:tcBorders>
              <w:top w:val="nil"/>
              <w:left w:val="nil"/>
              <w:bottom w:val="single" w:sz="4" w:space="0" w:color="auto"/>
              <w:right w:val="single" w:sz="4" w:space="0" w:color="auto"/>
            </w:tcBorders>
            <w:shd w:val="clear" w:color="auto" w:fill="auto"/>
            <w:noWrap/>
            <w:vAlign w:val="bottom"/>
            <w:hideMark/>
          </w:tcPr>
          <w:p w14:paraId="730E151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544</w:t>
            </w:r>
          </w:p>
        </w:tc>
        <w:tc>
          <w:tcPr>
            <w:tcW w:w="723" w:type="dxa"/>
            <w:tcBorders>
              <w:top w:val="nil"/>
              <w:left w:val="nil"/>
              <w:bottom w:val="single" w:sz="4" w:space="0" w:color="auto"/>
              <w:right w:val="single" w:sz="4" w:space="0" w:color="auto"/>
            </w:tcBorders>
            <w:shd w:val="clear" w:color="auto" w:fill="auto"/>
            <w:noWrap/>
            <w:vAlign w:val="bottom"/>
            <w:hideMark/>
          </w:tcPr>
          <w:p w14:paraId="7E4C138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89%</w:t>
            </w:r>
          </w:p>
        </w:tc>
        <w:tc>
          <w:tcPr>
            <w:tcW w:w="1011" w:type="dxa"/>
            <w:tcBorders>
              <w:top w:val="nil"/>
              <w:left w:val="nil"/>
              <w:bottom w:val="single" w:sz="4" w:space="0" w:color="auto"/>
              <w:right w:val="single" w:sz="4" w:space="0" w:color="auto"/>
            </w:tcBorders>
            <w:shd w:val="clear" w:color="auto" w:fill="auto"/>
            <w:noWrap/>
            <w:vAlign w:val="bottom"/>
            <w:hideMark/>
          </w:tcPr>
          <w:p w14:paraId="479726B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612</w:t>
            </w:r>
          </w:p>
        </w:tc>
        <w:tc>
          <w:tcPr>
            <w:tcW w:w="723" w:type="dxa"/>
            <w:tcBorders>
              <w:top w:val="nil"/>
              <w:left w:val="nil"/>
              <w:bottom w:val="single" w:sz="4" w:space="0" w:color="auto"/>
              <w:right w:val="single" w:sz="4" w:space="0" w:color="auto"/>
            </w:tcBorders>
            <w:shd w:val="clear" w:color="auto" w:fill="auto"/>
            <w:noWrap/>
            <w:vAlign w:val="bottom"/>
            <w:hideMark/>
          </w:tcPr>
          <w:p w14:paraId="0CB45B1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88%</w:t>
            </w:r>
          </w:p>
        </w:tc>
        <w:tc>
          <w:tcPr>
            <w:tcW w:w="1011" w:type="dxa"/>
            <w:tcBorders>
              <w:top w:val="nil"/>
              <w:left w:val="nil"/>
              <w:bottom w:val="single" w:sz="4" w:space="0" w:color="auto"/>
              <w:right w:val="single" w:sz="4" w:space="0" w:color="auto"/>
            </w:tcBorders>
            <w:shd w:val="clear" w:color="auto" w:fill="auto"/>
            <w:noWrap/>
            <w:vAlign w:val="bottom"/>
            <w:hideMark/>
          </w:tcPr>
          <w:p w14:paraId="7E179F2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581</w:t>
            </w:r>
          </w:p>
        </w:tc>
        <w:tc>
          <w:tcPr>
            <w:tcW w:w="723" w:type="dxa"/>
            <w:tcBorders>
              <w:top w:val="nil"/>
              <w:left w:val="nil"/>
              <w:bottom w:val="single" w:sz="4" w:space="0" w:color="auto"/>
              <w:right w:val="single" w:sz="4" w:space="0" w:color="auto"/>
            </w:tcBorders>
            <w:shd w:val="clear" w:color="auto" w:fill="auto"/>
            <w:noWrap/>
            <w:vAlign w:val="bottom"/>
            <w:hideMark/>
          </w:tcPr>
          <w:p w14:paraId="6B41898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85%</w:t>
            </w:r>
          </w:p>
        </w:tc>
        <w:tc>
          <w:tcPr>
            <w:tcW w:w="1011" w:type="dxa"/>
            <w:tcBorders>
              <w:top w:val="nil"/>
              <w:left w:val="nil"/>
              <w:bottom w:val="single" w:sz="4" w:space="0" w:color="auto"/>
              <w:right w:val="single" w:sz="4" w:space="0" w:color="auto"/>
            </w:tcBorders>
            <w:shd w:val="clear" w:color="auto" w:fill="auto"/>
            <w:noWrap/>
            <w:vAlign w:val="bottom"/>
            <w:hideMark/>
          </w:tcPr>
          <w:p w14:paraId="4C463C0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669</w:t>
            </w:r>
          </w:p>
        </w:tc>
        <w:tc>
          <w:tcPr>
            <w:tcW w:w="723" w:type="dxa"/>
            <w:tcBorders>
              <w:top w:val="nil"/>
              <w:left w:val="nil"/>
              <w:bottom w:val="single" w:sz="4" w:space="0" w:color="auto"/>
              <w:right w:val="single" w:sz="4" w:space="0" w:color="auto"/>
            </w:tcBorders>
            <w:shd w:val="clear" w:color="auto" w:fill="auto"/>
            <w:noWrap/>
            <w:vAlign w:val="bottom"/>
            <w:hideMark/>
          </w:tcPr>
          <w:p w14:paraId="3D7A1B6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89%</w:t>
            </w:r>
          </w:p>
        </w:tc>
        <w:tc>
          <w:tcPr>
            <w:tcW w:w="1011" w:type="dxa"/>
            <w:tcBorders>
              <w:top w:val="nil"/>
              <w:left w:val="nil"/>
              <w:bottom w:val="single" w:sz="4" w:space="0" w:color="auto"/>
              <w:right w:val="single" w:sz="4" w:space="0" w:color="auto"/>
            </w:tcBorders>
            <w:shd w:val="clear" w:color="auto" w:fill="auto"/>
            <w:noWrap/>
            <w:vAlign w:val="bottom"/>
            <w:hideMark/>
          </w:tcPr>
          <w:p w14:paraId="107B35F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560</w:t>
            </w:r>
          </w:p>
        </w:tc>
        <w:tc>
          <w:tcPr>
            <w:tcW w:w="723" w:type="dxa"/>
            <w:tcBorders>
              <w:top w:val="nil"/>
              <w:left w:val="nil"/>
              <w:bottom w:val="single" w:sz="4" w:space="0" w:color="auto"/>
              <w:right w:val="single" w:sz="4" w:space="0" w:color="auto"/>
            </w:tcBorders>
            <w:shd w:val="clear" w:color="auto" w:fill="auto"/>
            <w:noWrap/>
            <w:vAlign w:val="bottom"/>
            <w:hideMark/>
          </w:tcPr>
          <w:p w14:paraId="61D1E08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84%</w:t>
            </w:r>
          </w:p>
        </w:tc>
      </w:tr>
      <w:tr w:rsidR="000431DC" w:rsidRPr="000431DC" w14:paraId="66009422" w14:textId="77777777" w:rsidTr="00F80430">
        <w:trPr>
          <w:trHeight w:val="285"/>
        </w:trPr>
        <w:tc>
          <w:tcPr>
            <w:tcW w:w="2786" w:type="dxa"/>
            <w:tcBorders>
              <w:top w:val="nil"/>
              <w:left w:val="single" w:sz="4" w:space="0" w:color="auto"/>
              <w:bottom w:val="single" w:sz="4" w:space="0" w:color="auto"/>
              <w:right w:val="single" w:sz="4" w:space="0" w:color="auto"/>
            </w:tcBorders>
            <w:shd w:val="clear" w:color="000000" w:fill="D9E1F2"/>
            <w:noWrap/>
            <w:vAlign w:val="bottom"/>
            <w:hideMark/>
          </w:tcPr>
          <w:p w14:paraId="418FDA0A"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Applications refused</w:t>
            </w:r>
          </w:p>
        </w:tc>
        <w:tc>
          <w:tcPr>
            <w:tcW w:w="1011" w:type="dxa"/>
            <w:tcBorders>
              <w:top w:val="nil"/>
              <w:left w:val="nil"/>
              <w:bottom w:val="single" w:sz="4" w:space="0" w:color="auto"/>
              <w:right w:val="single" w:sz="4" w:space="0" w:color="auto"/>
            </w:tcBorders>
            <w:shd w:val="clear" w:color="auto" w:fill="auto"/>
            <w:noWrap/>
            <w:vAlign w:val="bottom"/>
            <w:hideMark/>
          </w:tcPr>
          <w:p w14:paraId="46AC7C9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66</w:t>
            </w:r>
          </w:p>
        </w:tc>
        <w:tc>
          <w:tcPr>
            <w:tcW w:w="723" w:type="dxa"/>
            <w:tcBorders>
              <w:top w:val="nil"/>
              <w:left w:val="nil"/>
              <w:bottom w:val="single" w:sz="4" w:space="0" w:color="auto"/>
              <w:right w:val="single" w:sz="4" w:space="0" w:color="auto"/>
            </w:tcBorders>
            <w:shd w:val="clear" w:color="auto" w:fill="auto"/>
            <w:noWrap/>
            <w:vAlign w:val="bottom"/>
            <w:hideMark/>
          </w:tcPr>
          <w:p w14:paraId="62336C5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11%</w:t>
            </w:r>
          </w:p>
        </w:tc>
        <w:tc>
          <w:tcPr>
            <w:tcW w:w="1011" w:type="dxa"/>
            <w:tcBorders>
              <w:top w:val="nil"/>
              <w:left w:val="nil"/>
              <w:bottom w:val="single" w:sz="4" w:space="0" w:color="auto"/>
              <w:right w:val="single" w:sz="4" w:space="0" w:color="auto"/>
            </w:tcBorders>
            <w:shd w:val="clear" w:color="auto" w:fill="auto"/>
            <w:noWrap/>
            <w:vAlign w:val="bottom"/>
            <w:hideMark/>
          </w:tcPr>
          <w:p w14:paraId="69D113A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86</w:t>
            </w:r>
          </w:p>
        </w:tc>
        <w:tc>
          <w:tcPr>
            <w:tcW w:w="723" w:type="dxa"/>
            <w:tcBorders>
              <w:top w:val="nil"/>
              <w:left w:val="nil"/>
              <w:bottom w:val="single" w:sz="4" w:space="0" w:color="auto"/>
              <w:right w:val="single" w:sz="4" w:space="0" w:color="auto"/>
            </w:tcBorders>
            <w:shd w:val="clear" w:color="auto" w:fill="auto"/>
            <w:noWrap/>
            <w:vAlign w:val="bottom"/>
            <w:hideMark/>
          </w:tcPr>
          <w:p w14:paraId="14EB249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12%</w:t>
            </w:r>
          </w:p>
        </w:tc>
        <w:tc>
          <w:tcPr>
            <w:tcW w:w="1011" w:type="dxa"/>
            <w:tcBorders>
              <w:top w:val="nil"/>
              <w:left w:val="nil"/>
              <w:bottom w:val="single" w:sz="4" w:space="0" w:color="auto"/>
              <w:right w:val="single" w:sz="4" w:space="0" w:color="auto"/>
            </w:tcBorders>
            <w:shd w:val="clear" w:color="auto" w:fill="auto"/>
            <w:noWrap/>
            <w:vAlign w:val="bottom"/>
            <w:hideMark/>
          </w:tcPr>
          <w:p w14:paraId="1BE8710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723" w:type="dxa"/>
            <w:tcBorders>
              <w:top w:val="nil"/>
              <w:left w:val="nil"/>
              <w:bottom w:val="single" w:sz="4" w:space="0" w:color="auto"/>
              <w:right w:val="single" w:sz="4" w:space="0" w:color="auto"/>
            </w:tcBorders>
            <w:shd w:val="clear" w:color="auto" w:fill="auto"/>
            <w:noWrap/>
            <w:vAlign w:val="bottom"/>
            <w:hideMark/>
          </w:tcPr>
          <w:p w14:paraId="3F45EDA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15%</w:t>
            </w:r>
          </w:p>
        </w:tc>
        <w:tc>
          <w:tcPr>
            <w:tcW w:w="1011" w:type="dxa"/>
            <w:tcBorders>
              <w:top w:val="nil"/>
              <w:left w:val="nil"/>
              <w:bottom w:val="single" w:sz="4" w:space="0" w:color="auto"/>
              <w:right w:val="single" w:sz="4" w:space="0" w:color="auto"/>
            </w:tcBorders>
            <w:shd w:val="clear" w:color="auto" w:fill="auto"/>
            <w:noWrap/>
            <w:vAlign w:val="bottom"/>
            <w:hideMark/>
          </w:tcPr>
          <w:p w14:paraId="78BA985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79</w:t>
            </w:r>
          </w:p>
        </w:tc>
        <w:tc>
          <w:tcPr>
            <w:tcW w:w="723" w:type="dxa"/>
            <w:tcBorders>
              <w:top w:val="nil"/>
              <w:left w:val="nil"/>
              <w:bottom w:val="single" w:sz="4" w:space="0" w:color="auto"/>
              <w:right w:val="single" w:sz="4" w:space="0" w:color="auto"/>
            </w:tcBorders>
            <w:shd w:val="clear" w:color="auto" w:fill="auto"/>
            <w:noWrap/>
            <w:vAlign w:val="bottom"/>
            <w:hideMark/>
          </w:tcPr>
          <w:p w14:paraId="297289A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11%</w:t>
            </w:r>
          </w:p>
        </w:tc>
        <w:tc>
          <w:tcPr>
            <w:tcW w:w="1011" w:type="dxa"/>
            <w:tcBorders>
              <w:top w:val="nil"/>
              <w:left w:val="nil"/>
              <w:bottom w:val="single" w:sz="4" w:space="0" w:color="auto"/>
              <w:right w:val="single" w:sz="4" w:space="0" w:color="auto"/>
            </w:tcBorders>
            <w:shd w:val="clear" w:color="auto" w:fill="auto"/>
            <w:noWrap/>
            <w:vAlign w:val="bottom"/>
            <w:hideMark/>
          </w:tcPr>
          <w:p w14:paraId="2A16F1D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105</w:t>
            </w:r>
          </w:p>
        </w:tc>
        <w:tc>
          <w:tcPr>
            <w:tcW w:w="723" w:type="dxa"/>
            <w:tcBorders>
              <w:top w:val="nil"/>
              <w:left w:val="nil"/>
              <w:bottom w:val="single" w:sz="4" w:space="0" w:color="auto"/>
              <w:right w:val="single" w:sz="4" w:space="0" w:color="auto"/>
            </w:tcBorders>
            <w:shd w:val="clear" w:color="auto" w:fill="auto"/>
            <w:noWrap/>
            <w:vAlign w:val="bottom"/>
            <w:hideMark/>
          </w:tcPr>
          <w:p w14:paraId="4D48340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16%</w:t>
            </w:r>
          </w:p>
        </w:tc>
      </w:tr>
      <w:tr w:rsidR="000431DC" w:rsidRPr="000431DC" w14:paraId="76A8E7CD" w14:textId="77777777" w:rsidTr="00F80430">
        <w:trPr>
          <w:trHeight w:val="285"/>
        </w:trPr>
        <w:tc>
          <w:tcPr>
            <w:tcW w:w="2786" w:type="dxa"/>
            <w:tcBorders>
              <w:top w:val="nil"/>
              <w:left w:val="single" w:sz="4" w:space="0" w:color="auto"/>
              <w:bottom w:val="single" w:sz="4" w:space="0" w:color="auto"/>
              <w:right w:val="single" w:sz="4" w:space="0" w:color="auto"/>
            </w:tcBorders>
            <w:shd w:val="clear" w:color="000000" w:fill="D9E1F2"/>
            <w:noWrap/>
            <w:vAlign w:val="bottom"/>
            <w:hideMark/>
          </w:tcPr>
          <w:p w14:paraId="3F3FC0E8"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0BD854F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610</w:t>
            </w:r>
          </w:p>
        </w:tc>
        <w:tc>
          <w:tcPr>
            <w:tcW w:w="723" w:type="dxa"/>
            <w:tcBorders>
              <w:top w:val="nil"/>
              <w:left w:val="nil"/>
              <w:bottom w:val="single" w:sz="4" w:space="0" w:color="auto"/>
              <w:right w:val="single" w:sz="4" w:space="0" w:color="auto"/>
            </w:tcBorders>
            <w:shd w:val="clear" w:color="auto" w:fill="auto"/>
            <w:noWrap/>
            <w:vAlign w:val="bottom"/>
            <w:hideMark/>
          </w:tcPr>
          <w:p w14:paraId="0540ECB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26C5DF8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698</w:t>
            </w:r>
          </w:p>
        </w:tc>
        <w:tc>
          <w:tcPr>
            <w:tcW w:w="723" w:type="dxa"/>
            <w:tcBorders>
              <w:top w:val="nil"/>
              <w:left w:val="nil"/>
              <w:bottom w:val="single" w:sz="4" w:space="0" w:color="auto"/>
              <w:right w:val="single" w:sz="4" w:space="0" w:color="auto"/>
            </w:tcBorders>
            <w:shd w:val="clear" w:color="auto" w:fill="auto"/>
            <w:noWrap/>
            <w:vAlign w:val="bottom"/>
            <w:hideMark/>
          </w:tcPr>
          <w:p w14:paraId="101E117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C90FBF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681</w:t>
            </w:r>
          </w:p>
        </w:tc>
        <w:tc>
          <w:tcPr>
            <w:tcW w:w="723" w:type="dxa"/>
            <w:tcBorders>
              <w:top w:val="nil"/>
              <w:left w:val="nil"/>
              <w:bottom w:val="single" w:sz="4" w:space="0" w:color="auto"/>
              <w:right w:val="single" w:sz="4" w:space="0" w:color="auto"/>
            </w:tcBorders>
            <w:shd w:val="clear" w:color="auto" w:fill="auto"/>
            <w:noWrap/>
            <w:vAlign w:val="bottom"/>
            <w:hideMark/>
          </w:tcPr>
          <w:p w14:paraId="111FF91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12A4D66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748</w:t>
            </w:r>
          </w:p>
        </w:tc>
        <w:tc>
          <w:tcPr>
            <w:tcW w:w="723" w:type="dxa"/>
            <w:tcBorders>
              <w:top w:val="nil"/>
              <w:left w:val="nil"/>
              <w:bottom w:val="single" w:sz="4" w:space="0" w:color="auto"/>
              <w:right w:val="single" w:sz="4" w:space="0" w:color="auto"/>
            </w:tcBorders>
            <w:shd w:val="clear" w:color="auto" w:fill="auto"/>
            <w:noWrap/>
            <w:vAlign w:val="bottom"/>
            <w:hideMark/>
          </w:tcPr>
          <w:p w14:paraId="58C30E5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4E099A9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665</w:t>
            </w:r>
          </w:p>
        </w:tc>
        <w:tc>
          <w:tcPr>
            <w:tcW w:w="723" w:type="dxa"/>
            <w:tcBorders>
              <w:top w:val="nil"/>
              <w:left w:val="nil"/>
              <w:bottom w:val="single" w:sz="4" w:space="0" w:color="auto"/>
              <w:right w:val="single" w:sz="4" w:space="0" w:color="auto"/>
            </w:tcBorders>
            <w:shd w:val="clear" w:color="auto" w:fill="auto"/>
            <w:noWrap/>
            <w:vAlign w:val="bottom"/>
            <w:hideMark/>
          </w:tcPr>
          <w:p w14:paraId="617C3FD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r w:rsidR="000431DC" w:rsidRPr="000431DC" w14:paraId="29ACC1C5" w14:textId="77777777" w:rsidTr="00F80430">
        <w:trPr>
          <w:trHeight w:val="315"/>
        </w:trPr>
        <w:tc>
          <w:tcPr>
            <w:tcW w:w="11469" w:type="dxa"/>
            <w:gridSpan w:val="11"/>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48D18A20" w14:textId="77777777" w:rsidR="000431DC" w:rsidRPr="000431DC" w:rsidRDefault="000431DC" w:rsidP="000431DC">
            <w:pPr>
              <w:rPr>
                <w:rFonts w:ascii="VIC" w:hAnsi="VIC"/>
                <w:i/>
                <w:iCs/>
                <w:color w:val="000000"/>
                <w:lang w:eastAsia="en-AU"/>
              </w:rPr>
            </w:pPr>
            <w:r w:rsidRPr="000431DC">
              <w:rPr>
                <w:rFonts w:ascii="VIC" w:hAnsi="VIC"/>
                <w:i/>
                <w:iCs/>
                <w:color w:val="000000"/>
                <w:lang w:eastAsia="en-AU"/>
              </w:rPr>
              <w:t>Young people (compulsory and voluntary)</w:t>
            </w:r>
          </w:p>
        </w:tc>
      </w:tr>
      <w:tr w:rsidR="000431DC" w:rsidRPr="000431DC" w14:paraId="242EBE4F" w14:textId="77777777" w:rsidTr="00F80430">
        <w:trPr>
          <w:trHeight w:val="285"/>
        </w:trPr>
        <w:tc>
          <w:tcPr>
            <w:tcW w:w="2786" w:type="dxa"/>
            <w:tcBorders>
              <w:top w:val="nil"/>
              <w:left w:val="single" w:sz="4" w:space="0" w:color="auto"/>
              <w:bottom w:val="single" w:sz="4" w:space="0" w:color="auto"/>
              <w:right w:val="single" w:sz="4" w:space="0" w:color="auto"/>
            </w:tcBorders>
            <w:shd w:val="clear" w:color="000000" w:fill="D9E1F2"/>
            <w:noWrap/>
            <w:vAlign w:val="bottom"/>
            <w:hideMark/>
          </w:tcPr>
          <w:p w14:paraId="63927BBB"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ECT Orders made</w:t>
            </w:r>
          </w:p>
        </w:tc>
        <w:tc>
          <w:tcPr>
            <w:tcW w:w="1011" w:type="dxa"/>
            <w:tcBorders>
              <w:top w:val="nil"/>
              <w:left w:val="nil"/>
              <w:bottom w:val="single" w:sz="4" w:space="0" w:color="auto"/>
              <w:right w:val="single" w:sz="4" w:space="0" w:color="auto"/>
            </w:tcBorders>
            <w:shd w:val="clear" w:color="auto" w:fill="auto"/>
            <w:noWrap/>
            <w:vAlign w:val="bottom"/>
            <w:hideMark/>
          </w:tcPr>
          <w:p w14:paraId="05A1949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w:t>
            </w:r>
          </w:p>
        </w:tc>
        <w:tc>
          <w:tcPr>
            <w:tcW w:w="723" w:type="dxa"/>
            <w:tcBorders>
              <w:top w:val="nil"/>
              <w:left w:val="nil"/>
              <w:bottom w:val="single" w:sz="4" w:space="0" w:color="auto"/>
              <w:right w:val="single" w:sz="4" w:space="0" w:color="auto"/>
            </w:tcBorders>
            <w:shd w:val="clear" w:color="auto" w:fill="auto"/>
            <w:noWrap/>
            <w:vAlign w:val="bottom"/>
            <w:hideMark/>
          </w:tcPr>
          <w:p w14:paraId="22CF498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75%</w:t>
            </w:r>
          </w:p>
        </w:tc>
        <w:tc>
          <w:tcPr>
            <w:tcW w:w="1011" w:type="dxa"/>
            <w:tcBorders>
              <w:top w:val="nil"/>
              <w:left w:val="nil"/>
              <w:bottom w:val="single" w:sz="4" w:space="0" w:color="auto"/>
              <w:right w:val="single" w:sz="4" w:space="0" w:color="auto"/>
            </w:tcBorders>
            <w:shd w:val="clear" w:color="auto" w:fill="auto"/>
            <w:noWrap/>
            <w:vAlign w:val="bottom"/>
            <w:hideMark/>
          </w:tcPr>
          <w:p w14:paraId="054417C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12</w:t>
            </w:r>
          </w:p>
        </w:tc>
        <w:tc>
          <w:tcPr>
            <w:tcW w:w="723" w:type="dxa"/>
            <w:tcBorders>
              <w:top w:val="nil"/>
              <w:left w:val="nil"/>
              <w:bottom w:val="single" w:sz="4" w:space="0" w:color="auto"/>
              <w:right w:val="single" w:sz="4" w:space="0" w:color="auto"/>
            </w:tcBorders>
            <w:shd w:val="clear" w:color="auto" w:fill="auto"/>
            <w:noWrap/>
            <w:vAlign w:val="bottom"/>
            <w:hideMark/>
          </w:tcPr>
          <w:p w14:paraId="2052254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0A6D272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w:t>
            </w:r>
          </w:p>
        </w:tc>
        <w:tc>
          <w:tcPr>
            <w:tcW w:w="723" w:type="dxa"/>
            <w:tcBorders>
              <w:top w:val="nil"/>
              <w:left w:val="nil"/>
              <w:bottom w:val="single" w:sz="4" w:space="0" w:color="auto"/>
              <w:right w:val="single" w:sz="4" w:space="0" w:color="auto"/>
            </w:tcBorders>
            <w:shd w:val="clear" w:color="auto" w:fill="auto"/>
            <w:noWrap/>
            <w:vAlign w:val="bottom"/>
            <w:hideMark/>
          </w:tcPr>
          <w:p w14:paraId="1882ED0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90%</w:t>
            </w:r>
          </w:p>
        </w:tc>
        <w:tc>
          <w:tcPr>
            <w:tcW w:w="1011" w:type="dxa"/>
            <w:tcBorders>
              <w:top w:val="nil"/>
              <w:left w:val="nil"/>
              <w:bottom w:val="single" w:sz="4" w:space="0" w:color="auto"/>
              <w:right w:val="single" w:sz="4" w:space="0" w:color="auto"/>
            </w:tcBorders>
            <w:shd w:val="clear" w:color="auto" w:fill="auto"/>
            <w:noWrap/>
            <w:vAlign w:val="bottom"/>
            <w:hideMark/>
          </w:tcPr>
          <w:p w14:paraId="71CB65A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w:t>
            </w:r>
          </w:p>
        </w:tc>
        <w:tc>
          <w:tcPr>
            <w:tcW w:w="723" w:type="dxa"/>
            <w:tcBorders>
              <w:top w:val="nil"/>
              <w:left w:val="nil"/>
              <w:bottom w:val="single" w:sz="4" w:space="0" w:color="auto"/>
              <w:right w:val="single" w:sz="4" w:space="0" w:color="auto"/>
            </w:tcBorders>
            <w:shd w:val="clear" w:color="auto" w:fill="auto"/>
            <w:noWrap/>
            <w:vAlign w:val="bottom"/>
            <w:hideMark/>
          </w:tcPr>
          <w:p w14:paraId="2306ADA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5240A35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w:t>
            </w:r>
          </w:p>
        </w:tc>
        <w:tc>
          <w:tcPr>
            <w:tcW w:w="723" w:type="dxa"/>
            <w:tcBorders>
              <w:top w:val="nil"/>
              <w:left w:val="nil"/>
              <w:bottom w:val="single" w:sz="4" w:space="0" w:color="auto"/>
              <w:right w:val="single" w:sz="4" w:space="0" w:color="auto"/>
            </w:tcBorders>
            <w:shd w:val="clear" w:color="auto" w:fill="auto"/>
            <w:noWrap/>
            <w:vAlign w:val="bottom"/>
            <w:hideMark/>
          </w:tcPr>
          <w:p w14:paraId="14C6A82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91%</w:t>
            </w:r>
          </w:p>
        </w:tc>
      </w:tr>
      <w:tr w:rsidR="000431DC" w:rsidRPr="000431DC" w14:paraId="15650DF8" w14:textId="77777777" w:rsidTr="00F80430">
        <w:trPr>
          <w:trHeight w:val="285"/>
        </w:trPr>
        <w:tc>
          <w:tcPr>
            <w:tcW w:w="2786" w:type="dxa"/>
            <w:tcBorders>
              <w:top w:val="nil"/>
              <w:left w:val="single" w:sz="4" w:space="0" w:color="auto"/>
              <w:bottom w:val="single" w:sz="4" w:space="0" w:color="auto"/>
              <w:right w:val="single" w:sz="4" w:space="0" w:color="auto"/>
            </w:tcBorders>
            <w:shd w:val="clear" w:color="000000" w:fill="D9E1F2"/>
            <w:noWrap/>
            <w:vAlign w:val="bottom"/>
            <w:hideMark/>
          </w:tcPr>
          <w:p w14:paraId="3047AF1F"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Applications refused</w:t>
            </w:r>
          </w:p>
        </w:tc>
        <w:tc>
          <w:tcPr>
            <w:tcW w:w="1011" w:type="dxa"/>
            <w:tcBorders>
              <w:top w:val="nil"/>
              <w:left w:val="nil"/>
              <w:bottom w:val="single" w:sz="4" w:space="0" w:color="auto"/>
              <w:right w:val="single" w:sz="4" w:space="0" w:color="auto"/>
            </w:tcBorders>
            <w:shd w:val="clear" w:color="auto" w:fill="auto"/>
            <w:noWrap/>
            <w:vAlign w:val="bottom"/>
            <w:hideMark/>
          </w:tcPr>
          <w:p w14:paraId="49160A9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w:t>
            </w:r>
          </w:p>
        </w:tc>
        <w:tc>
          <w:tcPr>
            <w:tcW w:w="723" w:type="dxa"/>
            <w:tcBorders>
              <w:top w:val="nil"/>
              <w:left w:val="nil"/>
              <w:bottom w:val="single" w:sz="4" w:space="0" w:color="auto"/>
              <w:right w:val="single" w:sz="4" w:space="0" w:color="auto"/>
            </w:tcBorders>
            <w:shd w:val="clear" w:color="auto" w:fill="auto"/>
            <w:noWrap/>
            <w:vAlign w:val="bottom"/>
            <w:hideMark/>
          </w:tcPr>
          <w:p w14:paraId="6DA1CE0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25%</w:t>
            </w:r>
          </w:p>
        </w:tc>
        <w:tc>
          <w:tcPr>
            <w:tcW w:w="1011" w:type="dxa"/>
            <w:tcBorders>
              <w:top w:val="nil"/>
              <w:left w:val="nil"/>
              <w:bottom w:val="single" w:sz="4" w:space="0" w:color="auto"/>
              <w:right w:val="single" w:sz="4" w:space="0" w:color="auto"/>
            </w:tcBorders>
            <w:shd w:val="clear" w:color="auto" w:fill="auto"/>
            <w:noWrap/>
            <w:vAlign w:val="bottom"/>
            <w:hideMark/>
          </w:tcPr>
          <w:p w14:paraId="736A983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723" w:type="dxa"/>
            <w:tcBorders>
              <w:top w:val="nil"/>
              <w:left w:val="nil"/>
              <w:bottom w:val="single" w:sz="4" w:space="0" w:color="auto"/>
              <w:right w:val="single" w:sz="4" w:space="0" w:color="auto"/>
            </w:tcBorders>
            <w:shd w:val="clear" w:color="auto" w:fill="auto"/>
            <w:noWrap/>
            <w:vAlign w:val="bottom"/>
            <w:hideMark/>
          </w:tcPr>
          <w:p w14:paraId="5B5E91E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1011" w:type="dxa"/>
            <w:tcBorders>
              <w:top w:val="nil"/>
              <w:left w:val="nil"/>
              <w:bottom w:val="single" w:sz="4" w:space="0" w:color="auto"/>
              <w:right w:val="single" w:sz="4" w:space="0" w:color="auto"/>
            </w:tcBorders>
            <w:shd w:val="clear" w:color="auto" w:fill="auto"/>
            <w:noWrap/>
            <w:vAlign w:val="bottom"/>
            <w:hideMark/>
          </w:tcPr>
          <w:p w14:paraId="56104AF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w:t>
            </w:r>
          </w:p>
        </w:tc>
        <w:tc>
          <w:tcPr>
            <w:tcW w:w="723" w:type="dxa"/>
            <w:tcBorders>
              <w:top w:val="nil"/>
              <w:left w:val="nil"/>
              <w:bottom w:val="single" w:sz="4" w:space="0" w:color="auto"/>
              <w:right w:val="single" w:sz="4" w:space="0" w:color="auto"/>
            </w:tcBorders>
            <w:shd w:val="clear" w:color="auto" w:fill="auto"/>
            <w:noWrap/>
            <w:vAlign w:val="bottom"/>
            <w:hideMark/>
          </w:tcPr>
          <w:p w14:paraId="4A18F63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w:t>
            </w:r>
          </w:p>
        </w:tc>
        <w:tc>
          <w:tcPr>
            <w:tcW w:w="1011" w:type="dxa"/>
            <w:tcBorders>
              <w:top w:val="nil"/>
              <w:left w:val="nil"/>
              <w:bottom w:val="single" w:sz="4" w:space="0" w:color="auto"/>
              <w:right w:val="single" w:sz="4" w:space="0" w:color="auto"/>
            </w:tcBorders>
            <w:shd w:val="clear" w:color="auto" w:fill="auto"/>
            <w:noWrap/>
            <w:vAlign w:val="bottom"/>
            <w:hideMark/>
          </w:tcPr>
          <w:p w14:paraId="3AA9976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723" w:type="dxa"/>
            <w:tcBorders>
              <w:top w:val="nil"/>
              <w:left w:val="nil"/>
              <w:bottom w:val="single" w:sz="4" w:space="0" w:color="auto"/>
              <w:right w:val="single" w:sz="4" w:space="0" w:color="auto"/>
            </w:tcBorders>
            <w:shd w:val="clear" w:color="auto" w:fill="auto"/>
            <w:noWrap/>
            <w:vAlign w:val="bottom"/>
            <w:hideMark/>
          </w:tcPr>
          <w:p w14:paraId="17234AC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1011" w:type="dxa"/>
            <w:tcBorders>
              <w:top w:val="nil"/>
              <w:left w:val="nil"/>
              <w:bottom w:val="single" w:sz="4" w:space="0" w:color="auto"/>
              <w:right w:val="single" w:sz="4" w:space="0" w:color="auto"/>
            </w:tcBorders>
            <w:shd w:val="clear" w:color="auto" w:fill="auto"/>
            <w:noWrap/>
            <w:vAlign w:val="bottom"/>
            <w:hideMark/>
          </w:tcPr>
          <w:p w14:paraId="3FF96D4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w:t>
            </w:r>
          </w:p>
        </w:tc>
        <w:tc>
          <w:tcPr>
            <w:tcW w:w="723" w:type="dxa"/>
            <w:tcBorders>
              <w:top w:val="nil"/>
              <w:left w:val="nil"/>
              <w:bottom w:val="single" w:sz="4" w:space="0" w:color="auto"/>
              <w:right w:val="single" w:sz="4" w:space="0" w:color="auto"/>
            </w:tcBorders>
            <w:shd w:val="clear" w:color="auto" w:fill="auto"/>
            <w:noWrap/>
            <w:vAlign w:val="bottom"/>
            <w:hideMark/>
          </w:tcPr>
          <w:p w14:paraId="5EE1BEE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w:t>
            </w:r>
          </w:p>
        </w:tc>
      </w:tr>
      <w:tr w:rsidR="000431DC" w:rsidRPr="000431DC" w14:paraId="273A6A82" w14:textId="77777777" w:rsidTr="00F80430">
        <w:trPr>
          <w:trHeight w:val="285"/>
        </w:trPr>
        <w:tc>
          <w:tcPr>
            <w:tcW w:w="2786" w:type="dxa"/>
            <w:tcBorders>
              <w:top w:val="nil"/>
              <w:left w:val="single" w:sz="4" w:space="0" w:color="auto"/>
              <w:bottom w:val="single" w:sz="4" w:space="0" w:color="auto"/>
              <w:right w:val="single" w:sz="4" w:space="0" w:color="auto"/>
            </w:tcBorders>
            <w:shd w:val="clear" w:color="000000" w:fill="D9E1F2"/>
            <w:noWrap/>
            <w:vAlign w:val="bottom"/>
            <w:hideMark/>
          </w:tcPr>
          <w:p w14:paraId="60D58E1A"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7BB95F5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8</w:t>
            </w:r>
          </w:p>
        </w:tc>
        <w:tc>
          <w:tcPr>
            <w:tcW w:w="723" w:type="dxa"/>
            <w:tcBorders>
              <w:top w:val="nil"/>
              <w:left w:val="nil"/>
              <w:bottom w:val="single" w:sz="4" w:space="0" w:color="auto"/>
              <w:right w:val="single" w:sz="4" w:space="0" w:color="auto"/>
            </w:tcBorders>
            <w:shd w:val="clear" w:color="auto" w:fill="auto"/>
            <w:noWrap/>
            <w:vAlign w:val="bottom"/>
            <w:hideMark/>
          </w:tcPr>
          <w:p w14:paraId="118AD1D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15A1D58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12</w:t>
            </w:r>
          </w:p>
        </w:tc>
        <w:tc>
          <w:tcPr>
            <w:tcW w:w="723" w:type="dxa"/>
            <w:tcBorders>
              <w:top w:val="nil"/>
              <w:left w:val="nil"/>
              <w:bottom w:val="single" w:sz="4" w:space="0" w:color="auto"/>
              <w:right w:val="single" w:sz="4" w:space="0" w:color="auto"/>
            </w:tcBorders>
            <w:shd w:val="clear" w:color="auto" w:fill="auto"/>
            <w:noWrap/>
            <w:vAlign w:val="bottom"/>
            <w:hideMark/>
          </w:tcPr>
          <w:p w14:paraId="7C89E93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51C409B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w:t>
            </w:r>
          </w:p>
        </w:tc>
        <w:tc>
          <w:tcPr>
            <w:tcW w:w="723" w:type="dxa"/>
            <w:tcBorders>
              <w:top w:val="nil"/>
              <w:left w:val="nil"/>
              <w:bottom w:val="single" w:sz="4" w:space="0" w:color="auto"/>
              <w:right w:val="single" w:sz="4" w:space="0" w:color="auto"/>
            </w:tcBorders>
            <w:shd w:val="clear" w:color="auto" w:fill="auto"/>
            <w:noWrap/>
            <w:vAlign w:val="bottom"/>
            <w:hideMark/>
          </w:tcPr>
          <w:p w14:paraId="68B68B1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3E0420F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w:t>
            </w:r>
          </w:p>
        </w:tc>
        <w:tc>
          <w:tcPr>
            <w:tcW w:w="723" w:type="dxa"/>
            <w:tcBorders>
              <w:top w:val="nil"/>
              <w:left w:val="nil"/>
              <w:bottom w:val="single" w:sz="4" w:space="0" w:color="auto"/>
              <w:right w:val="single" w:sz="4" w:space="0" w:color="auto"/>
            </w:tcBorders>
            <w:shd w:val="clear" w:color="auto" w:fill="auto"/>
            <w:noWrap/>
            <w:vAlign w:val="bottom"/>
            <w:hideMark/>
          </w:tcPr>
          <w:p w14:paraId="3F70A0F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5EDC987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11</w:t>
            </w:r>
          </w:p>
        </w:tc>
        <w:tc>
          <w:tcPr>
            <w:tcW w:w="723" w:type="dxa"/>
            <w:tcBorders>
              <w:top w:val="nil"/>
              <w:left w:val="nil"/>
              <w:bottom w:val="single" w:sz="4" w:space="0" w:color="auto"/>
              <w:right w:val="single" w:sz="4" w:space="0" w:color="auto"/>
            </w:tcBorders>
            <w:shd w:val="clear" w:color="auto" w:fill="auto"/>
            <w:noWrap/>
            <w:vAlign w:val="bottom"/>
            <w:hideMark/>
          </w:tcPr>
          <w:p w14:paraId="4FD1306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r w:rsidR="000431DC" w:rsidRPr="000431DC" w14:paraId="44DF009B" w14:textId="77777777" w:rsidTr="00F80430">
        <w:trPr>
          <w:trHeight w:val="315"/>
        </w:trPr>
        <w:tc>
          <w:tcPr>
            <w:tcW w:w="11469" w:type="dxa"/>
            <w:gridSpan w:val="11"/>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0714D293" w14:textId="77777777" w:rsidR="000431DC" w:rsidRPr="000431DC" w:rsidRDefault="000431DC" w:rsidP="000431DC">
            <w:pPr>
              <w:rPr>
                <w:rFonts w:ascii="VIC" w:hAnsi="VIC"/>
                <w:i/>
                <w:iCs/>
                <w:color w:val="000000"/>
                <w:lang w:eastAsia="en-AU"/>
              </w:rPr>
            </w:pPr>
            <w:r w:rsidRPr="000431DC">
              <w:rPr>
                <w:rFonts w:ascii="VIC" w:hAnsi="VIC"/>
                <w:i/>
                <w:iCs/>
                <w:color w:val="000000"/>
                <w:lang w:eastAsia="en-AU"/>
              </w:rPr>
              <w:t>Voluntary adults</w:t>
            </w:r>
          </w:p>
        </w:tc>
      </w:tr>
      <w:tr w:rsidR="000431DC" w:rsidRPr="000431DC" w14:paraId="79339D2A" w14:textId="77777777" w:rsidTr="00F80430">
        <w:trPr>
          <w:trHeight w:val="285"/>
        </w:trPr>
        <w:tc>
          <w:tcPr>
            <w:tcW w:w="2786" w:type="dxa"/>
            <w:tcBorders>
              <w:top w:val="nil"/>
              <w:left w:val="single" w:sz="4" w:space="0" w:color="auto"/>
              <w:bottom w:val="single" w:sz="4" w:space="0" w:color="auto"/>
              <w:right w:val="single" w:sz="4" w:space="0" w:color="auto"/>
            </w:tcBorders>
            <w:shd w:val="clear" w:color="000000" w:fill="D9E1F2"/>
            <w:noWrap/>
            <w:vAlign w:val="bottom"/>
            <w:hideMark/>
          </w:tcPr>
          <w:p w14:paraId="3A2724C8"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ECT Orders made</w:t>
            </w:r>
          </w:p>
        </w:tc>
        <w:tc>
          <w:tcPr>
            <w:tcW w:w="1011" w:type="dxa"/>
            <w:tcBorders>
              <w:top w:val="nil"/>
              <w:left w:val="nil"/>
              <w:bottom w:val="single" w:sz="4" w:space="0" w:color="auto"/>
              <w:right w:val="single" w:sz="4" w:space="0" w:color="auto"/>
            </w:tcBorders>
            <w:shd w:val="clear" w:color="auto" w:fill="auto"/>
            <w:noWrap/>
            <w:vAlign w:val="bottom"/>
            <w:hideMark/>
          </w:tcPr>
          <w:p w14:paraId="0ABAEAC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723" w:type="dxa"/>
            <w:tcBorders>
              <w:top w:val="nil"/>
              <w:left w:val="nil"/>
              <w:bottom w:val="single" w:sz="4" w:space="0" w:color="auto"/>
              <w:right w:val="single" w:sz="4" w:space="0" w:color="auto"/>
            </w:tcBorders>
            <w:shd w:val="clear" w:color="auto" w:fill="auto"/>
            <w:noWrap/>
            <w:vAlign w:val="bottom"/>
            <w:hideMark/>
          </w:tcPr>
          <w:p w14:paraId="3FCD407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auto"/>
            <w:noWrap/>
            <w:vAlign w:val="bottom"/>
            <w:hideMark/>
          </w:tcPr>
          <w:p w14:paraId="402DDD5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723" w:type="dxa"/>
            <w:tcBorders>
              <w:top w:val="nil"/>
              <w:left w:val="nil"/>
              <w:bottom w:val="single" w:sz="4" w:space="0" w:color="auto"/>
              <w:right w:val="single" w:sz="4" w:space="0" w:color="auto"/>
            </w:tcBorders>
            <w:shd w:val="clear" w:color="auto" w:fill="auto"/>
            <w:noWrap/>
            <w:vAlign w:val="bottom"/>
            <w:hideMark/>
          </w:tcPr>
          <w:p w14:paraId="3A91CFA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auto"/>
            <w:noWrap/>
            <w:vAlign w:val="bottom"/>
            <w:hideMark/>
          </w:tcPr>
          <w:p w14:paraId="06D7896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723" w:type="dxa"/>
            <w:tcBorders>
              <w:top w:val="nil"/>
              <w:left w:val="nil"/>
              <w:bottom w:val="single" w:sz="4" w:space="0" w:color="auto"/>
              <w:right w:val="single" w:sz="4" w:space="0" w:color="auto"/>
            </w:tcBorders>
            <w:shd w:val="clear" w:color="auto" w:fill="auto"/>
            <w:noWrap/>
            <w:vAlign w:val="bottom"/>
            <w:hideMark/>
          </w:tcPr>
          <w:p w14:paraId="15BF824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auto"/>
            <w:noWrap/>
            <w:vAlign w:val="bottom"/>
            <w:hideMark/>
          </w:tcPr>
          <w:p w14:paraId="6EF4837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w:t>
            </w:r>
          </w:p>
        </w:tc>
        <w:tc>
          <w:tcPr>
            <w:tcW w:w="723" w:type="dxa"/>
            <w:tcBorders>
              <w:top w:val="nil"/>
              <w:left w:val="nil"/>
              <w:bottom w:val="single" w:sz="4" w:space="0" w:color="auto"/>
              <w:right w:val="single" w:sz="4" w:space="0" w:color="auto"/>
            </w:tcBorders>
            <w:shd w:val="clear" w:color="auto" w:fill="auto"/>
            <w:noWrap/>
            <w:vAlign w:val="bottom"/>
            <w:hideMark/>
          </w:tcPr>
          <w:p w14:paraId="3563C77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90%</w:t>
            </w:r>
          </w:p>
        </w:tc>
        <w:tc>
          <w:tcPr>
            <w:tcW w:w="1011" w:type="dxa"/>
            <w:tcBorders>
              <w:top w:val="nil"/>
              <w:left w:val="nil"/>
              <w:bottom w:val="single" w:sz="4" w:space="0" w:color="auto"/>
              <w:right w:val="single" w:sz="4" w:space="0" w:color="auto"/>
            </w:tcBorders>
            <w:shd w:val="clear" w:color="auto" w:fill="auto"/>
            <w:noWrap/>
            <w:vAlign w:val="bottom"/>
            <w:hideMark/>
          </w:tcPr>
          <w:p w14:paraId="4FE70CD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41</w:t>
            </w:r>
          </w:p>
        </w:tc>
        <w:tc>
          <w:tcPr>
            <w:tcW w:w="723" w:type="dxa"/>
            <w:tcBorders>
              <w:top w:val="nil"/>
              <w:left w:val="nil"/>
              <w:bottom w:val="single" w:sz="4" w:space="0" w:color="auto"/>
              <w:right w:val="single" w:sz="4" w:space="0" w:color="auto"/>
            </w:tcBorders>
            <w:shd w:val="clear" w:color="auto" w:fill="auto"/>
            <w:noWrap/>
            <w:vAlign w:val="bottom"/>
            <w:hideMark/>
          </w:tcPr>
          <w:p w14:paraId="6DE4AFA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r w:rsidR="000431DC" w:rsidRPr="000431DC" w14:paraId="28992FE1" w14:textId="77777777" w:rsidTr="00F80430">
        <w:trPr>
          <w:trHeight w:val="285"/>
        </w:trPr>
        <w:tc>
          <w:tcPr>
            <w:tcW w:w="2786" w:type="dxa"/>
            <w:tcBorders>
              <w:top w:val="nil"/>
              <w:left w:val="single" w:sz="4" w:space="0" w:color="auto"/>
              <w:bottom w:val="single" w:sz="4" w:space="0" w:color="auto"/>
              <w:right w:val="single" w:sz="4" w:space="0" w:color="auto"/>
            </w:tcBorders>
            <w:shd w:val="clear" w:color="000000" w:fill="D9E1F2"/>
            <w:noWrap/>
            <w:vAlign w:val="bottom"/>
            <w:hideMark/>
          </w:tcPr>
          <w:p w14:paraId="4C214C11"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Applications refused</w:t>
            </w:r>
          </w:p>
        </w:tc>
        <w:tc>
          <w:tcPr>
            <w:tcW w:w="1011" w:type="dxa"/>
            <w:tcBorders>
              <w:top w:val="nil"/>
              <w:left w:val="nil"/>
              <w:bottom w:val="single" w:sz="4" w:space="0" w:color="auto"/>
              <w:right w:val="single" w:sz="4" w:space="0" w:color="auto"/>
            </w:tcBorders>
            <w:shd w:val="clear" w:color="auto" w:fill="auto"/>
            <w:noWrap/>
            <w:vAlign w:val="bottom"/>
            <w:hideMark/>
          </w:tcPr>
          <w:p w14:paraId="3470131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723" w:type="dxa"/>
            <w:tcBorders>
              <w:top w:val="nil"/>
              <w:left w:val="nil"/>
              <w:bottom w:val="single" w:sz="4" w:space="0" w:color="auto"/>
              <w:right w:val="single" w:sz="4" w:space="0" w:color="auto"/>
            </w:tcBorders>
            <w:shd w:val="clear" w:color="auto" w:fill="auto"/>
            <w:noWrap/>
            <w:vAlign w:val="bottom"/>
            <w:hideMark/>
          </w:tcPr>
          <w:p w14:paraId="4A9987A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auto"/>
            <w:noWrap/>
            <w:vAlign w:val="bottom"/>
            <w:hideMark/>
          </w:tcPr>
          <w:p w14:paraId="7EF5651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723" w:type="dxa"/>
            <w:tcBorders>
              <w:top w:val="nil"/>
              <w:left w:val="nil"/>
              <w:bottom w:val="single" w:sz="4" w:space="0" w:color="auto"/>
              <w:right w:val="single" w:sz="4" w:space="0" w:color="auto"/>
            </w:tcBorders>
            <w:shd w:val="clear" w:color="auto" w:fill="auto"/>
            <w:noWrap/>
            <w:vAlign w:val="bottom"/>
            <w:hideMark/>
          </w:tcPr>
          <w:p w14:paraId="2733D3E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auto"/>
            <w:noWrap/>
            <w:vAlign w:val="bottom"/>
            <w:hideMark/>
          </w:tcPr>
          <w:p w14:paraId="0A55601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723" w:type="dxa"/>
            <w:tcBorders>
              <w:top w:val="nil"/>
              <w:left w:val="nil"/>
              <w:bottom w:val="single" w:sz="4" w:space="0" w:color="auto"/>
              <w:right w:val="single" w:sz="4" w:space="0" w:color="auto"/>
            </w:tcBorders>
            <w:shd w:val="clear" w:color="auto" w:fill="auto"/>
            <w:noWrap/>
            <w:vAlign w:val="bottom"/>
            <w:hideMark/>
          </w:tcPr>
          <w:p w14:paraId="0854596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auto"/>
            <w:noWrap/>
            <w:vAlign w:val="bottom"/>
            <w:hideMark/>
          </w:tcPr>
          <w:p w14:paraId="26F59DD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w:t>
            </w:r>
          </w:p>
        </w:tc>
        <w:tc>
          <w:tcPr>
            <w:tcW w:w="723" w:type="dxa"/>
            <w:tcBorders>
              <w:top w:val="nil"/>
              <w:left w:val="nil"/>
              <w:bottom w:val="single" w:sz="4" w:space="0" w:color="auto"/>
              <w:right w:val="single" w:sz="4" w:space="0" w:color="auto"/>
            </w:tcBorders>
            <w:shd w:val="clear" w:color="auto" w:fill="auto"/>
            <w:noWrap/>
            <w:vAlign w:val="bottom"/>
            <w:hideMark/>
          </w:tcPr>
          <w:p w14:paraId="37B5963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w:t>
            </w:r>
          </w:p>
        </w:tc>
        <w:tc>
          <w:tcPr>
            <w:tcW w:w="1011" w:type="dxa"/>
            <w:tcBorders>
              <w:top w:val="nil"/>
              <w:left w:val="nil"/>
              <w:bottom w:val="single" w:sz="4" w:space="0" w:color="auto"/>
              <w:right w:val="single" w:sz="4" w:space="0" w:color="auto"/>
            </w:tcBorders>
            <w:shd w:val="clear" w:color="auto" w:fill="auto"/>
            <w:noWrap/>
            <w:vAlign w:val="bottom"/>
            <w:hideMark/>
          </w:tcPr>
          <w:p w14:paraId="4C5012D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723" w:type="dxa"/>
            <w:tcBorders>
              <w:top w:val="nil"/>
              <w:left w:val="nil"/>
              <w:bottom w:val="single" w:sz="4" w:space="0" w:color="auto"/>
              <w:right w:val="single" w:sz="4" w:space="0" w:color="auto"/>
            </w:tcBorders>
            <w:shd w:val="clear" w:color="auto" w:fill="auto"/>
            <w:noWrap/>
            <w:vAlign w:val="bottom"/>
            <w:hideMark/>
          </w:tcPr>
          <w:p w14:paraId="36EFCD0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r>
      <w:tr w:rsidR="000431DC" w:rsidRPr="000431DC" w14:paraId="1062130D" w14:textId="77777777" w:rsidTr="00F80430">
        <w:trPr>
          <w:trHeight w:val="285"/>
        </w:trPr>
        <w:tc>
          <w:tcPr>
            <w:tcW w:w="2786" w:type="dxa"/>
            <w:tcBorders>
              <w:top w:val="nil"/>
              <w:left w:val="single" w:sz="4" w:space="0" w:color="auto"/>
              <w:bottom w:val="single" w:sz="4" w:space="0" w:color="auto"/>
              <w:right w:val="single" w:sz="4" w:space="0" w:color="auto"/>
            </w:tcBorders>
            <w:shd w:val="clear" w:color="000000" w:fill="D9E1F2"/>
            <w:noWrap/>
            <w:vAlign w:val="bottom"/>
            <w:hideMark/>
          </w:tcPr>
          <w:p w14:paraId="17CE9645"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6B678C2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723" w:type="dxa"/>
            <w:tcBorders>
              <w:top w:val="nil"/>
              <w:left w:val="nil"/>
              <w:bottom w:val="single" w:sz="4" w:space="0" w:color="auto"/>
              <w:right w:val="single" w:sz="4" w:space="0" w:color="auto"/>
            </w:tcBorders>
            <w:shd w:val="clear" w:color="auto" w:fill="auto"/>
            <w:noWrap/>
            <w:vAlign w:val="bottom"/>
            <w:hideMark/>
          </w:tcPr>
          <w:p w14:paraId="7E7807F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auto"/>
            <w:noWrap/>
            <w:vAlign w:val="bottom"/>
            <w:hideMark/>
          </w:tcPr>
          <w:p w14:paraId="5DD63BE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723" w:type="dxa"/>
            <w:tcBorders>
              <w:top w:val="nil"/>
              <w:left w:val="nil"/>
              <w:bottom w:val="single" w:sz="4" w:space="0" w:color="auto"/>
              <w:right w:val="single" w:sz="4" w:space="0" w:color="auto"/>
            </w:tcBorders>
            <w:shd w:val="clear" w:color="auto" w:fill="auto"/>
            <w:noWrap/>
            <w:vAlign w:val="bottom"/>
            <w:hideMark/>
          </w:tcPr>
          <w:p w14:paraId="7EC547D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auto"/>
            <w:noWrap/>
            <w:vAlign w:val="bottom"/>
            <w:hideMark/>
          </w:tcPr>
          <w:p w14:paraId="7162CA8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723" w:type="dxa"/>
            <w:tcBorders>
              <w:top w:val="nil"/>
              <w:left w:val="nil"/>
              <w:bottom w:val="single" w:sz="4" w:space="0" w:color="auto"/>
              <w:right w:val="single" w:sz="4" w:space="0" w:color="auto"/>
            </w:tcBorders>
            <w:shd w:val="clear" w:color="auto" w:fill="auto"/>
            <w:noWrap/>
            <w:vAlign w:val="bottom"/>
            <w:hideMark/>
          </w:tcPr>
          <w:p w14:paraId="760107A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auto"/>
            <w:noWrap/>
            <w:vAlign w:val="bottom"/>
            <w:hideMark/>
          </w:tcPr>
          <w:p w14:paraId="208F13F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w:t>
            </w:r>
          </w:p>
        </w:tc>
        <w:tc>
          <w:tcPr>
            <w:tcW w:w="723" w:type="dxa"/>
            <w:tcBorders>
              <w:top w:val="nil"/>
              <w:left w:val="nil"/>
              <w:bottom w:val="single" w:sz="4" w:space="0" w:color="auto"/>
              <w:right w:val="single" w:sz="4" w:space="0" w:color="auto"/>
            </w:tcBorders>
            <w:shd w:val="clear" w:color="auto" w:fill="auto"/>
            <w:noWrap/>
            <w:vAlign w:val="bottom"/>
            <w:hideMark/>
          </w:tcPr>
          <w:p w14:paraId="2BFEC30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78CAF8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41</w:t>
            </w:r>
          </w:p>
        </w:tc>
        <w:tc>
          <w:tcPr>
            <w:tcW w:w="723" w:type="dxa"/>
            <w:tcBorders>
              <w:top w:val="nil"/>
              <w:left w:val="nil"/>
              <w:bottom w:val="single" w:sz="4" w:space="0" w:color="auto"/>
              <w:right w:val="single" w:sz="4" w:space="0" w:color="auto"/>
            </w:tcBorders>
            <w:shd w:val="clear" w:color="auto" w:fill="auto"/>
            <w:noWrap/>
            <w:vAlign w:val="bottom"/>
            <w:hideMark/>
          </w:tcPr>
          <w:p w14:paraId="1B36623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r w:rsidR="000431DC" w:rsidRPr="000431DC" w14:paraId="07A690C6" w14:textId="77777777" w:rsidTr="00F80430">
        <w:trPr>
          <w:trHeight w:val="285"/>
        </w:trPr>
        <w:tc>
          <w:tcPr>
            <w:tcW w:w="2786" w:type="dxa"/>
            <w:tcBorders>
              <w:top w:val="nil"/>
              <w:left w:val="single" w:sz="4" w:space="0" w:color="auto"/>
              <w:bottom w:val="single" w:sz="4" w:space="0" w:color="auto"/>
              <w:right w:val="single" w:sz="4" w:space="0" w:color="auto"/>
            </w:tcBorders>
            <w:shd w:val="clear" w:color="000000" w:fill="D9E1F2"/>
            <w:noWrap/>
            <w:vAlign w:val="bottom"/>
            <w:hideMark/>
          </w:tcPr>
          <w:p w14:paraId="1D818901" w14:textId="77777777" w:rsidR="000431DC" w:rsidRPr="000431DC" w:rsidRDefault="000431DC" w:rsidP="000431DC">
            <w:pPr>
              <w:rPr>
                <w:rFonts w:ascii="VIC" w:hAnsi="VIC"/>
                <w:b/>
                <w:bCs/>
                <w:color w:val="000000"/>
                <w:lang w:eastAsia="en-AU"/>
              </w:rPr>
            </w:pPr>
            <w:r w:rsidRPr="000431DC">
              <w:rPr>
                <w:rFonts w:ascii="VIC" w:hAnsi="VIC"/>
                <w:b/>
                <w:bCs/>
                <w:color w:val="000000"/>
                <w:lang w:eastAsia="en-AU"/>
              </w:rPr>
              <w:t>Total ECT hearings</w:t>
            </w:r>
          </w:p>
        </w:tc>
        <w:tc>
          <w:tcPr>
            <w:tcW w:w="1011" w:type="dxa"/>
            <w:tcBorders>
              <w:top w:val="nil"/>
              <w:left w:val="nil"/>
              <w:bottom w:val="single" w:sz="4" w:space="0" w:color="auto"/>
              <w:right w:val="single" w:sz="4" w:space="0" w:color="auto"/>
            </w:tcBorders>
            <w:shd w:val="clear" w:color="auto" w:fill="auto"/>
            <w:noWrap/>
            <w:vAlign w:val="bottom"/>
            <w:hideMark/>
          </w:tcPr>
          <w:p w14:paraId="0D71B67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618</w:t>
            </w:r>
          </w:p>
        </w:tc>
        <w:tc>
          <w:tcPr>
            <w:tcW w:w="723" w:type="dxa"/>
            <w:tcBorders>
              <w:top w:val="nil"/>
              <w:left w:val="nil"/>
              <w:bottom w:val="single" w:sz="4" w:space="0" w:color="auto"/>
              <w:right w:val="single" w:sz="4" w:space="0" w:color="auto"/>
            </w:tcBorders>
            <w:shd w:val="clear" w:color="auto" w:fill="auto"/>
            <w:noWrap/>
            <w:vAlign w:val="bottom"/>
            <w:hideMark/>
          </w:tcPr>
          <w:p w14:paraId="5E70E70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2C5C4A3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710</w:t>
            </w:r>
          </w:p>
        </w:tc>
        <w:tc>
          <w:tcPr>
            <w:tcW w:w="723" w:type="dxa"/>
            <w:tcBorders>
              <w:top w:val="nil"/>
              <w:left w:val="nil"/>
              <w:bottom w:val="single" w:sz="4" w:space="0" w:color="auto"/>
              <w:right w:val="single" w:sz="4" w:space="0" w:color="auto"/>
            </w:tcBorders>
            <w:shd w:val="clear" w:color="auto" w:fill="auto"/>
            <w:noWrap/>
            <w:vAlign w:val="bottom"/>
            <w:hideMark/>
          </w:tcPr>
          <w:p w14:paraId="6B98FDA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7487E7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691</w:t>
            </w:r>
          </w:p>
        </w:tc>
        <w:tc>
          <w:tcPr>
            <w:tcW w:w="723" w:type="dxa"/>
            <w:tcBorders>
              <w:top w:val="nil"/>
              <w:left w:val="nil"/>
              <w:bottom w:val="single" w:sz="4" w:space="0" w:color="auto"/>
              <w:right w:val="single" w:sz="4" w:space="0" w:color="auto"/>
            </w:tcBorders>
            <w:shd w:val="clear" w:color="auto" w:fill="auto"/>
            <w:noWrap/>
            <w:vAlign w:val="bottom"/>
            <w:hideMark/>
          </w:tcPr>
          <w:p w14:paraId="632839B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193B6BA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762</w:t>
            </w:r>
          </w:p>
        </w:tc>
        <w:tc>
          <w:tcPr>
            <w:tcW w:w="723" w:type="dxa"/>
            <w:tcBorders>
              <w:top w:val="nil"/>
              <w:left w:val="nil"/>
              <w:bottom w:val="single" w:sz="4" w:space="0" w:color="auto"/>
              <w:right w:val="single" w:sz="4" w:space="0" w:color="auto"/>
            </w:tcBorders>
            <w:shd w:val="clear" w:color="auto" w:fill="auto"/>
            <w:noWrap/>
            <w:vAlign w:val="bottom"/>
            <w:hideMark/>
          </w:tcPr>
          <w:p w14:paraId="179D289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032B745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717</w:t>
            </w:r>
          </w:p>
        </w:tc>
        <w:tc>
          <w:tcPr>
            <w:tcW w:w="723" w:type="dxa"/>
            <w:tcBorders>
              <w:top w:val="nil"/>
              <w:left w:val="nil"/>
              <w:bottom w:val="single" w:sz="4" w:space="0" w:color="auto"/>
              <w:right w:val="single" w:sz="4" w:space="0" w:color="auto"/>
            </w:tcBorders>
            <w:shd w:val="clear" w:color="auto" w:fill="auto"/>
            <w:noWrap/>
            <w:vAlign w:val="bottom"/>
            <w:hideMark/>
          </w:tcPr>
          <w:p w14:paraId="351BD42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bl>
    <w:p w14:paraId="3388FF11" w14:textId="6094A67A" w:rsidR="000431DC" w:rsidRDefault="000431DC" w:rsidP="00F80430">
      <w:pPr>
        <w:spacing w:after="200" w:line="276" w:lineRule="auto"/>
        <w:ind w:left="1440"/>
        <w:rPr>
          <w:rFonts w:asciiTheme="minorHAnsi" w:eastAsiaTheme="minorHAnsi" w:hAnsiTheme="minorHAnsi" w:cstheme="minorBidi"/>
          <w:sz w:val="22"/>
          <w:szCs w:val="22"/>
        </w:rPr>
      </w:pPr>
    </w:p>
    <w:p w14:paraId="41C37A0D" w14:textId="77777777" w:rsidR="00CB3B34" w:rsidRPr="000431DC" w:rsidRDefault="00CB3B34" w:rsidP="00F80430">
      <w:pPr>
        <w:spacing w:after="200" w:line="276" w:lineRule="auto"/>
        <w:ind w:left="1440"/>
        <w:rPr>
          <w:rFonts w:asciiTheme="minorHAnsi" w:eastAsiaTheme="minorHAnsi" w:hAnsiTheme="minorHAnsi" w:cstheme="minorBidi"/>
          <w:sz w:val="22"/>
          <w:szCs w:val="22"/>
        </w:rPr>
      </w:pPr>
    </w:p>
    <w:tbl>
      <w:tblPr>
        <w:tblW w:w="10753" w:type="dxa"/>
        <w:tblInd w:w="1440" w:type="dxa"/>
        <w:tblLook w:val="04A0" w:firstRow="1" w:lastRow="0" w:firstColumn="1" w:lastColumn="0" w:noHBand="0" w:noVBand="1"/>
      </w:tblPr>
      <w:tblGrid>
        <w:gridCol w:w="2070"/>
        <w:gridCol w:w="1011"/>
        <w:gridCol w:w="723"/>
        <w:gridCol w:w="1011"/>
        <w:gridCol w:w="723"/>
        <w:gridCol w:w="1011"/>
        <w:gridCol w:w="723"/>
        <w:gridCol w:w="1011"/>
        <w:gridCol w:w="723"/>
        <w:gridCol w:w="1011"/>
        <w:gridCol w:w="736"/>
      </w:tblGrid>
      <w:tr w:rsidR="000431DC" w:rsidRPr="000431DC" w14:paraId="7020FA0F" w14:textId="77777777" w:rsidTr="00F80430">
        <w:trPr>
          <w:trHeight w:val="285"/>
        </w:trPr>
        <w:tc>
          <w:tcPr>
            <w:tcW w:w="2070"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bottom"/>
            <w:hideMark/>
          </w:tcPr>
          <w:p w14:paraId="29AE0186" w14:textId="77777777" w:rsidR="000431DC" w:rsidRPr="000431DC" w:rsidRDefault="000431DC" w:rsidP="000431DC">
            <w:pPr>
              <w:ind w:firstLineChars="100" w:firstLine="221"/>
              <w:rPr>
                <w:rFonts w:ascii="VIC" w:hAnsi="VIC"/>
                <w:b/>
                <w:bCs/>
                <w:color w:val="000000"/>
                <w:sz w:val="22"/>
                <w:szCs w:val="22"/>
                <w:lang w:eastAsia="en-AU"/>
              </w:rPr>
            </w:pPr>
            <w:r w:rsidRPr="000431DC">
              <w:rPr>
                <w:rFonts w:ascii="VIC" w:hAnsi="VIC"/>
                <w:b/>
                <w:bCs/>
                <w:color w:val="000000"/>
                <w:sz w:val="22"/>
                <w:szCs w:val="22"/>
                <w:lang w:eastAsia="en-AU"/>
              </w:rPr>
              <w:t>Gender</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137D3D1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469C37F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721B346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1/7/2016 - 30/6/2017</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18B6261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1/7/2017 - 30/6/2018</w:t>
            </w:r>
          </w:p>
        </w:tc>
        <w:tc>
          <w:tcPr>
            <w:tcW w:w="1747"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1EDF1B2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1/6/2018 - 31/5/2019</w:t>
            </w:r>
          </w:p>
        </w:tc>
      </w:tr>
      <w:tr w:rsidR="000431DC" w:rsidRPr="000431DC" w14:paraId="538250F1" w14:textId="77777777" w:rsidTr="00F80430">
        <w:trPr>
          <w:trHeight w:val="285"/>
        </w:trPr>
        <w:tc>
          <w:tcPr>
            <w:tcW w:w="2070" w:type="dxa"/>
            <w:vMerge/>
            <w:tcBorders>
              <w:top w:val="single" w:sz="4" w:space="0" w:color="auto"/>
              <w:left w:val="single" w:sz="4" w:space="0" w:color="auto"/>
              <w:bottom w:val="single" w:sz="4" w:space="0" w:color="000000"/>
              <w:right w:val="single" w:sz="4" w:space="0" w:color="auto"/>
            </w:tcBorders>
            <w:vAlign w:val="center"/>
            <w:hideMark/>
          </w:tcPr>
          <w:p w14:paraId="3C260451" w14:textId="77777777" w:rsidR="000431DC" w:rsidRPr="000431DC" w:rsidRDefault="000431DC" w:rsidP="000431DC">
            <w:pPr>
              <w:rPr>
                <w:rFonts w:ascii="VIC" w:hAnsi="VIC"/>
                <w:b/>
                <w:bCs/>
                <w:color w:val="000000"/>
                <w:sz w:val="22"/>
                <w:szCs w:val="22"/>
                <w:lang w:eastAsia="en-AU"/>
              </w:rPr>
            </w:pPr>
          </w:p>
        </w:tc>
        <w:tc>
          <w:tcPr>
            <w:tcW w:w="1011" w:type="dxa"/>
            <w:tcBorders>
              <w:top w:val="nil"/>
              <w:left w:val="nil"/>
              <w:bottom w:val="single" w:sz="4" w:space="0" w:color="auto"/>
              <w:right w:val="single" w:sz="4" w:space="0" w:color="auto"/>
            </w:tcBorders>
            <w:shd w:val="clear" w:color="000000" w:fill="D9E1F2"/>
            <w:noWrap/>
            <w:vAlign w:val="bottom"/>
            <w:hideMark/>
          </w:tcPr>
          <w:p w14:paraId="19805C7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6C66F35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4491B1A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245979A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179C228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5BE482D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687CFD2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1E0882B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478C174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36" w:type="dxa"/>
            <w:tcBorders>
              <w:top w:val="nil"/>
              <w:left w:val="nil"/>
              <w:bottom w:val="single" w:sz="4" w:space="0" w:color="auto"/>
              <w:right w:val="single" w:sz="4" w:space="0" w:color="auto"/>
            </w:tcBorders>
            <w:shd w:val="clear" w:color="000000" w:fill="D9E1F2"/>
            <w:noWrap/>
            <w:vAlign w:val="bottom"/>
            <w:hideMark/>
          </w:tcPr>
          <w:p w14:paraId="6466B6D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r>
      <w:tr w:rsidR="000431DC" w:rsidRPr="000431DC" w14:paraId="6C504FAB" w14:textId="77777777" w:rsidTr="00F80430">
        <w:trPr>
          <w:trHeight w:val="315"/>
        </w:trPr>
        <w:tc>
          <w:tcPr>
            <w:tcW w:w="10753" w:type="dxa"/>
            <w:gridSpan w:val="11"/>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5577B464" w14:textId="77777777" w:rsidR="000431DC" w:rsidRPr="000431DC" w:rsidRDefault="000431DC" w:rsidP="000431DC">
            <w:pPr>
              <w:rPr>
                <w:rFonts w:ascii="VIC" w:hAnsi="VIC"/>
                <w:i/>
                <w:iCs/>
                <w:color w:val="000000"/>
                <w:lang w:eastAsia="en-AU"/>
              </w:rPr>
            </w:pPr>
            <w:r w:rsidRPr="000431DC">
              <w:rPr>
                <w:rFonts w:ascii="VIC" w:hAnsi="VIC"/>
                <w:i/>
                <w:iCs/>
                <w:color w:val="000000"/>
                <w:lang w:eastAsia="en-AU"/>
              </w:rPr>
              <w:t>ECT hearings</w:t>
            </w:r>
          </w:p>
        </w:tc>
      </w:tr>
      <w:tr w:rsidR="000431DC" w:rsidRPr="000431DC" w14:paraId="527E2CCF" w14:textId="77777777" w:rsidTr="00F80430">
        <w:trPr>
          <w:trHeight w:val="285"/>
        </w:trPr>
        <w:tc>
          <w:tcPr>
            <w:tcW w:w="2070" w:type="dxa"/>
            <w:tcBorders>
              <w:top w:val="nil"/>
              <w:left w:val="single" w:sz="4" w:space="0" w:color="auto"/>
              <w:bottom w:val="single" w:sz="4" w:space="0" w:color="auto"/>
              <w:right w:val="single" w:sz="4" w:space="0" w:color="auto"/>
            </w:tcBorders>
            <w:shd w:val="clear" w:color="000000" w:fill="D9E1F2"/>
            <w:noWrap/>
            <w:vAlign w:val="bottom"/>
            <w:hideMark/>
          </w:tcPr>
          <w:p w14:paraId="600D502D"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Female</w:t>
            </w:r>
          </w:p>
        </w:tc>
        <w:tc>
          <w:tcPr>
            <w:tcW w:w="1011" w:type="dxa"/>
            <w:tcBorders>
              <w:top w:val="nil"/>
              <w:left w:val="nil"/>
              <w:bottom w:val="single" w:sz="4" w:space="0" w:color="auto"/>
              <w:right w:val="single" w:sz="4" w:space="0" w:color="auto"/>
            </w:tcBorders>
            <w:shd w:val="clear" w:color="auto" w:fill="auto"/>
            <w:noWrap/>
            <w:vAlign w:val="bottom"/>
            <w:hideMark/>
          </w:tcPr>
          <w:p w14:paraId="79C9AE5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336</w:t>
            </w:r>
          </w:p>
        </w:tc>
        <w:tc>
          <w:tcPr>
            <w:tcW w:w="723" w:type="dxa"/>
            <w:tcBorders>
              <w:top w:val="nil"/>
              <w:left w:val="nil"/>
              <w:bottom w:val="single" w:sz="4" w:space="0" w:color="auto"/>
              <w:right w:val="single" w:sz="4" w:space="0" w:color="auto"/>
            </w:tcBorders>
            <w:shd w:val="clear" w:color="auto" w:fill="auto"/>
            <w:noWrap/>
            <w:vAlign w:val="bottom"/>
            <w:hideMark/>
          </w:tcPr>
          <w:p w14:paraId="4931C08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54%</w:t>
            </w:r>
          </w:p>
        </w:tc>
        <w:tc>
          <w:tcPr>
            <w:tcW w:w="1011" w:type="dxa"/>
            <w:tcBorders>
              <w:top w:val="nil"/>
              <w:left w:val="nil"/>
              <w:bottom w:val="single" w:sz="4" w:space="0" w:color="auto"/>
              <w:right w:val="single" w:sz="4" w:space="0" w:color="auto"/>
            </w:tcBorders>
            <w:shd w:val="clear" w:color="auto" w:fill="auto"/>
            <w:noWrap/>
            <w:vAlign w:val="bottom"/>
            <w:hideMark/>
          </w:tcPr>
          <w:p w14:paraId="14B2F59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356</w:t>
            </w:r>
          </w:p>
        </w:tc>
        <w:tc>
          <w:tcPr>
            <w:tcW w:w="723" w:type="dxa"/>
            <w:tcBorders>
              <w:top w:val="nil"/>
              <w:left w:val="nil"/>
              <w:bottom w:val="single" w:sz="4" w:space="0" w:color="auto"/>
              <w:right w:val="single" w:sz="4" w:space="0" w:color="auto"/>
            </w:tcBorders>
            <w:shd w:val="clear" w:color="auto" w:fill="auto"/>
            <w:noWrap/>
            <w:vAlign w:val="bottom"/>
            <w:hideMark/>
          </w:tcPr>
          <w:p w14:paraId="3084B52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50%</w:t>
            </w:r>
          </w:p>
        </w:tc>
        <w:tc>
          <w:tcPr>
            <w:tcW w:w="1011" w:type="dxa"/>
            <w:tcBorders>
              <w:top w:val="nil"/>
              <w:left w:val="nil"/>
              <w:bottom w:val="single" w:sz="4" w:space="0" w:color="auto"/>
              <w:right w:val="single" w:sz="4" w:space="0" w:color="auto"/>
            </w:tcBorders>
            <w:shd w:val="clear" w:color="auto" w:fill="auto"/>
            <w:noWrap/>
            <w:vAlign w:val="bottom"/>
            <w:hideMark/>
          </w:tcPr>
          <w:p w14:paraId="6E26EA2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384</w:t>
            </w:r>
          </w:p>
        </w:tc>
        <w:tc>
          <w:tcPr>
            <w:tcW w:w="723" w:type="dxa"/>
            <w:tcBorders>
              <w:top w:val="nil"/>
              <w:left w:val="nil"/>
              <w:bottom w:val="single" w:sz="4" w:space="0" w:color="auto"/>
              <w:right w:val="single" w:sz="4" w:space="0" w:color="auto"/>
            </w:tcBorders>
            <w:shd w:val="clear" w:color="auto" w:fill="auto"/>
            <w:noWrap/>
            <w:vAlign w:val="bottom"/>
            <w:hideMark/>
          </w:tcPr>
          <w:p w14:paraId="65F157C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56%</w:t>
            </w:r>
          </w:p>
        </w:tc>
        <w:tc>
          <w:tcPr>
            <w:tcW w:w="1011" w:type="dxa"/>
            <w:tcBorders>
              <w:top w:val="nil"/>
              <w:left w:val="nil"/>
              <w:bottom w:val="single" w:sz="4" w:space="0" w:color="auto"/>
              <w:right w:val="single" w:sz="4" w:space="0" w:color="auto"/>
            </w:tcBorders>
            <w:shd w:val="clear" w:color="auto" w:fill="auto"/>
            <w:noWrap/>
            <w:vAlign w:val="bottom"/>
            <w:hideMark/>
          </w:tcPr>
          <w:p w14:paraId="76C1019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404</w:t>
            </w:r>
          </w:p>
        </w:tc>
        <w:tc>
          <w:tcPr>
            <w:tcW w:w="723" w:type="dxa"/>
            <w:tcBorders>
              <w:top w:val="nil"/>
              <w:left w:val="nil"/>
              <w:bottom w:val="single" w:sz="4" w:space="0" w:color="auto"/>
              <w:right w:val="single" w:sz="4" w:space="0" w:color="auto"/>
            </w:tcBorders>
            <w:shd w:val="clear" w:color="auto" w:fill="auto"/>
            <w:noWrap/>
            <w:vAlign w:val="bottom"/>
            <w:hideMark/>
          </w:tcPr>
          <w:p w14:paraId="65672D0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53%</w:t>
            </w:r>
          </w:p>
        </w:tc>
        <w:tc>
          <w:tcPr>
            <w:tcW w:w="1011" w:type="dxa"/>
            <w:tcBorders>
              <w:top w:val="nil"/>
              <w:left w:val="nil"/>
              <w:bottom w:val="single" w:sz="4" w:space="0" w:color="auto"/>
              <w:right w:val="single" w:sz="4" w:space="0" w:color="auto"/>
            </w:tcBorders>
            <w:shd w:val="clear" w:color="auto" w:fill="auto"/>
            <w:noWrap/>
            <w:vAlign w:val="bottom"/>
            <w:hideMark/>
          </w:tcPr>
          <w:p w14:paraId="4237A62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372</w:t>
            </w:r>
          </w:p>
        </w:tc>
        <w:tc>
          <w:tcPr>
            <w:tcW w:w="736" w:type="dxa"/>
            <w:tcBorders>
              <w:top w:val="nil"/>
              <w:left w:val="nil"/>
              <w:bottom w:val="single" w:sz="4" w:space="0" w:color="auto"/>
              <w:right w:val="single" w:sz="4" w:space="0" w:color="auto"/>
            </w:tcBorders>
            <w:shd w:val="clear" w:color="auto" w:fill="auto"/>
            <w:noWrap/>
            <w:vAlign w:val="bottom"/>
            <w:hideMark/>
          </w:tcPr>
          <w:p w14:paraId="6BEF32D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52%</w:t>
            </w:r>
          </w:p>
        </w:tc>
      </w:tr>
      <w:tr w:rsidR="000431DC" w:rsidRPr="000431DC" w14:paraId="44D3D307" w14:textId="77777777" w:rsidTr="00F80430">
        <w:trPr>
          <w:trHeight w:val="285"/>
        </w:trPr>
        <w:tc>
          <w:tcPr>
            <w:tcW w:w="2070" w:type="dxa"/>
            <w:tcBorders>
              <w:top w:val="nil"/>
              <w:left w:val="single" w:sz="4" w:space="0" w:color="auto"/>
              <w:bottom w:val="single" w:sz="4" w:space="0" w:color="auto"/>
              <w:right w:val="single" w:sz="4" w:space="0" w:color="auto"/>
            </w:tcBorders>
            <w:shd w:val="clear" w:color="000000" w:fill="D9E1F2"/>
            <w:noWrap/>
            <w:vAlign w:val="bottom"/>
            <w:hideMark/>
          </w:tcPr>
          <w:p w14:paraId="4D89DEC9"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Male</w:t>
            </w:r>
          </w:p>
        </w:tc>
        <w:tc>
          <w:tcPr>
            <w:tcW w:w="1011" w:type="dxa"/>
            <w:tcBorders>
              <w:top w:val="nil"/>
              <w:left w:val="nil"/>
              <w:bottom w:val="single" w:sz="4" w:space="0" w:color="auto"/>
              <w:right w:val="single" w:sz="4" w:space="0" w:color="auto"/>
            </w:tcBorders>
            <w:shd w:val="clear" w:color="auto" w:fill="auto"/>
            <w:noWrap/>
            <w:vAlign w:val="bottom"/>
            <w:hideMark/>
          </w:tcPr>
          <w:p w14:paraId="3D3499D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282</w:t>
            </w:r>
          </w:p>
        </w:tc>
        <w:tc>
          <w:tcPr>
            <w:tcW w:w="723" w:type="dxa"/>
            <w:tcBorders>
              <w:top w:val="nil"/>
              <w:left w:val="nil"/>
              <w:bottom w:val="single" w:sz="4" w:space="0" w:color="auto"/>
              <w:right w:val="single" w:sz="4" w:space="0" w:color="auto"/>
            </w:tcBorders>
            <w:shd w:val="clear" w:color="auto" w:fill="auto"/>
            <w:noWrap/>
            <w:vAlign w:val="bottom"/>
            <w:hideMark/>
          </w:tcPr>
          <w:p w14:paraId="25FE984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46%</w:t>
            </w:r>
          </w:p>
        </w:tc>
        <w:tc>
          <w:tcPr>
            <w:tcW w:w="1011" w:type="dxa"/>
            <w:tcBorders>
              <w:top w:val="nil"/>
              <w:left w:val="nil"/>
              <w:bottom w:val="single" w:sz="4" w:space="0" w:color="auto"/>
              <w:right w:val="single" w:sz="4" w:space="0" w:color="auto"/>
            </w:tcBorders>
            <w:shd w:val="clear" w:color="auto" w:fill="auto"/>
            <w:noWrap/>
            <w:vAlign w:val="bottom"/>
            <w:hideMark/>
          </w:tcPr>
          <w:p w14:paraId="3323FCE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354</w:t>
            </w:r>
          </w:p>
        </w:tc>
        <w:tc>
          <w:tcPr>
            <w:tcW w:w="723" w:type="dxa"/>
            <w:tcBorders>
              <w:top w:val="nil"/>
              <w:left w:val="nil"/>
              <w:bottom w:val="single" w:sz="4" w:space="0" w:color="auto"/>
              <w:right w:val="single" w:sz="4" w:space="0" w:color="auto"/>
            </w:tcBorders>
            <w:shd w:val="clear" w:color="auto" w:fill="auto"/>
            <w:noWrap/>
            <w:vAlign w:val="bottom"/>
            <w:hideMark/>
          </w:tcPr>
          <w:p w14:paraId="06AB385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50%</w:t>
            </w:r>
          </w:p>
        </w:tc>
        <w:tc>
          <w:tcPr>
            <w:tcW w:w="1011" w:type="dxa"/>
            <w:tcBorders>
              <w:top w:val="nil"/>
              <w:left w:val="nil"/>
              <w:bottom w:val="single" w:sz="4" w:space="0" w:color="auto"/>
              <w:right w:val="single" w:sz="4" w:space="0" w:color="auto"/>
            </w:tcBorders>
            <w:shd w:val="clear" w:color="auto" w:fill="auto"/>
            <w:noWrap/>
            <w:vAlign w:val="bottom"/>
            <w:hideMark/>
          </w:tcPr>
          <w:p w14:paraId="719C269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307</w:t>
            </w:r>
          </w:p>
        </w:tc>
        <w:tc>
          <w:tcPr>
            <w:tcW w:w="723" w:type="dxa"/>
            <w:tcBorders>
              <w:top w:val="nil"/>
              <w:left w:val="nil"/>
              <w:bottom w:val="single" w:sz="4" w:space="0" w:color="auto"/>
              <w:right w:val="single" w:sz="4" w:space="0" w:color="auto"/>
            </w:tcBorders>
            <w:shd w:val="clear" w:color="auto" w:fill="auto"/>
            <w:noWrap/>
            <w:vAlign w:val="bottom"/>
            <w:hideMark/>
          </w:tcPr>
          <w:p w14:paraId="0E8113F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44%</w:t>
            </w:r>
          </w:p>
        </w:tc>
        <w:tc>
          <w:tcPr>
            <w:tcW w:w="1011" w:type="dxa"/>
            <w:tcBorders>
              <w:top w:val="nil"/>
              <w:left w:val="nil"/>
              <w:bottom w:val="single" w:sz="4" w:space="0" w:color="auto"/>
              <w:right w:val="single" w:sz="4" w:space="0" w:color="auto"/>
            </w:tcBorders>
            <w:shd w:val="clear" w:color="auto" w:fill="auto"/>
            <w:noWrap/>
            <w:vAlign w:val="bottom"/>
            <w:hideMark/>
          </w:tcPr>
          <w:p w14:paraId="08E7017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358</w:t>
            </w:r>
          </w:p>
        </w:tc>
        <w:tc>
          <w:tcPr>
            <w:tcW w:w="723" w:type="dxa"/>
            <w:tcBorders>
              <w:top w:val="nil"/>
              <w:left w:val="nil"/>
              <w:bottom w:val="single" w:sz="4" w:space="0" w:color="auto"/>
              <w:right w:val="single" w:sz="4" w:space="0" w:color="auto"/>
            </w:tcBorders>
            <w:shd w:val="clear" w:color="auto" w:fill="auto"/>
            <w:noWrap/>
            <w:vAlign w:val="bottom"/>
            <w:hideMark/>
          </w:tcPr>
          <w:p w14:paraId="212FB77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47%</w:t>
            </w:r>
          </w:p>
        </w:tc>
        <w:tc>
          <w:tcPr>
            <w:tcW w:w="1011" w:type="dxa"/>
            <w:tcBorders>
              <w:top w:val="nil"/>
              <w:left w:val="nil"/>
              <w:bottom w:val="single" w:sz="4" w:space="0" w:color="auto"/>
              <w:right w:val="single" w:sz="4" w:space="0" w:color="auto"/>
            </w:tcBorders>
            <w:shd w:val="clear" w:color="auto" w:fill="auto"/>
            <w:noWrap/>
            <w:vAlign w:val="bottom"/>
            <w:hideMark/>
          </w:tcPr>
          <w:p w14:paraId="3E9E923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345</w:t>
            </w:r>
          </w:p>
        </w:tc>
        <w:tc>
          <w:tcPr>
            <w:tcW w:w="736" w:type="dxa"/>
            <w:tcBorders>
              <w:top w:val="nil"/>
              <w:left w:val="nil"/>
              <w:bottom w:val="single" w:sz="4" w:space="0" w:color="auto"/>
              <w:right w:val="single" w:sz="4" w:space="0" w:color="auto"/>
            </w:tcBorders>
            <w:shd w:val="clear" w:color="auto" w:fill="auto"/>
            <w:noWrap/>
            <w:vAlign w:val="bottom"/>
            <w:hideMark/>
          </w:tcPr>
          <w:p w14:paraId="645C527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48%</w:t>
            </w:r>
          </w:p>
        </w:tc>
      </w:tr>
      <w:tr w:rsidR="000431DC" w:rsidRPr="000431DC" w14:paraId="2DA84F9E" w14:textId="77777777" w:rsidTr="00F80430">
        <w:trPr>
          <w:trHeight w:val="285"/>
        </w:trPr>
        <w:tc>
          <w:tcPr>
            <w:tcW w:w="2070" w:type="dxa"/>
            <w:tcBorders>
              <w:top w:val="nil"/>
              <w:left w:val="single" w:sz="4" w:space="0" w:color="auto"/>
              <w:bottom w:val="single" w:sz="4" w:space="0" w:color="auto"/>
              <w:right w:val="single" w:sz="4" w:space="0" w:color="auto"/>
            </w:tcBorders>
            <w:shd w:val="clear" w:color="000000" w:fill="D9E1F2"/>
            <w:noWrap/>
            <w:vAlign w:val="bottom"/>
            <w:hideMark/>
          </w:tcPr>
          <w:p w14:paraId="0D5397CD"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5AF3484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618</w:t>
            </w:r>
          </w:p>
        </w:tc>
        <w:tc>
          <w:tcPr>
            <w:tcW w:w="723" w:type="dxa"/>
            <w:tcBorders>
              <w:top w:val="nil"/>
              <w:left w:val="nil"/>
              <w:bottom w:val="single" w:sz="4" w:space="0" w:color="auto"/>
              <w:right w:val="single" w:sz="4" w:space="0" w:color="auto"/>
            </w:tcBorders>
            <w:shd w:val="clear" w:color="auto" w:fill="auto"/>
            <w:noWrap/>
            <w:vAlign w:val="bottom"/>
            <w:hideMark/>
          </w:tcPr>
          <w:p w14:paraId="4229679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49791AB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710</w:t>
            </w:r>
          </w:p>
        </w:tc>
        <w:tc>
          <w:tcPr>
            <w:tcW w:w="723" w:type="dxa"/>
            <w:tcBorders>
              <w:top w:val="nil"/>
              <w:left w:val="nil"/>
              <w:bottom w:val="single" w:sz="4" w:space="0" w:color="auto"/>
              <w:right w:val="single" w:sz="4" w:space="0" w:color="auto"/>
            </w:tcBorders>
            <w:shd w:val="clear" w:color="auto" w:fill="auto"/>
            <w:noWrap/>
            <w:vAlign w:val="bottom"/>
            <w:hideMark/>
          </w:tcPr>
          <w:p w14:paraId="460219F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59AC24B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691</w:t>
            </w:r>
          </w:p>
        </w:tc>
        <w:tc>
          <w:tcPr>
            <w:tcW w:w="723" w:type="dxa"/>
            <w:tcBorders>
              <w:top w:val="nil"/>
              <w:left w:val="nil"/>
              <w:bottom w:val="single" w:sz="4" w:space="0" w:color="auto"/>
              <w:right w:val="single" w:sz="4" w:space="0" w:color="auto"/>
            </w:tcBorders>
            <w:shd w:val="clear" w:color="auto" w:fill="auto"/>
            <w:noWrap/>
            <w:vAlign w:val="bottom"/>
            <w:hideMark/>
          </w:tcPr>
          <w:p w14:paraId="3C09CC4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5EEEE8C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762</w:t>
            </w:r>
          </w:p>
        </w:tc>
        <w:tc>
          <w:tcPr>
            <w:tcW w:w="723" w:type="dxa"/>
            <w:tcBorders>
              <w:top w:val="nil"/>
              <w:left w:val="nil"/>
              <w:bottom w:val="single" w:sz="4" w:space="0" w:color="auto"/>
              <w:right w:val="single" w:sz="4" w:space="0" w:color="auto"/>
            </w:tcBorders>
            <w:shd w:val="clear" w:color="auto" w:fill="auto"/>
            <w:noWrap/>
            <w:vAlign w:val="bottom"/>
            <w:hideMark/>
          </w:tcPr>
          <w:p w14:paraId="0E6424F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32EA939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717</w:t>
            </w:r>
          </w:p>
        </w:tc>
        <w:tc>
          <w:tcPr>
            <w:tcW w:w="736" w:type="dxa"/>
            <w:tcBorders>
              <w:top w:val="nil"/>
              <w:left w:val="nil"/>
              <w:bottom w:val="single" w:sz="4" w:space="0" w:color="auto"/>
              <w:right w:val="single" w:sz="4" w:space="0" w:color="auto"/>
            </w:tcBorders>
            <w:shd w:val="clear" w:color="auto" w:fill="auto"/>
            <w:noWrap/>
            <w:vAlign w:val="bottom"/>
            <w:hideMark/>
          </w:tcPr>
          <w:p w14:paraId="6C2DA1E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bl>
    <w:p w14:paraId="3BAF3C7B" w14:textId="5E8484F1" w:rsidR="000431DC" w:rsidRDefault="000431DC" w:rsidP="00F80430">
      <w:pPr>
        <w:spacing w:after="200" w:line="276" w:lineRule="auto"/>
        <w:ind w:left="1440"/>
        <w:rPr>
          <w:rFonts w:asciiTheme="minorHAnsi" w:eastAsiaTheme="minorHAnsi" w:hAnsiTheme="minorHAnsi" w:cstheme="minorBidi"/>
          <w:sz w:val="22"/>
          <w:szCs w:val="22"/>
        </w:rPr>
      </w:pPr>
    </w:p>
    <w:p w14:paraId="1CED00AC" w14:textId="4B3F8845" w:rsidR="000431DC" w:rsidRDefault="000431DC" w:rsidP="00F80430">
      <w:pPr>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14:paraId="5F5BAB56" w14:textId="77777777" w:rsidR="000431DC" w:rsidRPr="000431DC" w:rsidRDefault="000431DC" w:rsidP="00F80430">
      <w:pPr>
        <w:spacing w:after="200" w:line="276" w:lineRule="auto"/>
        <w:ind w:left="1440"/>
        <w:rPr>
          <w:rFonts w:asciiTheme="minorHAnsi" w:eastAsiaTheme="minorHAnsi" w:hAnsiTheme="minorHAnsi" w:cstheme="minorBidi"/>
          <w:sz w:val="22"/>
          <w:szCs w:val="22"/>
        </w:rPr>
      </w:pPr>
    </w:p>
    <w:tbl>
      <w:tblPr>
        <w:tblW w:w="11491" w:type="dxa"/>
        <w:tblInd w:w="1440" w:type="dxa"/>
        <w:tblLook w:val="04A0" w:firstRow="1" w:lastRow="0" w:firstColumn="1" w:lastColumn="0" w:noHBand="0" w:noVBand="1"/>
      </w:tblPr>
      <w:tblGrid>
        <w:gridCol w:w="2808"/>
        <w:gridCol w:w="1011"/>
        <w:gridCol w:w="723"/>
        <w:gridCol w:w="1011"/>
        <w:gridCol w:w="723"/>
        <w:gridCol w:w="1011"/>
        <w:gridCol w:w="723"/>
        <w:gridCol w:w="1011"/>
        <w:gridCol w:w="723"/>
        <w:gridCol w:w="1011"/>
        <w:gridCol w:w="723"/>
        <w:gridCol w:w="13"/>
      </w:tblGrid>
      <w:tr w:rsidR="000431DC" w:rsidRPr="000431DC" w14:paraId="39A398CE" w14:textId="77777777" w:rsidTr="00F80430">
        <w:trPr>
          <w:gridAfter w:val="1"/>
          <w:wAfter w:w="13" w:type="dxa"/>
          <w:trHeight w:val="285"/>
        </w:trPr>
        <w:tc>
          <w:tcPr>
            <w:tcW w:w="2808"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bottom"/>
            <w:hideMark/>
          </w:tcPr>
          <w:p w14:paraId="4CB00C81" w14:textId="77777777" w:rsidR="000431DC" w:rsidRPr="000431DC" w:rsidRDefault="000431DC" w:rsidP="000431DC">
            <w:pPr>
              <w:ind w:firstLineChars="100" w:firstLine="221"/>
              <w:rPr>
                <w:rFonts w:ascii="VIC" w:hAnsi="VIC"/>
                <w:b/>
                <w:bCs/>
                <w:color w:val="000000"/>
                <w:sz w:val="22"/>
                <w:szCs w:val="22"/>
                <w:lang w:eastAsia="en-AU"/>
              </w:rPr>
            </w:pPr>
            <w:r w:rsidRPr="000431DC">
              <w:rPr>
                <w:rFonts w:ascii="VIC" w:hAnsi="VIC"/>
                <w:b/>
                <w:bCs/>
                <w:color w:val="000000"/>
                <w:sz w:val="22"/>
                <w:szCs w:val="22"/>
                <w:lang w:eastAsia="en-AU"/>
              </w:rPr>
              <w:t>Age</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18DC983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1C755C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3732CC8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1/7/2016 - 30/6/2017</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32DCF59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1/7/2017 - 30/6/2018</w:t>
            </w:r>
          </w:p>
        </w:tc>
        <w:tc>
          <w:tcPr>
            <w:tcW w:w="1734"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61C7661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1/6/2018 - 31/5/2019</w:t>
            </w:r>
          </w:p>
        </w:tc>
      </w:tr>
      <w:tr w:rsidR="000431DC" w:rsidRPr="000431DC" w14:paraId="5988B0E9" w14:textId="77777777" w:rsidTr="00F80430">
        <w:trPr>
          <w:gridAfter w:val="1"/>
          <w:wAfter w:w="13" w:type="dxa"/>
          <w:trHeight w:val="285"/>
        </w:trPr>
        <w:tc>
          <w:tcPr>
            <w:tcW w:w="2808" w:type="dxa"/>
            <w:vMerge/>
            <w:tcBorders>
              <w:top w:val="single" w:sz="4" w:space="0" w:color="auto"/>
              <w:left w:val="single" w:sz="4" w:space="0" w:color="auto"/>
              <w:bottom w:val="single" w:sz="4" w:space="0" w:color="000000"/>
              <w:right w:val="single" w:sz="4" w:space="0" w:color="auto"/>
            </w:tcBorders>
            <w:vAlign w:val="center"/>
            <w:hideMark/>
          </w:tcPr>
          <w:p w14:paraId="5429EFA0" w14:textId="77777777" w:rsidR="000431DC" w:rsidRPr="000431DC" w:rsidRDefault="000431DC" w:rsidP="000431DC">
            <w:pPr>
              <w:rPr>
                <w:rFonts w:ascii="VIC" w:hAnsi="VIC"/>
                <w:b/>
                <w:bCs/>
                <w:color w:val="000000"/>
                <w:sz w:val="22"/>
                <w:szCs w:val="22"/>
                <w:lang w:eastAsia="en-AU"/>
              </w:rPr>
            </w:pPr>
          </w:p>
        </w:tc>
        <w:tc>
          <w:tcPr>
            <w:tcW w:w="1011" w:type="dxa"/>
            <w:tcBorders>
              <w:top w:val="nil"/>
              <w:left w:val="nil"/>
              <w:bottom w:val="single" w:sz="4" w:space="0" w:color="auto"/>
              <w:right w:val="single" w:sz="4" w:space="0" w:color="auto"/>
            </w:tcBorders>
            <w:shd w:val="clear" w:color="000000" w:fill="D9E1F2"/>
            <w:noWrap/>
            <w:vAlign w:val="bottom"/>
            <w:hideMark/>
          </w:tcPr>
          <w:p w14:paraId="67DAB05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4BAB733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0B70B42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7DBB9FC4"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21ED287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223696F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234AD9A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098D880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c>
          <w:tcPr>
            <w:tcW w:w="1011" w:type="dxa"/>
            <w:tcBorders>
              <w:top w:val="nil"/>
              <w:left w:val="nil"/>
              <w:bottom w:val="single" w:sz="4" w:space="0" w:color="auto"/>
              <w:right w:val="single" w:sz="4" w:space="0" w:color="auto"/>
            </w:tcBorders>
            <w:shd w:val="clear" w:color="000000" w:fill="D9E1F2"/>
            <w:noWrap/>
            <w:vAlign w:val="bottom"/>
            <w:hideMark/>
          </w:tcPr>
          <w:p w14:paraId="15A9627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000000" w:fill="D9E1F2"/>
            <w:noWrap/>
            <w:vAlign w:val="bottom"/>
            <w:hideMark/>
          </w:tcPr>
          <w:p w14:paraId="1E345AB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w:t>
            </w:r>
          </w:p>
        </w:tc>
      </w:tr>
      <w:tr w:rsidR="000431DC" w:rsidRPr="000431DC" w14:paraId="4AD223EA" w14:textId="77777777" w:rsidTr="00F80430">
        <w:trPr>
          <w:trHeight w:val="315"/>
        </w:trPr>
        <w:tc>
          <w:tcPr>
            <w:tcW w:w="11491" w:type="dxa"/>
            <w:gridSpan w:val="12"/>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687AD1DE" w14:textId="77777777" w:rsidR="000431DC" w:rsidRPr="000431DC" w:rsidRDefault="000431DC" w:rsidP="000431DC">
            <w:pPr>
              <w:rPr>
                <w:rFonts w:ascii="VIC" w:hAnsi="VIC"/>
                <w:i/>
                <w:iCs/>
                <w:color w:val="000000"/>
                <w:lang w:eastAsia="en-AU"/>
              </w:rPr>
            </w:pPr>
            <w:r w:rsidRPr="000431DC">
              <w:rPr>
                <w:rFonts w:ascii="VIC" w:hAnsi="VIC"/>
                <w:i/>
                <w:iCs/>
                <w:color w:val="000000"/>
                <w:lang w:eastAsia="en-AU"/>
              </w:rPr>
              <w:t>ECT hearings</w:t>
            </w:r>
          </w:p>
        </w:tc>
      </w:tr>
      <w:tr w:rsidR="000431DC" w:rsidRPr="000431DC" w14:paraId="026B51BA" w14:textId="77777777" w:rsidTr="00F80430">
        <w:trPr>
          <w:gridAfter w:val="1"/>
          <w:wAfter w:w="13" w:type="dxa"/>
          <w:trHeight w:val="285"/>
        </w:trPr>
        <w:tc>
          <w:tcPr>
            <w:tcW w:w="2808" w:type="dxa"/>
            <w:tcBorders>
              <w:top w:val="nil"/>
              <w:left w:val="single" w:sz="4" w:space="0" w:color="auto"/>
              <w:bottom w:val="single" w:sz="4" w:space="0" w:color="auto"/>
              <w:right w:val="single" w:sz="4" w:space="0" w:color="auto"/>
            </w:tcBorders>
            <w:shd w:val="clear" w:color="000000" w:fill="D9E1F2"/>
            <w:noWrap/>
            <w:vAlign w:val="bottom"/>
            <w:hideMark/>
          </w:tcPr>
          <w:p w14:paraId="7AB8A1EB"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Child (&lt; 18 years)</w:t>
            </w:r>
          </w:p>
        </w:tc>
        <w:tc>
          <w:tcPr>
            <w:tcW w:w="1011" w:type="dxa"/>
            <w:tcBorders>
              <w:top w:val="nil"/>
              <w:left w:val="nil"/>
              <w:bottom w:val="single" w:sz="4" w:space="0" w:color="auto"/>
              <w:right w:val="single" w:sz="4" w:space="0" w:color="auto"/>
            </w:tcBorders>
            <w:shd w:val="clear" w:color="auto" w:fill="auto"/>
            <w:noWrap/>
            <w:vAlign w:val="bottom"/>
            <w:hideMark/>
          </w:tcPr>
          <w:p w14:paraId="1828B36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w:t>
            </w:r>
          </w:p>
        </w:tc>
        <w:tc>
          <w:tcPr>
            <w:tcW w:w="723" w:type="dxa"/>
            <w:tcBorders>
              <w:top w:val="nil"/>
              <w:left w:val="nil"/>
              <w:bottom w:val="single" w:sz="4" w:space="0" w:color="auto"/>
              <w:right w:val="single" w:sz="4" w:space="0" w:color="auto"/>
            </w:tcBorders>
            <w:shd w:val="clear" w:color="auto" w:fill="auto"/>
            <w:noWrap/>
            <w:vAlign w:val="bottom"/>
            <w:hideMark/>
          </w:tcPr>
          <w:p w14:paraId="6C763F3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&lt; 1%</w:t>
            </w:r>
          </w:p>
        </w:tc>
        <w:tc>
          <w:tcPr>
            <w:tcW w:w="1011" w:type="dxa"/>
            <w:tcBorders>
              <w:top w:val="nil"/>
              <w:left w:val="nil"/>
              <w:bottom w:val="single" w:sz="4" w:space="0" w:color="auto"/>
              <w:right w:val="single" w:sz="4" w:space="0" w:color="auto"/>
            </w:tcBorders>
            <w:shd w:val="clear" w:color="auto" w:fill="auto"/>
            <w:noWrap/>
            <w:vAlign w:val="bottom"/>
            <w:hideMark/>
          </w:tcPr>
          <w:p w14:paraId="0F641CE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w:t>
            </w:r>
          </w:p>
        </w:tc>
        <w:tc>
          <w:tcPr>
            <w:tcW w:w="723" w:type="dxa"/>
            <w:tcBorders>
              <w:top w:val="nil"/>
              <w:left w:val="nil"/>
              <w:bottom w:val="single" w:sz="4" w:space="0" w:color="auto"/>
              <w:right w:val="single" w:sz="4" w:space="0" w:color="auto"/>
            </w:tcBorders>
            <w:shd w:val="clear" w:color="auto" w:fill="auto"/>
            <w:noWrap/>
            <w:vAlign w:val="bottom"/>
            <w:hideMark/>
          </w:tcPr>
          <w:p w14:paraId="0EB6014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w:t>
            </w:r>
          </w:p>
        </w:tc>
        <w:tc>
          <w:tcPr>
            <w:tcW w:w="1011" w:type="dxa"/>
            <w:tcBorders>
              <w:top w:val="nil"/>
              <w:left w:val="nil"/>
              <w:bottom w:val="single" w:sz="4" w:space="0" w:color="auto"/>
              <w:right w:val="single" w:sz="4" w:space="0" w:color="auto"/>
            </w:tcBorders>
            <w:shd w:val="clear" w:color="auto" w:fill="auto"/>
            <w:noWrap/>
            <w:vAlign w:val="bottom"/>
            <w:hideMark/>
          </w:tcPr>
          <w:p w14:paraId="775B79B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w:t>
            </w:r>
          </w:p>
        </w:tc>
        <w:tc>
          <w:tcPr>
            <w:tcW w:w="723" w:type="dxa"/>
            <w:tcBorders>
              <w:top w:val="nil"/>
              <w:left w:val="nil"/>
              <w:bottom w:val="single" w:sz="4" w:space="0" w:color="auto"/>
              <w:right w:val="single" w:sz="4" w:space="0" w:color="auto"/>
            </w:tcBorders>
            <w:shd w:val="clear" w:color="auto" w:fill="auto"/>
            <w:noWrap/>
            <w:vAlign w:val="bottom"/>
            <w:hideMark/>
          </w:tcPr>
          <w:p w14:paraId="0B5A91B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1011" w:type="dxa"/>
            <w:tcBorders>
              <w:top w:val="nil"/>
              <w:left w:val="nil"/>
              <w:bottom w:val="single" w:sz="4" w:space="0" w:color="auto"/>
              <w:right w:val="single" w:sz="4" w:space="0" w:color="auto"/>
            </w:tcBorders>
            <w:shd w:val="clear" w:color="auto" w:fill="auto"/>
            <w:noWrap/>
            <w:vAlign w:val="bottom"/>
            <w:hideMark/>
          </w:tcPr>
          <w:p w14:paraId="2C95FB85"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w:t>
            </w:r>
          </w:p>
        </w:tc>
        <w:tc>
          <w:tcPr>
            <w:tcW w:w="723" w:type="dxa"/>
            <w:tcBorders>
              <w:top w:val="nil"/>
              <w:left w:val="nil"/>
              <w:bottom w:val="single" w:sz="4" w:space="0" w:color="auto"/>
              <w:right w:val="single" w:sz="4" w:space="0" w:color="auto"/>
            </w:tcBorders>
            <w:shd w:val="clear" w:color="auto" w:fill="auto"/>
            <w:noWrap/>
            <w:vAlign w:val="bottom"/>
            <w:hideMark/>
          </w:tcPr>
          <w:p w14:paraId="10DEDA7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0%</w:t>
            </w:r>
          </w:p>
        </w:tc>
        <w:tc>
          <w:tcPr>
            <w:tcW w:w="1011" w:type="dxa"/>
            <w:tcBorders>
              <w:top w:val="nil"/>
              <w:left w:val="nil"/>
              <w:bottom w:val="single" w:sz="4" w:space="0" w:color="auto"/>
              <w:right w:val="single" w:sz="4" w:space="0" w:color="auto"/>
            </w:tcBorders>
            <w:shd w:val="clear" w:color="auto" w:fill="auto"/>
            <w:noWrap/>
            <w:vAlign w:val="bottom"/>
            <w:hideMark/>
          </w:tcPr>
          <w:p w14:paraId="506F9CB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9</w:t>
            </w:r>
          </w:p>
        </w:tc>
        <w:tc>
          <w:tcPr>
            <w:tcW w:w="723" w:type="dxa"/>
            <w:tcBorders>
              <w:top w:val="nil"/>
              <w:left w:val="nil"/>
              <w:bottom w:val="single" w:sz="4" w:space="0" w:color="auto"/>
              <w:right w:val="single" w:sz="4" w:space="0" w:color="auto"/>
            </w:tcBorders>
            <w:shd w:val="clear" w:color="auto" w:fill="auto"/>
            <w:noWrap/>
            <w:vAlign w:val="bottom"/>
            <w:hideMark/>
          </w:tcPr>
          <w:p w14:paraId="64DCB72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w:t>
            </w:r>
          </w:p>
        </w:tc>
      </w:tr>
      <w:tr w:rsidR="000431DC" w:rsidRPr="000431DC" w14:paraId="4A69BE28" w14:textId="77777777" w:rsidTr="00F80430">
        <w:trPr>
          <w:gridAfter w:val="1"/>
          <w:wAfter w:w="13" w:type="dxa"/>
          <w:trHeight w:val="285"/>
        </w:trPr>
        <w:tc>
          <w:tcPr>
            <w:tcW w:w="2808" w:type="dxa"/>
            <w:tcBorders>
              <w:top w:val="nil"/>
              <w:left w:val="single" w:sz="4" w:space="0" w:color="auto"/>
              <w:bottom w:val="single" w:sz="4" w:space="0" w:color="auto"/>
              <w:right w:val="single" w:sz="4" w:space="0" w:color="auto"/>
            </w:tcBorders>
            <w:shd w:val="clear" w:color="000000" w:fill="D9E1F2"/>
            <w:noWrap/>
            <w:vAlign w:val="bottom"/>
            <w:hideMark/>
          </w:tcPr>
          <w:p w14:paraId="6A2AF807"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Adult (18 to 64 years)</w:t>
            </w:r>
          </w:p>
        </w:tc>
        <w:tc>
          <w:tcPr>
            <w:tcW w:w="1011" w:type="dxa"/>
            <w:tcBorders>
              <w:top w:val="nil"/>
              <w:left w:val="nil"/>
              <w:bottom w:val="single" w:sz="4" w:space="0" w:color="auto"/>
              <w:right w:val="single" w:sz="4" w:space="0" w:color="auto"/>
            </w:tcBorders>
            <w:shd w:val="clear" w:color="auto" w:fill="auto"/>
            <w:noWrap/>
            <w:vAlign w:val="bottom"/>
            <w:hideMark/>
          </w:tcPr>
          <w:p w14:paraId="0D7A0BE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448</w:t>
            </w:r>
          </w:p>
        </w:tc>
        <w:tc>
          <w:tcPr>
            <w:tcW w:w="723" w:type="dxa"/>
            <w:tcBorders>
              <w:top w:val="nil"/>
              <w:left w:val="nil"/>
              <w:bottom w:val="single" w:sz="4" w:space="0" w:color="auto"/>
              <w:right w:val="single" w:sz="4" w:space="0" w:color="auto"/>
            </w:tcBorders>
            <w:shd w:val="clear" w:color="auto" w:fill="auto"/>
            <w:noWrap/>
            <w:vAlign w:val="bottom"/>
            <w:hideMark/>
          </w:tcPr>
          <w:p w14:paraId="1E26470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73%</w:t>
            </w:r>
          </w:p>
        </w:tc>
        <w:tc>
          <w:tcPr>
            <w:tcW w:w="1011" w:type="dxa"/>
            <w:tcBorders>
              <w:top w:val="nil"/>
              <w:left w:val="nil"/>
              <w:bottom w:val="single" w:sz="4" w:space="0" w:color="auto"/>
              <w:right w:val="single" w:sz="4" w:space="0" w:color="auto"/>
            </w:tcBorders>
            <w:shd w:val="clear" w:color="auto" w:fill="auto"/>
            <w:noWrap/>
            <w:vAlign w:val="bottom"/>
            <w:hideMark/>
          </w:tcPr>
          <w:p w14:paraId="3D7E8E7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483</w:t>
            </w:r>
          </w:p>
        </w:tc>
        <w:tc>
          <w:tcPr>
            <w:tcW w:w="723" w:type="dxa"/>
            <w:tcBorders>
              <w:top w:val="nil"/>
              <w:left w:val="nil"/>
              <w:bottom w:val="single" w:sz="4" w:space="0" w:color="auto"/>
              <w:right w:val="single" w:sz="4" w:space="0" w:color="auto"/>
            </w:tcBorders>
            <w:shd w:val="clear" w:color="auto" w:fill="auto"/>
            <w:noWrap/>
            <w:vAlign w:val="bottom"/>
            <w:hideMark/>
          </w:tcPr>
          <w:p w14:paraId="3B2B247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68%</w:t>
            </w:r>
          </w:p>
        </w:tc>
        <w:tc>
          <w:tcPr>
            <w:tcW w:w="1011" w:type="dxa"/>
            <w:tcBorders>
              <w:top w:val="nil"/>
              <w:left w:val="nil"/>
              <w:bottom w:val="single" w:sz="4" w:space="0" w:color="auto"/>
              <w:right w:val="single" w:sz="4" w:space="0" w:color="auto"/>
            </w:tcBorders>
            <w:shd w:val="clear" w:color="auto" w:fill="auto"/>
            <w:noWrap/>
            <w:vAlign w:val="bottom"/>
            <w:hideMark/>
          </w:tcPr>
          <w:p w14:paraId="01220761"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476</w:t>
            </w:r>
          </w:p>
        </w:tc>
        <w:tc>
          <w:tcPr>
            <w:tcW w:w="723" w:type="dxa"/>
            <w:tcBorders>
              <w:top w:val="nil"/>
              <w:left w:val="nil"/>
              <w:bottom w:val="single" w:sz="4" w:space="0" w:color="auto"/>
              <w:right w:val="single" w:sz="4" w:space="0" w:color="auto"/>
            </w:tcBorders>
            <w:shd w:val="clear" w:color="auto" w:fill="auto"/>
            <w:noWrap/>
            <w:vAlign w:val="bottom"/>
            <w:hideMark/>
          </w:tcPr>
          <w:p w14:paraId="1181BF2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69%</w:t>
            </w:r>
          </w:p>
        </w:tc>
        <w:tc>
          <w:tcPr>
            <w:tcW w:w="1011" w:type="dxa"/>
            <w:tcBorders>
              <w:top w:val="nil"/>
              <w:left w:val="nil"/>
              <w:bottom w:val="single" w:sz="4" w:space="0" w:color="auto"/>
              <w:right w:val="single" w:sz="4" w:space="0" w:color="auto"/>
            </w:tcBorders>
            <w:shd w:val="clear" w:color="auto" w:fill="auto"/>
            <w:noWrap/>
            <w:vAlign w:val="bottom"/>
            <w:hideMark/>
          </w:tcPr>
          <w:p w14:paraId="398FD7E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534</w:t>
            </w:r>
          </w:p>
        </w:tc>
        <w:tc>
          <w:tcPr>
            <w:tcW w:w="723" w:type="dxa"/>
            <w:tcBorders>
              <w:top w:val="nil"/>
              <w:left w:val="nil"/>
              <w:bottom w:val="single" w:sz="4" w:space="0" w:color="auto"/>
              <w:right w:val="single" w:sz="4" w:space="0" w:color="auto"/>
            </w:tcBorders>
            <w:shd w:val="clear" w:color="auto" w:fill="auto"/>
            <w:noWrap/>
            <w:vAlign w:val="bottom"/>
            <w:hideMark/>
          </w:tcPr>
          <w:p w14:paraId="5E5A5A8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70%</w:t>
            </w:r>
          </w:p>
        </w:tc>
        <w:tc>
          <w:tcPr>
            <w:tcW w:w="1011" w:type="dxa"/>
            <w:tcBorders>
              <w:top w:val="nil"/>
              <w:left w:val="nil"/>
              <w:bottom w:val="single" w:sz="4" w:space="0" w:color="auto"/>
              <w:right w:val="single" w:sz="4" w:space="0" w:color="auto"/>
            </w:tcBorders>
            <w:shd w:val="clear" w:color="auto" w:fill="auto"/>
            <w:noWrap/>
            <w:vAlign w:val="bottom"/>
            <w:hideMark/>
          </w:tcPr>
          <w:p w14:paraId="4B4F9F3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480</w:t>
            </w:r>
          </w:p>
        </w:tc>
        <w:tc>
          <w:tcPr>
            <w:tcW w:w="723" w:type="dxa"/>
            <w:tcBorders>
              <w:top w:val="nil"/>
              <w:left w:val="nil"/>
              <w:bottom w:val="single" w:sz="4" w:space="0" w:color="auto"/>
              <w:right w:val="single" w:sz="4" w:space="0" w:color="auto"/>
            </w:tcBorders>
            <w:shd w:val="clear" w:color="auto" w:fill="auto"/>
            <w:noWrap/>
            <w:vAlign w:val="bottom"/>
            <w:hideMark/>
          </w:tcPr>
          <w:p w14:paraId="489D023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67%</w:t>
            </w:r>
          </w:p>
        </w:tc>
      </w:tr>
      <w:tr w:rsidR="000431DC" w:rsidRPr="000431DC" w14:paraId="62413C0B" w14:textId="77777777" w:rsidTr="00F80430">
        <w:trPr>
          <w:gridAfter w:val="1"/>
          <w:wAfter w:w="13" w:type="dxa"/>
          <w:trHeight w:val="285"/>
        </w:trPr>
        <w:tc>
          <w:tcPr>
            <w:tcW w:w="2808" w:type="dxa"/>
            <w:tcBorders>
              <w:top w:val="nil"/>
              <w:left w:val="single" w:sz="4" w:space="0" w:color="auto"/>
              <w:bottom w:val="single" w:sz="4" w:space="0" w:color="auto"/>
              <w:right w:val="single" w:sz="4" w:space="0" w:color="auto"/>
            </w:tcBorders>
            <w:shd w:val="clear" w:color="000000" w:fill="D9E1F2"/>
            <w:noWrap/>
            <w:vAlign w:val="bottom"/>
            <w:hideMark/>
          </w:tcPr>
          <w:p w14:paraId="55B0F2C0"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Aged (&gt; 65 years)</w:t>
            </w:r>
          </w:p>
        </w:tc>
        <w:tc>
          <w:tcPr>
            <w:tcW w:w="1011" w:type="dxa"/>
            <w:tcBorders>
              <w:top w:val="nil"/>
              <w:left w:val="nil"/>
              <w:bottom w:val="single" w:sz="4" w:space="0" w:color="auto"/>
              <w:right w:val="single" w:sz="4" w:space="0" w:color="auto"/>
            </w:tcBorders>
            <w:shd w:val="clear" w:color="auto" w:fill="auto"/>
            <w:noWrap/>
            <w:vAlign w:val="bottom"/>
            <w:hideMark/>
          </w:tcPr>
          <w:p w14:paraId="005D910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167</w:t>
            </w:r>
          </w:p>
        </w:tc>
        <w:tc>
          <w:tcPr>
            <w:tcW w:w="723" w:type="dxa"/>
            <w:tcBorders>
              <w:top w:val="nil"/>
              <w:left w:val="nil"/>
              <w:bottom w:val="single" w:sz="4" w:space="0" w:color="auto"/>
              <w:right w:val="single" w:sz="4" w:space="0" w:color="auto"/>
            </w:tcBorders>
            <w:shd w:val="clear" w:color="auto" w:fill="auto"/>
            <w:noWrap/>
            <w:vAlign w:val="bottom"/>
            <w:hideMark/>
          </w:tcPr>
          <w:p w14:paraId="2090CABA"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27%</w:t>
            </w:r>
          </w:p>
        </w:tc>
        <w:tc>
          <w:tcPr>
            <w:tcW w:w="1011" w:type="dxa"/>
            <w:tcBorders>
              <w:top w:val="nil"/>
              <w:left w:val="nil"/>
              <w:bottom w:val="single" w:sz="4" w:space="0" w:color="auto"/>
              <w:right w:val="single" w:sz="4" w:space="0" w:color="auto"/>
            </w:tcBorders>
            <w:shd w:val="clear" w:color="auto" w:fill="auto"/>
            <w:noWrap/>
            <w:vAlign w:val="bottom"/>
            <w:hideMark/>
          </w:tcPr>
          <w:p w14:paraId="6DBE029B"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217</w:t>
            </w:r>
          </w:p>
        </w:tc>
        <w:tc>
          <w:tcPr>
            <w:tcW w:w="723" w:type="dxa"/>
            <w:tcBorders>
              <w:top w:val="nil"/>
              <w:left w:val="nil"/>
              <w:bottom w:val="single" w:sz="4" w:space="0" w:color="auto"/>
              <w:right w:val="single" w:sz="4" w:space="0" w:color="auto"/>
            </w:tcBorders>
            <w:shd w:val="clear" w:color="auto" w:fill="auto"/>
            <w:noWrap/>
            <w:vAlign w:val="bottom"/>
            <w:hideMark/>
          </w:tcPr>
          <w:p w14:paraId="2D76F603"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31%</w:t>
            </w:r>
          </w:p>
        </w:tc>
        <w:tc>
          <w:tcPr>
            <w:tcW w:w="1011" w:type="dxa"/>
            <w:tcBorders>
              <w:top w:val="nil"/>
              <w:left w:val="nil"/>
              <w:bottom w:val="single" w:sz="4" w:space="0" w:color="auto"/>
              <w:right w:val="single" w:sz="4" w:space="0" w:color="auto"/>
            </w:tcBorders>
            <w:shd w:val="clear" w:color="auto" w:fill="auto"/>
            <w:noWrap/>
            <w:vAlign w:val="bottom"/>
            <w:hideMark/>
          </w:tcPr>
          <w:p w14:paraId="47C894C0"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212</w:t>
            </w:r>
          </w:p>
        </w:tc>
        <w:tc>
          <w:tcPr>
            <w:tcW w:w="723" w:type="dxa"/>
            <w:tcBorders>
              <w:top w:val="nil"/>
              <w:left w:val="nil"/>
              <w:bottom w:val="single" w:sz="4" w:space="0" w:color="auto"/>
              <w:right w:val="single" w:sz="4" w:space="0" w:color="auto"/>
            </w:tcBorders>
            <w:shd w:val="clear" w:color="auto" w:fill="auto"/>
            <w:noWrap/>
            <w:vAlign w:val="bottom"/>
            <w:hideMark/>
          </w:tcPr>
          <w:p w14:paraId="74FF6469"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31%</w:t>
            </w:r>
          </w:p>
        </w:tc>
        <w:tc>
          <w:tcPr>
            <w:tcW w:w="1011" w:type="dxa"/>
            <w:tcBorders>
              <w:top w:val="nil"/>
              <w:left w:val="nil"/>
              <w:bottom w:val="single" w:sz="4" w:space="0" w:color="auto"/>
              <w:right w:val="single" w:sz="4" w:space="0" w:color="auto"/>
            </w:tcBorders>
            <w:shd w:val="clear" w:color="auto" w:fill="auto"/>
            <w:noWrap/>
            <w:vAlign w:val="bottom"/>
            <w:hideMark/>
          </w:tcPr>
          <w:p w14:paraId="04BC081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227</w:t>
            </w:r>
          </w:p>
        </w:tc>
        <w:tc>
          <w:tcPr>
            <w:tcW w:w="723" w:type="dxa"/>
            <w:tcBorders>
              <w:top w:val="nil"/>
              <w:left w:val="nil"/>
              <w:bottom w:val="single" w:sz="4" w:space="0" w:color="auto"/>
              <w:right w:val="single" w:sz="4" w:space="0" w:color="auto"/>
            </w:tcBorders>
            <w:shd w:val="clear" w:color="auto" w:fill="auto"/>
            <w:noWrap/>
            <w:vAlign w:val="bottom"/>
            <w:hideMark/>
          </w:tcPr>
          <w:p w14:paraId="3C8FC64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30%</w:t>
            </w:r>
          </w:p>
        </w:tc>
        <w:tc>
          <w:tcPr>
            <w:tcW w:w="1011" w:type="dxa"/>
            <w:tcBorders>
              <w:top w:val="nil"/>
              <w:left w:val="nil"/>
              <w:bottom w:val="single" w:sz="4" w:space="0" w:color="auto"/>
              <w:right w:val="single" w:sz="4" w:space="0" w:color="auto"/>
            </w:tcBorders>
            <w:shd w:val="clear" w:color="auto" w:fill="auto"/>
            <w:noWrap/>
            <w:vAlign w:val="bottom"/>
            <w:hideMark/>
          </w:tcPr>
          <w:p w14:paraId="72B777A6"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228</w:t>
            </w:r>
          </w:p>
        </w:tc>
        <w:tc>
          <w:tcPr>
            <w:tcW w:w="723" w:type="dxa"/>
            <w:tcBorders>
              <w:top w:val="nil"/>
              <w:left w:val="nil"/>
              <w:bottom w:val="single" w:sz="4" w:space="0" w:color="auto"/>
              <w:right w:val="single" w:sz="4" w:space="0" w:color="auto"/>
            </w:tcBorders>
            <w:shd w:val="clear" w:color="auto" w:fill="auto"/>
            <w:noWrap/>
            <w:vAlign w:val="bottom"/>
            <w:hideMark/>
          </w:tcPr>
          <w:p w14:paraId="037608E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32%</w:t>
            </w:r>
          </w:p>
        </w:tc>
      </w:tr>
      <w:tr w:rsidR="000431DC" w:rsidRPr="000431DC" w14:paraId="0F4D81CB" w14:textId="77777777" w:rsidTr="00F80430">
        <w:trPr>
          <w:gridAfter w:val="1"/>
          <w:wAfter w:w="13" w:type="dxa"/>
          <w:trHeight w:val="285"/>
        </w:trPr>
        <w:tc>
          <w:tcPr>
            <w:tcW w:w="2808" w:type="dxa"/>
            <w:tcBorders>
              <w:top w:val="nil"/>
              <w:left w:val="single" w:sz="4" w:space="0" w:color="auto"/>
              <w:bottom w:val="single" w:sz="4" w:space="0" w:color="auto"/>
              <w:right w:val="single" w:sz="4" w:space="0" w:color="auto"/>
            </w:tcBorders>
            <w:shd w:val="clear" w:color="000000" w:fill="D9E1F2"/>
            <w:noWrap/>
            <w:vAlign w:val="bottom"/>
            <w:hideMark/>
          </w:tcPr>
          <w:p w14:paraId="7BA96AED" w14:textId="77777777" w:rsidR="000431DC" w:rsidRPr="000431DC" w:rsidRDefault="000431DC" w:rsidP="000431DC">
            <w:pPr>
              <w:ind w:firstLineChars="200" w:firstLine="400"/>
              <w:rPr>
                <w:rFonts w:ascii="VIC" w:hAnsi="VIC"/>
                <w:color w:val="000000"/>
                <w:lang w:eastAsia="en-AU"/>
              </w:rPr>
            </w:pPr>
            <w:r w:rsidRPr="000431DC">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2D780CB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618</w:t>
            </w:r>
          </w:p>
        </w:tc>
        <w:tc>
          <w:tcPr>
            <w:tcW w:w="723" w:type="dxa"/>
            <w:tcBorders>
              <w:top w:val="nil"/>
              <w:left w:val="nil"/>
              <w:bottom w:val="single" w:sz="4" w:space="0" w:color="auto"/>
              <w:right w:val="single" w:sz="4" w:space="0" w:color="auto"/>
            </w:tcBorders>
            <w:shd w:val="clear" w:color="auto" w:fill="auto"/>
            <w:noWrap/>
            <w:vAlign w:val="bottom"/>
            <w:hideMark/>
          </w:tcPr>
          <w:p w14:paraId="718DBE9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5D5CACC"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710</w:t>
            </w:r>
          </w:p>
        </w:tc>
        <w:tc>
          <w:tcPr>
            <w:tcW w:w="723" w:type="dxa"/>
            <w:tcBorders>
              <w:top w:val="nil"/>
              <w:left w:val="nil"/>
              <w:bottom w:val="single" w:sz="4" w:space="0" w:color="auto"/>
              <w:right w:val="single" w:sz="4" w:space="0" w:color="auto"/>
            </w:tcBorders>
            <w:shd w:val="clear" w:color="auto" w:fill="auto"/>
            <w:noWrap/>
            <w:vAlign w:val="bottom"/>
            <w:hideMark/>
          </w:tcPr>
          <w:p w14:paraId="55D1DE6E"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F4F187F"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691</w:t>
            </w:r>
          </w:p>
        </w:tc>
        <w:tc>
          <w:tcPr>
            <w:tcW w:w="723" w:type="dxa"/>
            <w:tcBorders>
              <w:top w:val="nil"/>
              <w:left w:val="nil"/>
              <w:bottom w:val="single" w:sz="4" w:space="0" w:color="auto"/>
              <w:right w:val="single" w:sz="4" w:space="0" w:color="auto"/>
            </w:tcBorders>
            <w:shd w:val="clear" w:color="auto" w:fill="auto"/>
            <w:noWrap/>
            <w:vAlign w:val="bottom"/>
            <w:hideMark/>
          </w:tcPr>
          <w:p w14:paraId="486BA79D"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50A060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762</w:t>
            </w:r>
          </w:p>
        </w:tc>
        <w:tc>
          <w:tcPr>
            <w:tcW w:w="723" w:type="dxa"/>
            <w:tcBorders>
              <w:top w:val="nil"/>
              <w:left w:val="nil"/>
              <w:bottom w:val="single" w:sz="4" w:space="0" w:color="auto"/>
              <w:right w:val="single" w:sz="4" w:space="0" w:color="auto"/>
            </w:tcBorders>
            <w:shd w:val="clear" w:color="auto" w:fill="auto"/>
            <w:noWrap/>
            <w:vAlign w:val="bottom"/>
            <w:hideMark/>
          </w:tcPr>
          <w:p w14:paraId="4C962C22"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3827FC47"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717</w:t>
            </w:r>
          </w:p>
        </w:tc>
        <w:tc>
          <w:tcPr>
            <w:tcW w:w="723" w:type="dxa"/>
            <w:tcBorders>
              <w:top w:val="nil"/>
              <w:left w:val="nil"/>
              <w:bottom w:val="single" w:sz="4" w:space="0" w:color="auto"/>
              <w:right w:val="single" w:sz="4" w:space="0" w:color="auto"/>
            </w:tcBorders>
            <w:shd w:val="clear" w:color="auto" w:fill="auto"/>
            <w:noWrap/>
            <w:vAlign w:val="bottom"/>
            <w:hideMark/>
          </w:tcPr>
          <w:p w14:paraId="71060728" w14:textId="77777777" w:rsidR="000431DC" w:rsidRPr="000431DC" w:rsidRDefault="000431DC" w:rsidP="000431DC">
            <w:pPr>
              <w:jc w:val="center"/>
              <w:rPr>
                <w:rFonts w:ascii="VIC" w:hAnsi="VIC"/>
                <w:color w:val="000000"/>
                <w:lang w:eastAsia="en-AU"/>
              </w:rPr>
            </w:pPr>
            <w:r w:rsidRPr="000431DC">
              <w:rPr>
                <w:rFonts w:ascii="VIC" w:hAnsi="VIC"/>
                <w:color w:val="000000"/>
                <w:lang w:eastAsia="en-AU"/>
              </w:rPr>
              <w:t>100%</w:t>
            </w:r>
          </w:p>
        </w:tc>
      </w:tr>
    </w:tbl>
    <w:p w14:paraId="2B7910C1" w14:textId="0397D18D" w:rsidR="000431DC" w:rsidRDefault="000431DC" w:rsidP="00CB3B34">
      <w:pPr>
        <w:spacing w:after="200" w:line="276" w:lineRule="auto"/>
        <w:ind w:left="1440"/>
        <w:rPr>
          <w:rFonts w:asciiTheme="minorHAnsi" w:eastAsiaTheme="minorHAnsi" w:hAnsiTheme="minorHAnsi" w:cstheme="minorBidi"/>
          <w:sz w:val="22"/>
          <w:szCs w:val="22"/>
        </w:rPr>
      </w:pPr>
    </w:p>
    <w:p w14:paraId="52207333" w14:textId="77777777" w:rsidR="00FF504F" w:rsidRPr="00FF504F" w:rsidRDefault="00FF504F" w:rsidP="00FF504F">
      <w:pPr>
        <w:spacing w:after="200" w:line="276" w:lineRule="auto"/>
        <w:ind w:left="1440"/>
        <w:rPr>
          <w:rFonts w:asciiTheme="minorHAnsi" w:eastAsiaTheme="minorHAnsi" w:hAnsiTheme="minorHAnsi" w:cstheme="minorBidi"/>
          <w:sz w:val="22"/>
          <w:szCs w:val="22"/>
        </w:rPr>
      </w:pPr>
    </w:p>
    <w:tbl>
      <w:tblPr>
        <w:tblW w:w="12216" w:type="dxa"/>
        <w:tblInd w:w="1440" w:type="dxa"/>
        <w:tblLook w:val="04A0" w:firstRow="1" w:lastRow="0" w:firstColumn="1" w:lastColumn="0" w:noHBand="0" w:noVBand="1"/>
      </w:tblPr>
      <w:tblGrid>
        <w:gridCol w:w="3036"/>
        <w:gridCol w:w="1011"/>
        <w:gridCol w:w="978"/>
        <w:gridCol w:w="1011"/>
        <w:gridCol w:w="723"/>
        <w:gridCol w:w="1011"/>
        <w:gridCol w:w="723"/>
        <w:gridCol w:w="1011"/>
        <w:gridCol w:w="978"/>
        <w:gridCol w:w="1011"/>
        <w:gridCol w:w="723"/>
      </w:tblGrid>
      <w:tr w:rsidR="00FF504F" w:rsidRPr="00FF504F" w14:paraId="398C9672" w14:textId="77777777" w:rsidTr="00FF504F">
        <w:trPr>
          <w:trHeight w:val="315"/>
        </w:trPr>
        <w:tc>
          <w:tcPr>
            <w:tcW w:w="3036"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bottom"/>
            <w:hideMark/>
          </w:tcPr>
          <w:p w14:paraId="41F0597C" w14:textId="6E0C8AB6" w:rsidR="00FF504F" w:rsidRPr="00FF504F" w:rsidRDefault="00FF504F" w:rsidP="00FF504F">
            <w:pPr>
              <w:rPr>
                <w:rFonts w:ascii="VIC" w:hAnsi="VIC"/>
                <w:b/>
                <w:bCs/>
                <w:color w:val="000000"/>
                <w:lang w:eastAsia="en-AU"/>
              </w:rPr>
            </w:pPr>
            <w:r>
              <w:rPr>
                <w:rFonts w:ascii="VIC" w:hAnsi="VIC"/>
                <w:b/>
                <w:bCs/>
                <w:color w:val="000000"/>
                <w:lang w:eastAsia="en-AU"/>
              </w:rPr>
              <w:t>DIAGNOSI</w:t>
            </w:r>
            <w:r w:rsidRPr="00FF504F">
              <w:rPr>
                <w:rFonts w:ascii="VIC" w:hAnsi="VIC"/>
                <w:b/>
                <w:bCs/>
                <w:color w:val="000000"/>
                <w:lang w:eastAsia="en-AU"/>
              </w:rPr>
              <w:t>S</w:t>
            </w:r>
          </w:p>
        </w:tc>
        <w:tc>
          <w:tcPr>
            <w:tcW w:w="1989"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3CA5C60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1/7/2014 - 30/6/2015</w:t>
            </w:r>
          </w:p>
        </w:tc>
        <w:tc>
          <w:tcPr>
            <w:tcW w:w="1734"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3EAC096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1/7/2015 - 30/6/2016</w:t>
            </w:r>
          </w:p>
        </w:tc>
        <w:tc>
          <w:tcPr>
            <w:tcW w:w="1734"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68F0EFE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1/7/2016 - 30/6/2017</w:t>
            </w:r>
          </w:p>
        </w:tc>
        <w:tc>
          <w:tcPr>
            <w:tcW w:w="1989"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7E317CE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1/7/2017 - 30/6/2018</w:t>
            </w:r>
          </w:p>
        </w:tc>
        <w:tc>
          <w:tcPr>
            <w:tcW w:w="1734"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14:paraId="4B91F5B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1/6/2018 - 31/5/2019</w:t>
            </w:r>
          </w:p>
        </w:tc>
      </w:tr>
      <w:tr w:rsidR="00FF504F" w:rsidRPr="00FF504F" w14:paraId="725B02B4" w14:textId="77777777" w:rsidTr="00FF504F">
        <w:trPr>
          <w:trHeight w:val="285"/>
        </w:trPr>
        <w:tc>
          <w:tcPr>
            <w:tcW w:w="3036" w:type="dxa"/>
            <w:vMerge/>
            <w:tcBorders>
              <w:top w:val="single" w:sz="4" w:space="0" w:color="auto"/>
              <w:left w:val="single" w:sz="4" w:space="0" w:color="auto"/>
              <w:bottom w:val="single" w:sz="4" w:space="0" w:color="000000"/>
              <w:right w:val="single" w:sz="4" w:space="0" w:color="auto"/>
            </w:tcBorders>
            <w:vAlign w:val="center"/>
            <w:hideMark/>
          </w:tcPr>
          <w:p w14:paraId="61745DE4" w14:textId="77777777" w:rsidR="00FF504F" w:rsidRPr="00FF504F" w:rsidRDefault="00FF504F" w:rsidP="00FF504F">
            <w:pPr>
              <w:rPr>
                <w:rFonts w:ascii="VIC" w:hAnsi="VIC"/>
                <w:b/>
                <w:bCs/>
                <w:color w:val="000000"/>
                <w:lang w:eastAsia="en-AU"/>
              </w:rPr>
            </w:pP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4842E2C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978" w:type="dxa"/>
            <w:tcBorders>
              <w:top w:val="nil"/>
              <w:left w:val="nil"/>
              <w:bottom w:val="single" w:sz="4" w:space="0" w:color="auto"/>
              <w:right w:val="single" w:sz="4" w:space="0" w:color="auto"/>
            </w:tcBorders>
            <w:shd w:val="clear" w:color="auto" w:fill="DBE5F1" w:themeFill="accent1" w:themeFillTint="33"/>
            <w:vAlign w:val="bottom"/>
            <w:hideMark/>
          </w:tcPr>
          <w:p w14:paraId="4903865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2744EC4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auto" w:fill="DBE5F1" w:themeFill="accent1" w:themeFillTint="33"/>
            <w:vAlign w:val="bottom"/>
            <w:hideMark/>
          </w:tcPr>
          <w:p w14:paraId="1A2A311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5FAB425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auto" w:fill="DBE5F1" w:themeFill="accent1" w:themeFillTint="33"/>
            <w:vAlign w:val="bottom"/>
            <w:hideMark/>
          </w:tcPr>
          <w:p w14:paraId="481DA3E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3426B981"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978" w:type="dxa"/>
            <w:tcBorders>
              <w:top w:val="nil"/>
              <w:left w:val="nil"/>
              <w:bottom w:val="single" w:sz="4" w:space="0" w:color="auto"/>
              <w:right w:val="single" w:sz="4" w:space="0" w:color="auto"/>
            </w:tcBorders>
            <w:shd w:val="clear" w:color="auto" w:fill="DBE5F1" w:themeFill="accent1" w:themeFillTint="33"/>
            <w:vAlign w:val="bottom"/>
            <w:hideMark/>
          </w:tcPr>
          <w:p w14:paraId="4CA74DB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c>
          <w:tcPr>
            <w:tcW w:w="1011" w:type="dxa"/>
            <w:tcBorders>
              <w:top w:val="nil"/>
              <w:left w:val="nil"/>
              <w:bottom w:val="single" w:sz="4" w:space="0" w:color="auto"/>
              <w:right w:val="single" w:sz="4" w:space="0" w:color="auto"/>
            </w:tcBorders>
            <w:shd w:val="clear" w:color="auto" w:fill="DBE5F1" w:themeFill="accent1" w:themeFillTint="33"/>
            <w:vAlign w:val="bottom"/>
            <w:hideMark/>
          </w:tcPr>
          <w:p w14:paraId="495E87F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Number</w:t>
            </w:r>
          </w:p>
        </w:tc>
        <w:tc>
          <w:tcPr>
            <w:tcW w:w="723" w:type="dxa"/>
            <w:tcBorders>
              <w:top w:val="nil"/>
              <w:left w:val="nil"/>
              <w:bottom w:val="single" w:sz="4" w:space="0" w:color="auto"/>
              <w:right w:val="single" w:sz="4" w:space="0" w:color="auto"/>
            </w:tcBorders>
            <w:shd w:val="clear" w:color="auto" w:fill="DBE5F1" w:themeFill="accent1" w:themeFillTint="33"/>
            <w:vAlign w:val="bottom"/>
            <w:hideMark/>
          </w:tcPr>
          <w:p w14:paraId="4A92873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w:t>
            </w:r>
          </w:p>
        </w:tc>
      </w:tr>
      <w:tr w:rsidR="00FF504F" w:rsidRPr="00FF504F" w14:paraId="36B5CAFF" w14:textId="77777777" w:rsidTr="00FF504F">
        <w:trPr>
          <w:trHeight w:val="285"/>
        </w:trPr>
        <w:tc>
          <w:tcPr>
            <w:tcW w:w="12216" w:type="dxa"/>
            <w:gridSpan w:val="11"/>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4F60269A" w14:textId="16583EAF" w:rsidR="00FF504F" w:rsidRPr="00FF504F" w:rsidRDefault="00FF504F" w:rsidP="00FF504F">
            <w:pPr>
              <w:rPr>
                <w:rFonts w:ascii="VIC" w:hAnsi="VIC"/>
                <w:i/>
                <w:color w:val="000000"/>
                <w:lang w:eastAsia="en-AU"/>
              </w:rPr>
            </w:pPr>
            <w:r>
              <w:rPr>
                <w:rFonts w:ascii="VIC" w:hAnsi="VIC"/>
                <w:i/>
                <w:color w:val="000000"/>
                <w:lang w:eastAsia="en-AU"/>
              </w:rPr>
              <w:t>ECT hearings</w:t>
            </w:r>
          </w:p>
        </w:tc>
      </w:tr>
      <w:tr w:rsidR="00FF504F" w:rsidRPr="00FF504F" w14:paraId="3FD60B75" w14:textId="77777777" w:rsidTr="00FF504F">
        <w:trPr>
          <w:trHeight w:val="285"/>
        </w:trPr>
        <w:tc>
          <w:tcPr>
            <w:tcW w:w="3036"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7E81E97"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Schizo-Affective disorder</w:t>
            </w:r>
          </w:p>
        </w:tc>
        <w:tc>
          <w:tcPr>
            <w:tcW w:w="1011" w:type="dxa"/>
            <w:tcBorders>
              <w:top w:val="nil"/>
              <w:left w:val="nil"/>
              <w:bottom w:val="single" w:sz="4" w:space="0" w:color="auto"/>
              <w:right w:val="single" w:sz="4" w:space="0" w:color="auto"/>
            </w:tcBorders>
            <w:shd w:val="clear" w:color="auto" w:fill="auto"/>
            <w:noWrap/>
            <w:vAlign w:val="bottom"/>
            <w:hideMark/>
          </w:tcPr>
          <w:p w14:paraId="2EEA63D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170</w:t>
            </w:r>
          </w:p>
        </w:tc>
        <w:tc>
          <w:tcPr>
            <w:tcW w:w="978" w:type="dxa"/>
            <w:tcBorders>
              <w:top w:val="nil"/>
              <w:left w:val="nil"/>
              <w:bottom w:val="single" w:sz="4" w:space="0" w:color="auto"/>
              <w:right w:val="single" w:sz="4" w:space="0" w:color="auto"/>
            </w:tcBorders>
            <w:shd w:val="clear" w:color="auto" w:fill="auto"/>
            <w:noWrap/>
            <w:vAlign w:val="bottom"/>
            <w:hideMark/>
          </w:tcPr>
          <w:p w14:paraId="710518E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28%</w:t>
            </w:r>
          </w:p>
        </w:tc>
        <w:tc>
          <w:tcPr>
            <w:tcW w:w="1011" w:type="dxa"/>
            <w:tcBorders>
              <w:top w:val="nil"/>
              <w:left w:val="nil"/>
              <w:bottom w:val="single" w:sz="4" w:space="0" w:color="auto"/>
              <w:right w:val="single" w:sz="4" w:space="0" w:color="auto"/>
            </w:tcBorders>
            <w:shd w:val="clear" w:color="auto" w:fill="auto"/>
            <w:noWrap/>
            <w:vAlign w:val="bottom"/>
            <w:hideMark/>
          </w:tcPr>
          <w:p w14:paraId="6B99420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230</w:t>
            </w:r>
          </w:p>
        </w:tc>
        <w:tc>
          <w:tcPr>
            <w:tcW w:w="723" w:type="dxa"/>
            <w:tcBorders>
              <w:top w:val="nil"/>
              <w:left w:val="nil"/>
              <w:bottom w:val="single" w:sz="4" w:space="0" w:color="auto"/>
              <w:right w:val="single" w:sz="4" w:space="0" w:color="auto"/>
            </w:tcBorders>
            <w:shd w:val="clear" w:color="auto" w:fill="auto"/>
            <w:noWrap/>
            <w:vAlign w:val="bottom"/>
            <w:hideMark/>
          </w:tcPr>
          <w:p w14:paraId="718757A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32%</w:t>
            </w:r>
          </w:p>
        </w:tc>
        <w:tc>
          <w:tcPr>
            <w:tcW w:w="1011" w:type="dxa"/>
            <w:tcBorders>
              <w:top w:val="nil"/>
              <w:left w:val="nil"/>
              <w:bottom w:val="single" w:sz="4" w:space="0" w:color="auto"/>
              <w:right w:val="single" w:sz="4" w:space="0" w:color="auto"/>
            </w:tcBorders>
            <w:shd w:val="clear" w:color="auto" w:fill="auto"/>
            <w:noWrap/>
            <w:vAlign w:val="bottom"/>
            <w:hideMark/>
          </w:tcPr>
          <w:p w14:paraId="703B137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146</w:t>
            </w:r>
          </w:p>
        </w:tc>
        <w:tc>
          <w:tcPr>
            <w:tcW w:w="723" w:type="dxa"/>
            <w:tcBorders>
              <w:top w:val="nil"/>
              <w:left w:val="nil"/>
              <w:bottom w:val="single" w:sz="4" w:space="0" w:color="auto"/>
              <w:right w:val="single" w:sz="4" w:space="0" w:color="auto"/>
            </w:tcBorders>
            <w:shd w:val="clear" w:color="auto" w:fill="auto"/>
            <w:noWrap/>
            <w:vAlign w:val="bottom"/>
            <w:hideMark/>
          </w:tcPr>
          <w:p w14:paraId="256675B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21%</w:t>
            </w:r>
          </w:p>
        </w:tc>
        <w:tc>
          <w:tcPr>
            <w:tcW w:w="1011" w:type="dxa"/>
            <w:tcBorders>
              <w:top w:val="nil"/>
              <w:left w:val="nil"/>
              <w:bottom w:val="single" w:sz="4" w:space="0" w:color="auto"/>
              <w:right w:val="single" w:sz="4" w:space="0" w:color="auto"/>
            </w:tcBorders>
            <w:shd w:val="clear" w:color="auto" w:fill="auto"/>
            <w:noWrap/>
            <w:vAlign w:val="bottom"/>
            <w:hideMark/>
          </w:tcPr>
          <w:p w14:paraId="66BE3A2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201</w:t>
            </w:r>
          </w:p>
        </w:tc>
        <w:tc>
          <w:tcPr>
            <w:tcW w:w="978" w:type="dxa"/>
            <w:tcBorders>
              <w:top w:val="nil"/>
              <w:left w:val="nil"/>
              <w:bottom w:val="single" w:sz="4" w:space="0" w:color="auto"/>
              <w:right w:val="single" w:sz="4" w:space="0" w:color="auto"/>
            </w:tcBorders>
            <w:shd w:val="clear" w:color="auto" w:fill="auto"/>
            <w:noWrap/>
            <w:vAlign w:val="bottom"/>
            <w:hideMark/>
          </w:tcPr>
          <w:p w14:paraId="2AC9DA1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26%</w:t>
            </w:r>
          </w:p>
        </w:tc>
        <w:tc>
          <w:tcPr>
            <w:tcW w:w="1011" w:type="dxa"/>
            <w:tcBorders>
              <w:top w:val="nil"/>
              <w:left w:val="nil"/>
              <w:bottom w:val="single" w:sz="4" w:space="0" w:color="auto"/>
              <w:right w:val="single" w:sz="4" w:space="0" w:color="auto"/>
            </w:tcBorders>
            <w:shd w:val="clear" w:color="auto" w:fill="auto"/>
            <w:noWrap/>
            <w:vAlign w:val="bottom"/>
            <w:hideMark/>
          </w:tcPr>
          <w:p w14:paraId="1CC14C40"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191</w:t>
            </w:r>
          </w:p>
        </w:tc>
        <w:tc>
          <w:tcPr>
            <w:tcW w:w="723" w:type="dxa"/>
            <w:tcBorders>
              <w:top w:val="nil"/>
              <w:left w:val="nil"/>
              <w:bottom w:val="single" w:sz="4" w:space="0" w:color="auto"/>
              <w:right w:val="single" w:sz="4" w:space="0" w:color="auto"/>
            </w:tcBorders>
            <w:shd w:val="clear" w:color="auto" w:fill="auto"/>
            <w:noWrap/>
            <w:vAlign w:val="bottom"/>
            <w:hideMark/>
          </w:tcPr>
          <w:p w14:paraId="3E96F231"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27%</w:t>
            </w:r>
          </w:p>
        </w:tc>
      </w:tr>
      <w:tr w:rsidR="00FF504F" w:rsidRPr="00FF504F" w14:paraId="3356ABD6" w14:textId="77777777" w:rsidTr="00FF504F">
        <w:trPr>
          <w:trHeight w:val="285"/>
        </w:trPr>
        <w:tc>
          <w:tcPr>
            <w:tcW w:w="3036"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1825030"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Schizophrenia</w:t>
            </w:r>
          </w:p>
        </w:tc>
        <w:tc>
          <w:tcPr>
            <w:tcW w:w="1011" w:type="dxa"/>
            <w:tcBorders>
              <w:top w:val="nil"/>
              <w:left w:val="nil"/>
              <w:bottom w:val="single" w:sz="4" w:space="0" w:color="auto"/>
              <w:right w:val="single" w:sz="4" w:space="0" w:color="auto"/>
            </w:tcBorders>
            <w:shd w:val="clear" w:color="auto" w:fill="auto"/>
            <w:noWrap/>
            <w:vAlign w:val="bottom"/>
            <w:hideMark/>
          </w:tcPr>
          <w:p w14:paraId="4F4AFC41"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159</w:t>
            </w:r>
          </w:p>
        </w:tc>
        <w:tc>
          <w:tcPr>
            <w:tcW w:w="978" w:type="dxa"/>
            <w:tcBorders>
              <w:top w:val="nil"/>
              <w:left w:val="nil"/>
              <w:bottom w:val="single" w:sz="4" w:space="0" w:color="auto"/>
              <w:right w:val="single" w:sz="4" w:space="0" w:color="auto"/>
            </w:tcBorders>
            <w:shd w:val="clear" w:color="auto" w:fill="auto"/>
            <w:noWrap/>
            <w:vAlign w:val="bottom"/>
            <w:hideMark/>
          </w:tcPr>
          <w:p w14:paraId="0ABC3A02"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26%</w:t>
            </w:r>
          </w:p>
        </w:tc>
        <w:tc>
          <w:tcPr>
            <w:tcW w:w="1011" w:type="dxa"/>
            <w:tcBorders>
              <w:top w:val="nil"/>
              <w:left w:val="nil"/>
              <w:bottom w:val="single" w:sz="4" w:space="0" w:color="auto"/>
              <w:right w:val="single" w:sz="4" w:space="0" w:color="auto"/>
            </w:tcBorders>
            <w:shd w:val="clear" w:color="auto" w:fill="auto"/>
            <w:noWrap/>
            <w:vAlign w:val="bottom"/>
            <w:hideMark/>
          </w:tcPr>
          <w:p w14:paraId="720A23E2"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173</w:t>
            </w:r>
          </w:p>
        </w:tc>
        <w:tc>
          <w:tcPr>
            <w:tcW w:w="723" w:type="dxa"/>
            <w:tcBorders>
              <w:top w:val="nil"/>
              <w:left w:val="nil"/>
              <w:bottom w:val="single" w:sz="4" w:space="0" w:color="auto"/>
              <w:right w:val="single" w:sz="4" w:space="0" w:color="auto"/>
            </w:tcBorders>
            <w:shd w:val="clear" w:color="auto" w:fill="auto"/>
            <w:noWrap/>
            <w:vAlign w:val="bottom"/>
            <w:hideMark/>
          </w:tcPr>
          <w:p w14:paraId="0A0F880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24%</w:t>
            </w:r>
          </w:p>
        </w:tc>
        <w:tc>
          <w:tcPr>
            <w:tcW w:w="1011" w:type="dxa"/>
            <w:tcBorders>
              <w:top w:val="nil"/>
              <w:left w:val="nil"/>
              <w:bottom w:val="single" w:sz="4" w:space="0" w:color="auto"/>
              <w:right w:val="single" w:sz="4" w:space="0" w:color="auto"/>
            </w:tcBorders>
            <w:shd w:val="clear" w:color="auto" w:fill="auto"/>
            <w:noWrap/>
            <w:vAlign w:val="bottom"/>
            <w:hideMark/>
          </w:tcPr>
          <w:p w14:paraId="10E2DA0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188</w:t>
            </w:r>
          </w:p>
        </w:tc>
        <w:tc>
          <w:tcPr>
            <w:tcW w:w="723" w:type="dxa"/>
            <w:tcBorders>
              <w:top w:val="nil"/>
              <w:left w:val="nil"/>
              <w:bottom w:val="single" w:sz="4" w:space="0" w:color="auto"/>
              <w:right w:val="single" w:sz="4" w:space="0" w:color="auto"/>
            </w:tcBorders>
            <w:shd w:val="clear" w:color="auto" w:fill="auto"/>
            <w:noWrap/>
            <w:vAlign w:val="bottom"/>
            <w:hideMark/>
          </w:tcPr>
          <w:p w14:paraId="69D3E63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27%</w:t>
            </w:r>
          </w:p>
        </w:tc>
        <w:tc>
          <w:tcPr>
            <w:tcW w:w="1011" w:type="dxa"/>
            <w:tcBorders>
              <w:top w:val="nil"/>
              <w:left w:val="nil"/>
              <w:bottom w:val="single" w:sz="4" w:space="0" w:color="auto"/>
              <w:right w:val="single" w:sz="4" w:space="0" w:color="auto"/>
            </w:tcBorders>
            <w:shd w:val="clear" w:color="auto" w:fill="auto"/>
            <w:noWrap/>
            <w:vAlign w:val="bottom"/>
            <w:hideMark/>
          </w:tcPr>
          <w:p w14:paraId="0133760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194</w:t>
            </w:r>
          </w:p>
        </w:tc>
        <w:tc>
          <w:tcPr>
            <w:tcW w:w="978" w:type="dxa"/>
            <w:tcBorders>
              <w:top w:val="nil"/>
              <w:left w:val="nil"/>
              <w:bottom w:val="single" w:sz="4" w:space="0" w:color="auto"/>
              <w:right w:val="single" w:sz="4" w:space="0" w:color="auto"/>
            </w:tcBorders>
            <w:shd w:val="clear" w:color="auto" w:fill="auto"/>
            <w:noWrap/>
            <w:vAlign w:val="bottom"/>
            <w:hideMark/>
          </w:tcPr>
          <w:p w14:paraId="2E434D7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25%</w:t>
            </w:r>
          </w:p>
        </w:tc>
        <w:tc>
          <w:tcPr>
            <w:tcW w:w="1011" w:type="dxa"/>
            <w:tcBorders>
              <w:top w:val="nil"/>
              <w:left w:val="nil"/>
              <w:bottom w:val="single" w:sz="4" w:space="0" w:color="auto"/>
              <w:right w:val="single" w:sz="4" w:space="0" w:color="auto"/>
            </w:tcBorders>
            <w:shd w:val="clear" w:color="auto" w:fill="auto"/>
            <w:noWrap/>
            <w:vAlign w:val="bottom"/>
            <w:hideMark/>
          </w:tcPr>
          <w:p w14:paraId="66FFE283"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199</w:t>
            </w:r>
          </w:p>
        </w:tc>
        <w:tc>
          <w:tcPr>
            <w:tcW w:w="723" w:type="dxa"/>
            <w:tcBorders>
              <w:top w:val="nil"/>
              <w:left w:val="nil"/>
              <w:bottom w:val="single" w:sz="4" w:space="0" w:color="auto"/>
              <w:right w:val="single" w:sz="4" w:space="0" w:color="auto"/>
            </w:tcBorders>
            <w:shd w:val="clear" w:color="auto" w:fill="auto"/>
            <w:noWrap/>
            <w:vAlign w:val="bottom"/>
            <w:hideMark/>
          </w:tcPr>
          <w:p w14:paraId="01A1B2D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28%</w:t>
            </w:r>
          </w:p>
        </w:tc>
      </w:tr>
      <w:tr w:rsidR="00FF504F" w:rsidRPr="00FF504F" w14:paraId="0C4AD146" w14:textId="77777777" w:rsidTr="00FF504F">
        <w:trPr>
          <w:trHeight w:val="285"/>
        </w:trPr>
        <w:tc>
          <w:tcPr>
            <w:tcW w:w="3036"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F0B0065"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Depressive disorders</w:t>
            </w:r>
          </w:p>
        </w:tc>
        <w:tc>
          <w:tcPr>
            <w:tcW w:w="1011" w:type="dxa"/>
            <w:tcBorders>
              <w:top w:val="nil"/>
              <w:left w:val="nil"/>
              <w:bottom w:val="single" w:sz="4" w:space="0" w:color="auto"/>
              <w:right w:val="single" w:sz="4" w:space="0" w:color="auto"/>
            </w:tcBorders>
            <w:shd w:val="clear" w:color="auto" w:fill="auto"/>
            <w:noWrap/>
            <w:vAlign w:val="bottom"/>
            <w:hideMark/>
          </w:tcPr>
          <w:p w14:paraId="041AE4E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144</w:t>
            </w:r>
          </w:p>
        </w:tc>
        <w:tc>
          <w:tcPr>
            <w:tcW w:w="978" w:type="dxa"/>
            <w:tcBorders>
              <w:top w:val="nil"/>
              <w:left w:val="nil"/>
              <w:bottom w:val="single" w:sz="4" w:space="0" w:color="auto"/>
              <w:right w:val="single" w:sz="4" w:space="0" w:color="auto"/>
            </w:tcBorders>
            <w:shd w:val="clear" w:color="auto" w:fill="auto"/>
            <w:noWrap/>
            <w:vAlign w:val="bottom"/>
            <w:hideMark/>
          </w:tcPr>
          <w:p w14:paraId="16CBD7E2"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23%</w:t>
            </w:r>
          </w:p>
        </w:tc>
        <w:tc>
          <w:tcPr>
            <w:tcW w:w="1011" w:type="dxa"/>
            <w:tcBorders>
              <w:top w:val="nil"/>
              <w:left w:val="nil"/>
              <w:bottom w:val="single" w:sz="4" w:space="0" w:color="auto"/>
              <w:right w:val="single" w:sz="4" w:space="0" w:color="auto"/>
            </w:tcBorders>
            <w:shd w:val="clear" w:color="auto" w:fill="auto"/>
            <w:noWrap/>
            <w:vAlign w:val="bottom"/>
            <w:hideMark/>
          </w:tcPr>
          <w:p w14:paraId="2525BB27"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128</w:t>
            </w:r>
          </w:p>
        </w:tc>
        <w:tc>
          <w:tcPr>
            <w:tcW w:w="723" w:type="dxa"/>
            <w:tcBorders>
              <w:top w:val="nil"/>
              <w:left w:val="nil"/>
              <w:bottom w:val="single" w:sz="4" w:space="0" w:color="auto"/>
              <w:right w:val="single" w:sz="4" w:space="0" w:color="auto"/>
            </w:tcBorders>
            <w:shd w:val="clear" w:color="auto" w:fill="auto"/>
            <w:noWrap/>
            <w:vAlign w:val="bottom"/>
            <w:hideMark/>
          </w:tcPr>
          <w:p w14:paraId="3389924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18%</w:t>
            </w:r>
          </w:p>
        </w:tc>
        <w:tc>
          <w:tcPr>
            <w:tcW w:w="1011" w:type="dxa"/>
            <w:tcBorders>
              <w:top w:val="nil"/>
              <w:left w:val="nil"/>
              <w:bottom w:val="single" w:sz="4" w:space="0" w:color="auto"/>
              <w:right w:val="single" w:sz="4" w:space="0" w:color="auto"/>
            </w:tcBorders>
            <w:shd w:val="clear" w:color="auto" w:fill="auto"/>
            <w:noWrap/>
            <w:vAlign w:val="bottom"/>
            <w:hideMark/>
          </w:tcPr>
          <w:p w14:paraId="3FBDC4D0"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163</w:t>
            </w:r>
          </w:p>
        </w:tc>
        <w:tc>
          <w:tcPr>
            <w:tcW w:w="723" w:type="dxa"/>
            <w:tcBorders>
              <w:top w:val="nil"/>
              <w:left w:val="nil"/>
              <w:bottom w:val="single" w:sz="4" w:space="0" w:color="auto"/>
              <w:right w:val="single" w:sz="4" w:space="0" w:color="auto"/>
            </w:tcBorders>
            <w:shd w:val="clear" w:color="auto" w:fill="auto"/>
            <w:noWrap/>
            <w:vAlign w:val="bottom"/>
            <w:hideMark/>
          </w:tcPr>
          <w:p w14:paraId="6E3429E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24%</w:t>
            </w:r>
          </w:p>
        </w:tc>
        <w:tc>
          <w:tcPr>
            <w:tcW w:w="1011" w:type="dxa"/>
            <w:tcBorders>
              <w:top w:val="nil"/>
              <w:left w:val="nil"/>
              <w:bottom w:val="single" w:sz="4" w:space="0" w:color="auto"/>
              <w:right w:val="single" w:sz="4" w:space="0" w:color="auto"/>
            </w:tcBorders>
            <w:shd w:val="clear" w:color="auto" w:fill="auto"/>
            <w:noWrap/>
            <w:vAlign w:val="bottom"/>
            <w:hideMark/>
          </w:tcPr>
          <w:p w14:paraId="623960D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165</w:t>
            </w:r>
          </w:p>
        </w:tc>
        <w:tc>
          <w:tcPr>
            <w:tcW w:w="978" w:type="dxa"/>
            <w:tcBorders>
              <w:top w:val="nil"/>
              <w:left w:val="nil"/>
              <w:bottom w:val="single" w:sz="4" w:space="0" w:color="auto"/>
              <w:right w:val="single" w:sz="4" w:space="0" w:color="auto"/>
            </w:tcBorders>
            <w:shd w:val="clear" w:color="auto" w:fill="auto"/>
            <w:noWrap/>
            <w:vAlign w:val="bottom"/>
            <w:hideMark/>
          </w:tcPr>
          <w:p w14:paraId="4E44AF6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22%</w:t>
            </w:r>
          </w:p>
        </w:tc>
        <w:tc>
          <w:tcPr>
            <w:tcW w:w="1011" w:type="dxa"/>
            <w:tcBorders>
              <w:top w:val="nil"/>
              <w:left w:val="nil"/>
              <w:bottom w:val="single" w:sz="4" w:space="0" w:color="auto"/>
              <w:right w:val="single" w:sz="4" w:space="0" w:color="auto"/>
            </w:tcBorders>
            <w:shd w:val="clear" w:color="auto" w:fill="auto"/>
            <w:noWrap/>
            <w:vAlign w:val="bottom"/>
            <w:hideMark/>
          </w:tcPr>
          <w:p w14:paraId="3C0A156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144</w:t>
            </w:r>
          </w:p>
        </w:tc>
        <w:tc>
          <w:tcPr>
            <w:tcW w:w="723" w:type="dxa"/>
            <w:tcBorders>
              <w:top w:val="nil"/>
              <w:left w:val="nil"/>
              <w:bottom w:val="single" w:sz="4" w:space="0" w:color="auto"/>
              <w:right w:val="single" w:sz="4" w:space="0" w:color="auto"/>
            </w:tcBorders>
            <w:shd w:val="clear" w:color="auto" w:fill="auto"/>
            <w:noWrap/>
            <w:vAlign w:val="bottom"/>
            <w:hideMark/>
          </w:tcPr>
          <w:p w14:paraId="69E4DEF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20%</w:t>
            </w:r>
          </w:p>
        </w:tc>
      </w:tr>
      <w:tr w:rsidR="00FF504F" w:rsidRPr="00FF504F" w14:paraId="39C701FF" w14:textId="77777777" w:rsidTr="00FF504F">
        <w:trPr>
          <w:trHeight w:val="285"/>
        </w:trPr>
        <w:tc>
          <w:tcPr>
            <w:tcW w:w="3036"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D4B239A"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Bipolar disorder</w:t>
            </w:r>
          </w:p>
        </w:tc>
        <w:tc>
          <w:tcPr>
            <w:tcW w:w="1011" w:type="dxa"/>
            <w:tcBorders>
              <w:top w:val="nil"/>
              <w:left w:val="nil"/>
              <w:bottom w:val="single" w:sz="4" w:space="0" w:color="auto"/>
              <w:right w:val="single" w:sz="4" w:space="0" w:color="auto"/>
            </w:tcBorders>
            <w:shd w:val="clear" w:color="auto" w:fill="auto"/>
            <w:noWrap/>
            <w:vAlign w:val="bottom"/>
            <w:hideMark/>
          </w:tcPr>
          <w:p w14:paraId="36A19520"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96</w:t>
            </w:r>
          </w:p>
        </w:tc>
        <w:tc>
          <w:tcPr>
            <w:tcW w:w="978" w:type="dxa"/>
            <w:tcBorders>
              <w:top w:val="nil"/>
              <w:left w:val="nil"/>
              <w:bottom w:val="single" w:sz="4" w:space="0" w:color="auto"/>
              <w:right w:val="single" w:sz="4" w:space="0" w:color="auto"/>
            </w:tcBorders>
            <w:shd w:val="clear" w:color="auto" w:fill="auto"/>
            <w:noWrap/>
            <w:vAlign w:val="bottom"/>
            <w:hideMark/>
          </w:tcPr>
          <w:p w14:paraId="6FE2BFB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16%</w:t>
            </w:r>
          </w:p>
        </w:tc>
        <w:tc>
          <w:tcPr>
            <w:tcW w:w="1011" w:type="dxa"/>
            <w:tcBorders>
              <w:top w:val="nil"/>
              <w:left w:val="nil"/>
              <w:bottom w:val="single" w:sz="4" w:space="0" w:color="auto"/>
              <w:right w:val="single" w:sz="4" w:space="0" w:color="auto"/>
            </w:tcBorders>
            <w:shd w:val="clear" w:color="auto" w:fill="auto"/>
            <w:noWrap/>
            <w:vAlign w:val="bottom"/>
            <w:hideMark/>
          </w:tcPr>
          <w:p w14:paraId="68E1E08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115</w:t>
            </w:r>
          </w:p>
        </w:tc>
        <w:tc>
          <w:tcPr>
            <w:tcW w:w="723" w:type="dxa"/>
            <w:tcBorders>
              <w:top w:val="nil"/>
              <w:left w:val="nil"/>
              <w:bottom w:val="single" w:sz="4" w:space="0" w:color="auto"/>
              <w:right w:val="single" w:sz="4" w:space="0" w:color="auto"/>
            </w:tcBorders>
            <w:shd w:val="clear" w:color="auto" w:fill="auto"/>
            <w:noWrap/>
            <w:vAlign w:val="bottom"/>
            <w:hideMark/>
          </w:tcPr>
          <w:p w14:paraId="3C70012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16%</w:t>
            </w:r>
          </w:p>
        </w:tc>
        <w:tc>
          <w:tcPr>
            <w:tcW w:w="1011" w:type="dxa"/>
            <w:tcBorders>
              <w:top w:val="nil"/>
              <w:left w:val="nil"/>
              <w:bottom w:val="single" w:sz="4" w:space="0" w:color="auto"/>
              <w:right w:val="single" w:sz="4" w:space="0" w:color="auto"/>
            </w:tcBorders>
            <w:shd w:val="clear" w:color="auto" w:fill="auto"/>
            <w:noWrap/>
            <w:vAlign w:val="bottom"/>
            <w:hideMark/>
          </w:tcPr>
          <w:p w14:paraId="2FE8E1AD"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107</w:t>
            </w:r>
          </w:p>
        </w:tc>
        <w:tc>
          <w:tcPr>
            <w:tcW w:w="723" w:type="dxa"/>
            <w:tcBorders>
              <w:top w:val="nil"/>
              <w:left w:val="nil"/>
              <w:bottom w:val="single" w:sz="4" w:space="0" w:color="auto"/>
              <w:right w:val="single" w:sz="4" w:space="0" w:color="auto"/>
            </w:tcBorders>
            <w:shd w:val="clear" w:color="auto" w:fill="auto"/>
            <w:noWrap/>
            <w:vAlign w:val="bottom"/>
            <w:hideMark/>
          </w:tcPr>
          <w:p w14:paraId="14267FA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15%</w:t>
            </w:r>
          </w:p>
        </w:tc>
        <w:tc>
          <w:tcPr>
            <w:tcW w:w="1011" w:type="dxa"/>
            <w:tcBorders>
              <w:top w:val="nil"/>
              <w:left w:val="nil"/>
              <w:bottom w:val="single" w:sz="4" w:space="0" w:color="auto"/>
              <w:right w:val="single" w:sz="4" w:space="0" w:color="auto"/>
            </w:tcBorders>
            <w:shd w:val="clear" w:color="auto" w:fill="auto"/>
            <w:noWrap/>
            <w:vAlign w:val="bottom"/>
            <w:hideMark/>
          </w:tcPr>
          <w:p w14:paraId="23FB8F9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114</w:t>
            </w:r>
          </w:p>
        </w:tc>
        <w:tc>
          <w:tcPr>
            <w:tcW w:w="978" w:type="dxa"/>
            <w:tcBorders>
              <w:top w:val="nil"/>
              <w:left w:val="nil"/>
              <w:bottom w:val="single" w:sz="4" w:space="0" w:color="auto"/>
              <w:right w:val="single" w:sz="4" w:space="0" w:color="auto"/>
            </w:tcBorders>
            <w:shd w:val="clear" w:color="auto" w:fill="auto"/>
            <w:noWrap/>
            <w:vAlign w:val="bottom"/>
            <w:hideMark/>
          </w:tcPr>
          <w:p w14:paraId="04C08BF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15%</w:t>
            </w:r>
          </w:p>
        </w:tc>
        <w:tc>
          <w:tcPr>
            <w:tcW w:w="1011" w:type="dxa"/>
            <w:tcBorders>
              <w:top w:val="nil"/>
              <w:left w:val="nil"/>
              <w:bottom w:val="single" w:sz="4" w:space="0" w:color="auto"/>
              <w:right w:val="single" w:sz="4" w:space="0" w:color="auto"/>
            </w:tcBorders>
            <w:shd w:val="clear" w:color="auto" w:fill="auto"/>
            <w:noWrap/>
            <w:vAlign w:val="bottom"/>
            <w:hideMark/>
          </w:tcPr>
          <w:p w14:paraId="69C6631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102</w:t>
            </w:r>
          </w:p>
        </w:tc>
        <w:tc>
          <w:tcPr>
            <w:tcW w:w="723" w:type="dxa"/>
            <w:tcBorders>
              <w:top w:val="nil"/>
              <w:left w:val="nil"/>
              <w:bottom w:val="single" w:sz="4" w:space="0" w:color="auto"/>
              <w:right w:val="single" w:sz="4" w:space="0" w:color="auto"/>
            </w:tcBorders>
            <w:shd w:val="clear" w:color="auto" w:fill="auto"/>
            <w:noWrap/>
            <w:vAlign w:val="bottom"/>
            <w:hideMark/>
          </w:tcPr>
          <w:p w14:paraId="7AD4337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14%</w:t>
            </w:r>
          </w:p>
        </w:tc>
      </w:tr>
      <w:tr w:rsidR="00FF504F" w:rsidRPr="00FF504F" w14:paraId="4AAB3CCF" w14:textId="77777777" w:rsidTr="00FF504F">
        <w:trPr>
          <w:trHeight w:val="285"/>
        </w:trPr>
        <w:tc>
          <w:tcPr>
            <w:tcW w:w="3036"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2A45C18"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Other</w:t>
            </w:r>
          </w:p>
        </w:tc>
        <w:tc>
          <w:tcPr>
            <w:tcW w:w="1011" w:type="dxa"/>
            <w:tcBorders>
              <w:top w:val="nil"/>
              <w:left w:val="nil"/>
              <w:bottom w:val="single" w:sz="4" w:space="0" w:color="auto"/>
              <w:right w:val="single" w:sz="4" w:space="0" w:color="auto"/>
            </w:tcBorders>
            <w:shd w:val="clear" w:color="auto" w:fill="auto"/>
            <w:noWrap/>
            <w:vAlign w:val="bottom"/>
            <w:hideMark/>
          </w:tcPr>
          <w:p w14:paraId="166DD100"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49</w:t>
            </w:r>
          </w:p>
        </w:tc>
        <w:tc>
          <w:tcPr>
            <w:tcW w:w="978" w:type="dxa"/>
            <w:tcBorders>
              <w:top w:val="nil"/>
              <w:left w:val="nil"/>
              <w:bottom w:val="single" w:sz="4" w:space="0" w:color="auto"/>
              <w:right w:val="single" w:sz="4" w:space="0" w:color="auto"/>
            </w:tcBorders>
            <w:shd w:val="clear" w:color="auto" w:fill="auto"/>
            <w:noWrap/>
            <w:vAlign w:val="bottom"/>
            <w:hideMark/>
          </w:tcPr>
          <w:p w14:paraId="0DF79D0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8%</w:t>
            </w:r>
          </w:p>
        </w:tc>
        <w:tc>
          <w:tcPr>
            <w:tcW w:w="1011" w:type="dxa"/>
            <w:tcBorders>
              <w:top w:val="nil"/>
              <w:left w:val="nil"/>
              <w:bottom w:val="single" w:sz="4" w:space="0" w:color="auto"/>
              <w:right w:val="single" w:sz="4" w:space="0" w:color="auto"/>
            </w:tcBorders>
            <w:shd w:val="clear" w:color="auto" w:fill="auto"/>
            <w:noWrap/>
            <w:vAlign w:val="bottom"/>
            <w:hideMark/>
          </w:tcPr>
          <w:p w14:paraId="6F4FFFF0"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64</w:t>
            </w:r>
          </w:p>
        </w:tc>
        <w:tc>
          <w:tcPr>
            <w:tcW w:w="723" w:type="dxa"/>
            <w:tcBorders>
              <w:top w:val="nil"/>
              <w:left w:val="nil"/>
              <w:bottom w:val="single" w:sz="4" w:space="0" w:color="auto"/>
              <w:right w:val="single" w:sz="4" w:space="0" w:color="auto"/>
            </w:tcBorders>
            <w:shd w:val="clear" w:color="auto" w:fill="auto"/>
            <w:noWrap/>
            <w:vAlign w:val="bottom"/>
            <w:hideMark/>
          </w:tcPr>
          <w:p w14:paraId="6B1A97B1"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9%</w:t>
            </w:r>
          </w:p>
        </w:tc>
        <w:tc>
          <w:tcPr>
            <w:tcW w:w="1011" w:type="dxa"/>
            <w:tcBorders>
              <w:top w:val="nil"/>
              <w:left w:val="nil"/>
              <w:bottom w:val="single" w:sz="4" w:space="0" w:color="auto"/>
              <w:right w:val="single" w:sz="4" w:space="0" w:color="auto"/>
            </w:tcBorders>
            <w:shd w:val="clear" w:color="auto" w:fill="auto"/>
            <w:noWrap/>
            <w:vAlign w:val="bottom"/>
            <w:hideMark/>
          </w:tcPr>
          <w:p w14:paraId="763A44B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87</w:t>
            </w:r>
          </w:p>
        </w:tc>
        <w:tc>
          <w:tcPr>
            <w:tcW w:w="723" w:type="dxa"/>
            <w:tcBorders>
              <w:top w:val="nil"/>
              <w:left w:val="nil"/>
              <w:bottom w:val="single" w:sz="4" w:space="0" w:color="auto"/>
              <w:right w:val="single" w:sz="4" w:space="0" w:color="auto"/>
            </w:tcBorders>
            <w:shd w:val="clear" w:color="auto" w:fill="auto"/>
            <w:noWrap/>
            <w:vAlign w:val="bottom"/>
            <w:hideMark/>
          </w:tcPr>
          <w:p w14:paraId="346B9546"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13%</w:t>
            </w:r>
          </w:p>
        </w:tc>
        <w:tc>
          <w:tcPr>
            <w:tcW w:w="1011" w:type="dxa"/>
            <w:tcBorders>
              <w:top w:val="nil"/>
              <w:left w:val="nil"/>
              <w:bottom w:val="single" w:sz="4" w:space="0" w:color="auto"/>
              <w:right w:val="single" w:sz="4" w:space="0" w:color="auto"/>
            </w:tcBorders>
            <w:shd w:val="clear" w:color="auto" w:fill="auto"/>
            <w:noWrap/>
            <w:vAlign w:val="bottom"/>
            <w:hideMark/>
          </w:tcPr>
          <w:p w14:paraId="1E4A6218"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88</w:t>
            </w:r>
          </w:p>
        </w:tc>
        <w:tc>
          <w:tcPr>
            <w:tcW w:w="978" w:type="dxa"/>
            <w:tcBorders>
              <w:top w:val="nil"/>
              <w:left w:val="nil"/>
              <w:bottom w:val="single" w:sz="4" w:space="0" w:color="auto"/>
              <w:right w:val="single" w:sz="4" w:space="0" w:color="auto"/>
            </w:tcBorders>
            <w:shd w:val="clear" w:color="auto" w:fill="auto"/>
            <w:noWrap/>
            <w:vAlign w:val="bottom"/>
            <w:hideMark/>
          </w:tcPr>
          <w:p w14:paraId="26A1E70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12%</w:t>
            </w:r>
          </w:p>
        </w:tc>
        <w:tc>
          <w:tcPr>
            <w:tcW w:w="1011" w:type="dxa"/>
            <w:tcBorders>
              <w:top w:val="nil"/>
              <w:left w:val="nil"/>
              <w:bottom w:val="single" w:sz="4" w:space="0" w:color="auto"/>
              <w:right w:val="single" w:sz="4" w:space="0" w:color="auto"/>
            </w:tcBorders>
            <w:shd w:val="clear" w:color="auto" w:fill="auto"/>
            <w:noWrap/>
            <w:vAlign w:val="bottom"/>
            <w:hideMark/>
          </w:tcPr>
          <w:p w14:paraId="2C287C6A"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81</w:t>
            </w:r>
          </w:p>
        </w:tc>
        <w:tc>
          <w:tcPr>
            <w:tcW w:w="723" w:type="dxa"/>
            <w:tcBorders>
              <w:top w:val="nil"/>
              <w:left w:val="nil"/>
              <w:bottom w:val="single" w:sz="4" w:space="0" w:color="auto"/>
              <w:right w:val="single" w:sz="4" w:space="0" w:color="auto"/>
            </w:tcBorders>
            <w:shd w:val="clear" w:color="auto" w:fill="auto"/>
            <w:noWrap/>
            <w:vAlign w:val="bottom"/>
            <w:hideMark/>
          </w:tcPr>
          <w:p w14:paraId="2839C0E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11%</w:t>
            </w:r>
          </w:p>
        </w:tc>
      </w:tr>
      <w:tr w:rsidR="00FF504F" w:rsidRPr="00FF504F" w14:paraId="7E92C85B" w14:textId="77777777" w:rsidTr="00FF504F">
        <w:trPr>
          <w:trHeight w:val="285"/>
        </w:trPr>
        <w:tc>
          <w:tcPr>
            <w:tcW w:w="3036"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6489C94" w14:textId="77777777" w:rsidR="00FF504F" w:rsidRPr="00FF504F" w:rsidRDefault="00FF504F" w:rsidP="00FF504F">
            <w:pPr>
              <w:ind w:firstLineChars="100" w:firstLine="200"/>
              <w:rPr>
                <w:rFonts w:ascii="VIC" w:hAnsi="VIC"/>
                <w:color w:val="000000"/>
                <w:lang w:eastAsia="en-AU"/>
              </w:rPr>
            </w:pPr>
            <w:r w:rsidRPr="00FF504F">
              <w:rPr>
                <w:rFonts w:ascii="VIC" w:hAnsi="VIC"/>
                <w:color w:val="000000"/>
                <w:lang w:eastAsia="en-AU"/>
              </w:rPr>
              <w:t>Total</w:t>
            </w:r>
          </w:p>
        </w:tc>
        <w:tc>
          <w:tcPr>
            <w:tcW w:w="1011" w:type="dxa"/>
            <w:tcBorders>
              <w:top w:val="nil"/>
              <w:left w:val="nil"/>
              <w:bottom w:val="single" w:sz="4" w:space="0" w:color="auto"/>
              <w:right w:val="single" w:sz="4" w:space="0" w:color="auto"/>
            </w:tcBorders>
            <w:shd w:val="clear" w:color="auto" w:fill="auto"/>
            <w:noWrap/>
            <w:vAlign w:val="bottom"/>
            <w:hideMark/>
          </w:tcPr>
          <w:p w14:paraId="4AABA94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618</w:t>
            </w:r>
          </w:p>
        </w:tc>
        <w:tc>
          <w:tcPr>
            <w:tcW w:w="978" w:type="dxa"/>
            <w:tcBorders>
              <w:top w:val="nil"/>
              <w:left w:val="nil"/>
              <w:bottom w:val="single" w:sz="4" w:space="0" w:color="auto"/>
              <w:right w:val="single" w:sz="4" w:space="0" w:color="auto"/>
            </w:tcBorders>
            <w:shd w:val="clear" w:color="auto" w:fill="auto"/>
            <w:noWrap/>
            <w:vAlign w:val="bottom"/>
            <w:hideMark/>
          </w:tcPr>
          <w:p w14:paraId="368964D4"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4FEDEBA9"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710</w:t>
            </w:r>
          </w:p>
        </w:tc>
        <w:tc>
          <w:tcPr>
            <w:tcW w:w="723" w:type="dxa"/>
            <w:tcBorders>
              <w:top w:val="nil"/>
              <w:left w:val="nil"/>
              <w:bottom w:val="single" w:sz="4" w:space="0" w:color="auto"/>
              <w:right w:val="single" w:sz="4" w:space="0" w:color="auto"/>
            </w:tcBorders>
            <w:shd w:val="clear" w:color="auto" w:fill="auto"/>
            <w:noWrap/>
            <w:vAlign w:val="bottom"/>
            <w:hideMark/>
          </w:tcPr>
          <w:p w14:paraId="757699A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61F13451"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691</w:t>
            </w:r>
          </w:p>
        </w:tc>
        <w:tc>
          <w:tcPr>
            <w:tcW w:w="723" w:type="dxa"/>
            <w:tcBorders>
              <w:top w:val="nil"/>
              <w:left w:val="nil"/>
              <w:bottom w:val="single" w:sz="4" w:space="0" w:color="auto"/>
              <w:right w:val="single" w:sz="4" w:space="0" w:color="auto"/>
            </w:tcBorders>
            <w:shd w:val="clear" w:color="auto" w:fill="auto"/>
            <w:noWrap/>
            <w:vAlign w:val="bottom"/>
            <w:hideMark/>
          </w:tcPr>
          <w:p w14:paraId="7D70FE7C"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72DFCCEF"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762</w:t>
            </w:r>
          </w:p>
        </w:tc>
        <w:tc>
          <w:tcPr>
            <w:tcW w:w="978" w:type="dxa"/>
            <w:tcBorders>
              <w:top w:val="nil"/>
              <w:left w:val="nil"/>
              <w:bottom w:val="single" w:sz="4" w:space="0" w:color="auto"/>
              <w:right w:val="single" w:sz="4" w:space="0" w:color="auto"/>
            </w:tcBorders>
            <w:shd w:val="clear" w:color="auto" w:fill="auto"/>
            <w:noWrap/>
            <w:vAlign w:val="bottom"/>
            <w:hideMark/>
          </w:tcPr>
          <w:p w14:paraId="0EC5F0A0"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c>
          <w:tcPr>
            <w:tcW w:w="1011" w:type="dxa"/>
            <w:tcBorders>
              <w:top w:val="nil"/>
              <w:left w:val="nil"/>
              <w:bottom w:val="single" w:sz="4" w:space="0" w:color="auto"/>
              <w:right w:val="single" w:sz="4" w:space="0" w:color="auto"/>
            </w:tcBorders>
            <w:shd w:val="clear" w:color="auto" w:fill="auto"/>
            <w:noWrap/>
            <w:vAlign w:val="bottom"/>
            <w:hideMark/>
          </w:tcPr>
          <w:p w14:paraId="5AACF115"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718</w:t>
            </w:r>
          </w:p>
        </w:tc>
        <w:tc>
          <w:tcPr>
            <w:tcW w:w="723" w:type="dxa"/>
            <w:tcBorders>
              <w:top w:val="nil"/>
              <w:left w:val="nil"/>
              <w:bottom w:val="single" w:sz="4" w:space="0" w:color="auto"/>
              <w:right w:val="single" w:sz="4" w:space="0" w:color="auto"/>
            </w:tcBorders>
            <w:shd w:val="clear" w:color="auto" w:fill="auto"/>
            <w:noWrap/>
            <w:vAlign w:val="bottom"/>
            <w:hideMark/>
          </w:tcPr>
          <w:p w14:paraId="37A98CFE" w14:textId="77777777" w:rsidR="00FF504F" w:rsidRPr="00FF504F" w:rsidRDefault="00FF504F" w:rsidP="00FF504F">
            <w:pPr>
              <w:jc w:val="center"/>
              <w:rPr>
                <w:rFonts w:ascii="VIC" w:hAnsi="VIC"/>
                <w:color w:val="000000"/>
                <w:lang w:eastAsia="en-AU"/>
              </w:rPr>
            </w:pPr>
            <w:r w:rsidRPr="00FF504F">
              <w:rPr>
                <w:rFonts w:ascii="VIC" w:hAnsi="VIC"/>
                <w:color w:val="000000"/>
                <w:lang w:eastAsia="en-AU"/>
              </w:rPr>
              <w:t>100%</w:t>
            </w:r>
          </w:p>
        </w:tc>
      </w:tr>
    </w:tbl>
    <w:p w14:paraId="601D5453" w14:textId="77777777" w:rsidR="00FF504F" w:rsidRPr="00FF504F" w:rsidRDefault="00FF504F" w:rsidP="00FF504F">
      <w:pPr>
        <w:spacing w:after="200" w:line="276" w:lineRule="auto"/>
        <w:ind w:left="1440"/>
        <w:rPr>
          <w:rFonts w:asciiTheme="minorHAnsi" w:eastAsiaTheme="minorHAnsi" w:hAnsiTheme="minorHAnsi" w:cstheme="minorBidi"/>
          <w:sz w:val="22"/>
          <w:szCs w:val="22"/>
        </w:rPr>
      </w:pPr>
    </w:p>
    <w:p w14:paraId="2D032542" w14:textId="77777777" w:rsidR="000431DC" w:rsidRPr="000431DC" w:rsidRDefault="000431DC" w:rsidP="00F80430">
      <w:pPr>
        <w:spacing w:after="200" w:line="276" w:lineRule="auto"/>
        <w:ind w:left="1440"/>
        <w:rPr>
          <w:rFonts w:asciiTheme="minorHAnsi" w:eastAsiaTheme="minorHAnsi" w:hAnsiTheme="minorHAnsi" w:cstheme="minorBidi"/>
          <w:sz w:val="22"/>
          <w:szCs w:val="22"/>
        </w:rPr>
      </w:pPr>
    </w:p>
    <w:p w14:paraId="1CFE3A49" w14:textId="77777777" w:rsidR="000431DC" w:rsidRDefault="000431DC"/>
    <w:sectPr w:rsidR="000431DC" w:rsidSect="000431DC">
      <w:pgSz w:w="16838" w:h="11906" w:orient="landscape" w:code="9"/>
      <w:pgMar w:top="720" w:right="720" w:bottom="720" w:left="720" w:header="567" w:footer="510" w:gutter="0"/>
      <w:pgNumType w:fmt="lowerRoman" w:start="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6D490" w14:textId="77777777" w:rsidR="009F005A" w:rsidRDefault="009F005A">
      <w:r>
        <w:separator/>
      </w:r>
    </w:p>
  </w:endnote>
  <w:endnote w:type="continuationSeparator" w:id="0">
    <w:p w14:paraId="320CF0B9" w14:textId="77777777" w:rsidR="009F005A" w:rsidRDefault="009F0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wis721 BT">
    <w:altName w:val="Segoe Script"/>
    <w:charset w:val="00"/>
    <w:family w:val="swiss"/>
    <w:pitch w:val="variable"/>
    <w:sig w:usb0="00000087" w:usb1="00000000" w:usb2="00000000" w:usb3="00000000" w:csb0="0000001B"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E867B" w14:textId="1F8C83C7" w:rsidR="009F005A" w:rsidRPr="00A11421" w:rsidRDefault="009F005A" w:rsidP="00BC557B">
    <w:pPr>
      <w:pStyle w:val="MHRCfooter"/>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838758"/>
      <w:docPartObj>
        <w:docPartGallery w:val="Page Numbers (Bottom of Page)"/>
        <w:docPartUnique/>
      </w:docPartObj>
    </w:sdtPr>
    <w:sdtEndPr/>
    <w:sdtContent>
      <w:p w14:paraId="2185D78B" w14:textId="7CC7AA47" w:rsidR="009F005A" w:rsidRDefault="009F005A">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0891708" w14:textId="44729A25" w:rsidR="009F005A" w:rsidRPr="00A11421" w:rsidRDefault="009F005A" w:rsidP="00BC557B">
    <w:pPr>
      <w:pStyle w:val="MHRC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766DE" w14:textId="77777777" w:rsidR="009F005A" w:rsidRDefault="009F005A" w:rsidP="002862F1">
      <w:pPr>
        <w:spacing w:before="120"/>
      </w:pPr>
      <w:r>
        <w:separator/>
      </w:r>
    </w:p>
  </w:footnote>
  <w:footnote w:type="continuationSeparator" w:id="0">
    <w:p w14:paraId="0A5A736A" w14:textId="77777777" w:rsidR="009F005A" w:rsidRDefault="009F005A">
      <w:r>
        <w:continuationSeparator/>
      </w:r>
    </w:p>
  </w:footnote>
  <w:footnote w:id="1">
    <w:p w14:paraId="27083DFF" w14:textId="2252ED4C" w:rsidR="009F005A" w:rsidRDefault="009F005A" w:rsidP="00F81B37">
      <w:pPr>
        <w:pStyle w:val="FootnoteText"/>
        <w:spacing w:line="240" w:lineRule="auto"/>
        <w:contextualSpacing/>
        <w:jc w:val="both"/>
      </w:pPr>
      <w:r>
        <w:rPr>
          <w:rStyle w:val="FootnoteReference"/>
        </w:rPr>
        <w:footnoteRef/>
      </w:r>
      <w:r>
        <w:t xml:space="preserve"> ‘The power to restrict a person’s rights, such as to provide compulsory treatment or to limit a person’s freedom of movement, brings with it an obligation to ensure that any restrictions can be justified, are proportionate and include effective oversight and safeguards. The bill establishes a comprehensive and integrated suite of oversight mechanisms and safeguards to protect the rights of patients’. </w:t>
      </w:r>
    </w:p>
    <w:p w14:paraId="3BF4FF3C" w14:textId="023F3116" w:rsidR="009F005A" w:rsidRDefault="009F005A" w:rsidP="00F81B37">
      <w:pPr>
        <w:pStyle w:val="FootnoteText"/>
        <w:spacing w:line="240" w:lineRule="auto"/>
        <w:contextualSpacing/>
        <w:jc w:val="both"/>
      </w:pPr>
      <w:r w:rsidRPr="00FC3960">
        <w:t>Mental Health Bill 2014, Second Reading Speech, House of Assembly, Minister Wooldridge, Thursday, 20 February 2014, p. 473.</w:t>
      </w:r>
    </w:p>
  </w:footnote>
  <w:footnote w:id="2">
    <w:p w14:paraId="0591AAB2" w14:textId="6AF38EB1" w:rsidR="009F005A" w:rsidRDefault="009F005A" w:rsidP="00F81B37">
      <w:pPr>
        <w:pStyle w:val="FootnoteText"/>
        <w:spacing w:line="240" w:lineRule="auto"/>
        <w:contextualSpacing/>
      </w:pPr>
      <w:r>
        <w:rPr>
          <w:rStyle w:val="FootnoteReference"/>
        </w:rPr>
        <w:footnoteRef/>
      </w:r>
      <w:r>
        <w:t xml:space="preserve"> Section 11(3).</w:t>
      </w:r>
    </w:p>
  </w:footnote>
  <w:footnote w:id="3">
    <w:p w14:paraId="26C13937" w14:textId="645225B6" w:rsidR="009F005A" w:rsidRDefault="009F005A" w:rsidP="00F81B37">
      <w:pPr>
        <w:pStyle w:val="FootnoteText"/>
        <w:spacing w:line="240" w:lineRule="auto"/>
        <w:contextualSpacing/>
      </w:pPr>
      <w:r>
        <w:rPr>
          <w:rStyle w:val="FootnoteReference"/>
        </w:rPr>
        <w:footnoteRef/>
      </w:r>
      <w:r>
        <w:t xml:space="preserve"> See for example </w:t>
      </w:r>
      <w:r w:rsidRPr="008D3610">
        <w:rPr>
          <w:i/>
        </w:rPr>
        <w:t xml:space="preserve">PBU </w:t>
      </w:r>
      <w:r>
        <w:rPr>
          <w:i/>
        </w:rPr>
        <w:t xml:space="preserve">&amp; NJE </w:t>
      </w:r>
      <w:r w:rsidRPr="008D3610">
        <w:rPr>
          <w:i/>
        </w:rPr>
        <w:t xml:space="preserve">v Mental Health Tribunal </w:t>
      </w:r>
      <w:r w:rsidRPr="008D3610">
        <w:t>[2018] VSC 564</w:t>
      </w:r>
      <w:r>
        <w:t>, paras 66-67, 93, 99, 101, 104, 250-251, 256.</w:t>
      </w:r>
    </w:p>
  </w:footnote>
  <w:footnote w:id="4">
    <w:p w14:paraId="5E09236B" w14:textId="235152A5" w:rsidR="009F005A" w:rsidRDefault="009F005A" w:rsidP="00F81B37">
      <w:pPr>
        <w:pStyle w:val="FootnoteText"/>
        <w:spacing w:line="240" w:lineRule="auto"/>
        <w:contextualSpacing/>
      </w:pPr>
      <w:r>
        <w:rPr>
          <w:rStyle w:val="FootnoteReference"/>
        </w:rPr>
        <w:footnoteRef/>
      </w:r>
      <w:r>
        <w:t xml:space="preserve"> Sections 53 and 55.</w:t>
      </w:r>
    </w:p>
  </w:footnote>
  <w:footnote w:id="5">
    <w:p w14:paraId="1FA0A840" w14:textId="5FF697EC" w:rsidR="009F005A" w:rsidRDefault="009F005A" w:rsidP="00F81B37">
      <w:pPr>
        <w:pStyle w:val="FootnoteText"/>
        <w:spacing w:line="240" w:lineRule="auto"/>
        <w:contextualSpacing/>
      </w:pPr>
      <w:r>
        <w:rPr>
          <w:rStyle w:val="FootnoteReference"/>
        </w:rPr>
        <w:footnoteRef/>
      </w:r>
      <w:r>
        <w:t xml:space="preserve"> Section 54.</w:t>
      </w:r>
    </w:p>
  </w:footnote>
  <w:footnote w:id="6">
    <w:p w14:paraId="716353B2" w14:textId="5212A2E6" w:rsidR="009F005A" w:rsidRDefault="009F005A" w:rsidP="00F81B37">
      <w:pPr>
        <w:pStyle w:val="FootnoteText"/>
        <w:spacing w:line="240" w:lineRule="auto"/>
        <w:contextualSpacing/>
      </w:pPr>
      <w:r>
        <w:rPr>
          <w:rStyle w:val="FootnoteReference"/>
        </w:rPr>
        <w:footnoteRef/>
      </w:r>
      <w:r>
        <w:t xml:space="preserve"> Section 60.</w:t>
      </w:r>
    </w:p>
  </w:footnote>
  <w:footnote w:id="7">
    <w:p w14:paraId="0A8ED991" w14:textId="554C87C0" w:rsidR="009F005A" w:rsidRDefault="009F005A" w:rsidP="00F81B37">
      <w:pPr>
        <w:pStyle w:val="FootnoteText"/>
        <w:spacing w:line="240" w:lineRule="auto"/>
        <w:contextualSpacing/>
      </w:pPr>
      <w:r>
        <w:rPr>
          <w:rStyle w:val="FootnoteReference"/>
        </w:rPr>
        <w:footnoteRef/>
      </w:r>
      <w:r>
        <w:t xml:space="preserve"> Section 58.</w:t>
      </w:r>
    </w:p>
  </w:footnote>
  <w:footnote w:id="8">
    <w:p w14:paraId="253D3392" w14:textId="61189A41" w:rsidR="009F005A" w:rsidRDefault="009F005A" w:rsidP="00F81B37">
      <w:pPr>
        <w:pStyle w:val="FootnoteText"/>
        <w:spacing w:line="240" w:lineRule="auto"/>
        <w:contextualSpacing/>
      </w:pPr>
      <w:r>
        <w:rPr>
          <w:rStyle w:val="FootnoteReference"/>
        </w:rPr>
        <w:footnoteRef/>
      </w:r>
      <w:r>
        <w:t xml:space="preserve"> Section 55.</w:t>
      </w:r>
    </w:p>
  </w:footnote>
  <w:footnote w:id="9">
    <w:p w14:paraId="37F01BBE" w14:textId="32CBF5F9" w:rsidR="009F005A" w:rsidRDefault="009F005A" w:rsidP="00F81B37">
      <w:pPr>
        <w:pStyle w:val="FootnoteText"/>
        <w:spacing w:line="240" w:lineRule="auto"/>
        <w:contextualSpacing/>
      </w:pPr>
      <w:r>
        <w:rPr>
          <w:rStyle w:val="FootnoteReference"/>
        </w:rPr>
        <w:footnoteRef/>
      </w:r>
      <w:r>
        <w:t xml:space="preserve"> Sections 55 and 57.</w:t>
      </w:r>
    </w:p>
  </w:footnote>
  <w:footnote w:id="10">
    <w:p w14:paraId="1165083D" w14:textId="12C066DA" w:rsidR="009F005A" w:rsidRDefault="009F005A" w:rsidP="00F81B37">
      <w:pPr>
        <w:pStyle w:val="FootnoteText"/>
        <w:spacing w:line="240" w:lineRule="auto"/>
        <w:contextualSpacing/>
      </w:pPr>
      <w:r>
        <w:rPr>
          <w:rStyle w:val="FootnoteReference"/>
        </w:rPr>
        <w:footnoteRef/>
      </w:r>
      <w:r>
        <w:t xml:space="preserve"> Section 57.</w:t>
      </w:r>
    </w:p>
  </w:footnote>
  <w:footnote w:id="11">
    <w:p w14:paraId="6BF9D92F" w14:textId="7D7029E9" w:rsidR="009F005A" w:rsidRDefault="009F005A" w:rsidP="00370586">
      <w:pPr>
        <w:pStyle w:val="FootnoteText"/>
      </w:pPr>
      <w:r>
        <w:rPr>
          <w:rStyle w:val="FootnoteReference"/>
        </w:rPr>
        <w:footnoteRef/>
      </w:r>
      <w:r>
        <w:t xml:space="preserve"> Sections 71-73.</w:t>
      </w:r>
    </w:p>
  </w:footnote>
  <w:footnote w:id="12">
    <w:p w14:paraId="6B0DD5C9" w14:textId="6C2BCB5B" w:rsidR="009F005A" w:rsidRDefault="009F005A" w:rsidP="00F81B37">
      <w:pPr>
        <w:pStyle w:val="FootnoteText"/>
        <w:spacing w:line="240" w:lineRule="auto"/>
        <w:contextualSpacing/>
      </w:pPr>
      <w:r>
        <w:rPr>
          <w:rStyle w:val="FootnoteReference"/>
        </w:rPr>
        <w:footnoteRef/>
      </w:r>
      <w:r>
        <w:t xml:space="preserve"> Section 276.</w:t>
      </w:r>
    </w:p>
  </w:footnote>
  <w:footnote w:id="13">
    <w:p w14:paraId="0CCF67A6" w14:textId="7A7FE5DB" w:rsidR="009F005A" w:rsidRDefault="009F005A" w:rsidP="00F81B37">
      <w:pPr>
        <w:pStyle w:val="FootnoteText"/>
        <w:spacing w:line="240" w:lineRule="auto"/>
        <w:contextualSpacing/>
      </w:pPr>
      <w:r>
        <w:rPr>
          <w:rStyle w:val="FootnoteReference"/>
        </w:rPr>
        <w:footnoteRef/>
      </w:r>
      <w:r>
        <w:t xml:space="preserve"> Section 279.</w:t>
      </w:r>
    </w:p>
  </w:footnote>
  <w:footnote w:id="14">
    <w:p w14:paraId="0BC806E0" w14:textId="6D3ED465" w:rsidR="009F005A" w:rsidRDefault="009F005A" w:rsidP="00F81B37">
      <w:pPr>
        <w:pStyle w:val="FootnoteText"/>
        <w:spacing w:line="240" w:lineRule="auto"/>
        <w:contextualSpacing/>
      </w:pPr>
      <w:r>
        <w:rPr>
          <w:rStyle w:val="FootnoteReference"/>
        </w:rPr>
        <w:footnoteRef/>
      </w:r>
      <w:r>
        <w:t xml:space="preserve"> Section 280.</w:t>
      </w:r>
    </w:p>
  </w:footnote>
  <w:footnote w:id="15">
    <w:p w14:paraId="13BC825D" w14:textId="11D10DF4" w:rsidR="009F005A" w:rsidRDefault="009F005A" w:rsidP="00F81B37">
      <w:pPr>
        <w:pStyle w:val="FootnoteText"/>
        <w:spacing w:line="240" w:lineRule="auto"/>
        <w:contextualSpacing/>
      </w:pPr>
      <w:r>
        <w:rPr>
          <w:rStyle w:val="FootnoteReference"/>
        </w:rPr>
        <w:footnoteRef/>
      </w:r>
      <w:r>
        <w:t xml:space="preserve"> Section 278.</w:t>
      </w:r>
    </w:p>
  </w:footnote>
  <w:footnote w:id="16">
    <w:p w14:paraId="3EE8F0DD" w14:textId="77777777" w:rsidR="009F005A" w:rsidRDefault="009F005A" w:rsidP="00F81B37">
      <w:pPr>
        <w:pStyle w:val="FootnoteText"/>
        <w:spacing w:line="240" w:lineRule="auto"/>
        <w:contextualSpacing/>
        <w:jc w:val="both"/>
      </w:pPr>
      <w:r>
        <w:rPr>
          <w:rStyle w:val="FootnoteReference"/>
        </w:rPr>
        <w:footnoteRef/>
      </w:r>
      <w:r>
        <w:t xml:space="preserve"> Electroconvulsive treatment (ECT) is an effective treatment for severe depression and some other mental illnesses. Nevertheless, feedback from the community consultation processes showed that the community expects greater oversight of the performance of ECT on:</w:t>
      </w:r>
    </w:p>
    <w:p w14:paraId="096D2B80" w14:textId="20D0EABF" w:rsidR="009F005A" w:rsidRDefault="009F005A" w:rsidP="00F81B37">
      <w:pPr>
        <w:pStyle w:val="FootnoteText"/>
        <w:numPr>
          <w:ilvl w:val="0"/>
          <w:numId w:val="45"/>
        </w:numPr>
        <w:spacing w:line="240" w:lineRule="auto"/>
        <w:ind w:left="993" w:hanging="284"/>
        <w:contextualSpacing/>
        <w:jc w:val="both"/>
      </w:pPr>
      <w:r>
        <w:t>Patients receiving compulsory treatment subject to an order under the bill; and</w:t>
      </w:r>
    </w:p>
    <w:p w14:paraId="3C2A7F7A" w14:textId="09CA6546" w:rsidR="009F005A" w:rsidRDefault="009F005A" w:rsidP="00F81B37">
      <w:pPr>
        <w:pStyle w:val="FootnoteText"/>
        <w:numPr>
          <w:ilvl w:val="0"/>
          <w:numId w:val="45"/>
        </w:numPr>
        <w:spacing w:line="240" w:lineRule="auto"/>
        <w:ind w:left="993" w:hanging="284"/>
        <w:contextualSpacing/>
        <w:jc w:val="both"/>
      </w:pPr>
      <w:r>
        <w:t>People under 18 years of age.</w:t>
      </w:r>
    </w:p>
    <w:p w14:paraId="45694B14" w14:textId="77777777" w:rsidR="009F005A" w:rsidRDefault="009F005A" w:rsidP="00F81B37">
      <w:pPr>
        <w:pStyle w:val="FootnoteText"/>
        <w:spacing w:line="240" w:lineRule="auto"/>
        <w:contextualSpacing/>
        <w:jc w:val="both"/>
      </w:pPr>
      <w:r>
        <w:t>ECT is a treatment rarely given to young people, but the clinical advice is that it may be the most appropriate treatment in a limited number of circumstances. It is for this reason the government has not prohibited its use but will require any ECT for people under 18 years of age to be approved by the Mental Health Tribunal.</w:t>
      </w:r>
    </w:p>
    <w:p w14:paraId="520AAF12" w14:textId="7F46CF57" w:rsidR="009F005A" w:rsidRDefault="009F005A" w:rsidP="00F81B37">
      <w:pPr>
        <w:pStyle w:val="FootnoteText"/>
        <w:spacing w:line="240" w:lineRule="auto"/>
        <w:contextualSpacing/>
        <w:jc w:val="both"/>
      </w:pPr>
      <w:r>
        <w:t xml:space="preserve">Mental Health Bill 2014, Second Reading Speech, House of Assembly, Minister Wooldridge, Thursday, 20 February 2014, p. 475. </w:t>
      </w:r>
    </w:p>
  </w:footnote>
  <w:footnote w:id="17">
    <w:p w14:paraId="41E1EC19" w14:textId="47DF59AD" w:rsidR="009F005A" w:rsidRDefault="009F005A" w:rsidP="00F81B37">
      <w:pPr>
        <w:pStyle w:val="FootnoteText"/>
        <w:spacing w:line="240" w:lineRule="auto"/>
        <w:contextualSpacing/>
        <w:jc w:val="both"/>
      </w:pPr>
      <w:r>
        <w:rPr>
          <w:rStyle w:val="FootnoteReference"/>
        </w:rPr>
        <w:footnoteRef/>
      </w:r>
      <w:r>
        <w:t xml:space="preserve"> Neurosurgery for mental illness (NMI) is also regulated under the Act – see Part 5, Division 6, sections 100-104.  NMI can only be used in the treatment of a person who has provided written consent in writing.  NMI cannot proceed without the approval of the Tribunal.  All NMI applications received by the Tribunal have concerned voluntary patients.</w:t>
      </w:r>
    </w:p>
  </w:footnote>
  <w:footnote w:id="18">
    <w:p w14:paraId="67DECB92" w14:textId="69558882" w:rsidR="009F005A" w:rsidRDefault="009F005A" w:rsidP="00F81B37">
      <w:pPr>
        <w:pStyle w:val="FootnoteText"/>
        <w:spacing w:line="240" w:lineRule="auto"/>
        <w:contextualSpacing/>
        <w:jc w:val="both"/>
      </w:pPr>
      <w:r w:rsidRPr="00C31EE5">
        <w:rPr>
          <w:rStyle w:val="FootnoteReference"/>
        </w:rPr>
        <w:footnoteRef/>
      </w:r>
      <w:r w:rsidRPr="00C31EE5">
        <w:t xml:space="preserve"> Under section 73(3) of the </w:t>
      </w:r>
      <w:r w:rsidRPr="00AF05AC">
        <w:rPr>
          <w:i/>
        </w:rPr>
        <w:t>Mental Health Act 1986</w:t>
      </w:r>
      <w:r w:rsidRPr="00C31EE5">
        <w:t>, if an involuntary, security or forensic patient was incapable of giving informed consent ECT could be performed if the authorised psychiatrist was satisfied that ECT had clinical merit and was appropriate; having regard to any benefits, discomforts or risks it should be performed;</w:t>
      </w:r>
      <w:r>
        <w:t xml:space="preserve"> any beneficial alternative treatments have been considered;</w:t>
      </w:r>
      <w:r w:rsidRPr="00C31EE5">
        <w:t xml:space="preserve"> and if it was</w:t>
      </w:r>
      <w:r>
        <w:t xml:space="preserve"> not</w:t>
      </w:r>
      <w:r w:rsidRPr="00C31EE5">
        <w:t xml:space="preserve"> performed the patient would likely suffer a significant deterioration in their physical or mental condition.  All reasonable efforts had to be made to notify the patient’s guardian or carer of the proposed performance of ECT</w:t>
      </w:r>
      <w:r>
        <w:t>.</w:t>
      </w:r>
    </w:p>
  </w:footnote>
  <w:footnote w:id="19">
    <w:p w14:paraId="132B4B69" w14:textId="116BA2BA" w:rsidR="009F005A" w:rsidRDefault="009F005A" w:rsidP="00F81B37">
      <w:pPr>
        <w:pStyle w:val="FootnoteText"/>
        <w:spacing w:line="240" w:lineRule="auto"/>
        <w:contextualSpacing/>
        <w:jc w:val="both"/>
      </w:pPr>
      <w:r>
        <w:rPr>
          <w:rStyle w:val="FootnoteReference"/>
        </w:rPr>
        <w:footnoteRef/>
      </w:r>
      <w:r>
        <w:t xml:space="preserve"> Section 93.  </w:t>
      </w:r>
      <w:r w:rsidRPr="00620D39">
        <w:t xml:space="preserve">The </w:t>
      </w:r>
      <w:r>
        <w:t xml:space="preserve">provisions of the Act concerning </w:t>
      </w:r>
      <w:r w:rsidRPr="00620D39">
        <w:t xml:space="preserve">ECT </w:t>
      </w:r>
      <w:r>
        <w:t xml:space="preserve">for adult, compulsory patients has been the subject of recent, detailed consideration by the Supreme Court in </w:t>
      </w:r>
      <w:bookmarkStart w:id="3" w:name="_Hlk12543094"/>
      <w:r w:rsidRPr="008D3610">
        <w:rPr>
          <w:i/>
        </w:rPr>
        <w:t xml:space="preserve">PBU </w:t>
      </w:r>
      <w:r>
        <w:rPr>
          <w:i/>
        </w:rPr>
        <w:t xml:space="preserve">&amp; NJE </w:t>
      </w:r>
      <w:r w:rsidRPr="008D3610">
        <w:rPr>
          <w:i/>
        </w:rPr>
        <w:t xml:space="preserve">v Mental Health Tribunal </w:t>
      </w:r>
      <w:r w:rsidRPr="008D3610">
        <w:t>[2018] VSC 564</w:t>
      </w:r>
      <w:bookmarkEnd w:id="3"/>
      <w:r>
        <w:t>.</w:t>
      </w:r>
    </w:p>
  </w:footnote>
  <w:footnote w:id="20">
    <w:p w14:paraId="7EF8A3D4" w14:textId="75CB9399" w:rsidR="009F005A" w:rsidRDefault="009F005A" w:rsidP="00F81B37">
      <w:pPr>
        <w:pStyle w:val="FootnoteText"/>
        <w:spacing w:line="240" w:lineRule="auto"/>
        <w:contextualSpacing/>
      </w:pPr>
      <w:r>
        <w:rPr>
          <w:rStyle w:val="FootnoteReference"/>
        </w:rPr>
        <w:footnoteRef/>
      </w:r>
      <w:r>
        <w:t xml:space="preserve"> Section 94A.</w:t>
      </w:r>
    </w:p>
  </w:footnote>
  <w:footnote w:id="21">
    <w:p w14:paraId="23B1EE0F" w14:textId="665EEB76" w:rsidR="009F005A" w:rsidRDefault="009F005A" w:rsidP="00F81B37">
      <w:pPr>
        <w:pStyle w:val="FootnoteText"/>
        <w:spacing w:line="240" w:lineRule="auto"/>
        <w:contextualSpacing/>
      </w:pPr>
      <w:r>
        <w:rPr>
          <w:rStyle w:val="FootnoteReference"/>
        </w:rPr>
        <w:footnoteRef/>
      </w:r>
      <w:r>
        <w:t xml:space="preserve"> Section 94.</w:t>
      </w:r>
    </w:p>
  </w:footnote>
  <w:footnote w:id="22">
    <w:p w14:paraId="7C067A9B" w14:textId="6F1E30F4" w:rsidR="009F005A" w:rsidRDefault="009F005A" w:rsidP="00F81B37">
      <w:pPr>
        <w:pStyle w:val="FootnoteText"/>
        <w:spacing w:line="240" w:lineRule="auto"/>
        <w:contextualSpacing/>
      </w:pPr>
      <w:r>
        <w:rPr>
          <w:rStyle w:val="FootnoteReference"/>
        </w:rPr>
        <w:footnoteRef/>
      </w:r>
      <w:r>
        <w:t xml:space="preserve"> Section 95.</w:t>
      </w:r>
    </w:p>
  </w:footnote>
  <w:footnote w:id="23">
    <w:p w14:paraId="1F9A7F40" w14:textId="7D9DED4E" w:rsidR="009F005A" w:rsidRDefault="009F005A" w:rsidP="00F81B37">
      <w:pPr>
        <w:pStyle w:val="FootnoteText"/>
        <w:spacing w:line="240" w:lineRule="auto"/>
        <w:contextualSpacing/>
      </w:pPr>
      <w:r>
        <w:rPr>
          <w:rStyle w:val="FootnoteReference"/>
        </w:rPr>
        <w:footnoteRef/>
      </w:r>
      <w:r>
        <w:t xml:space="preserve"> Sections 91 and 97.</w:t>
      </w:r>
    </w:p>
  </w:footnote>
  <w:footnote w:id="24">
    <w:p w14:paraId="76907112" w14:textId="5B99E6B7" w:rsidR="009F005A" w:rsidRDefault="009F005A" w:rsidP="00F81B37">
      <w:pPr>
        <w:pStyle w:val="FootnoteText"/>
        <w:spacing w:line="240" w:lineRule="auto"/>
        <w:contextualSpacing/>
      </w:pPr>
      <w:r>
        <w:rPr>
          <w:rStyle w:val="FootnoteReference"/>
        </w:rPr>
        <w:footnoteRef/>
      </w:r>
      <w:r>
        <w:t xml:space="preserve"> Section 70.</w:t>
      </w:r>
    </w:p>
  </w:footnote>
  <w:footnote w:id="25">
    <w:p w14:paraId="0510864E" w14:textId="07C0C88F" w:rsidR="009F005A" w:rsidRDefault="009F005A" w:rsidP="00F81B37">
      <w:pPr>
        <w:pStyle w:val="FootnoteText"/>
        <w:spacing w:line="240" w:lineRule="auto"/>
        <w:contextualSpacing/>
      </w:pPr>
      <w:r>
        <w:rPr>
          <w:rStyle w:val="FootnoteReference"/>
        </w:rPr>
        <w:footnoteRef/>
      </w:r>
      <w:r>
        <w:t xml:space="preserve"> Section 68(2).</w:t>
      </w:r>
    </w:p>
  </w:footnote>
  <w:footnote w:id="26">
    <w:p w14:paraId="65FD1FD2" w14:textId="1D01AE72" w:rsidR="009F005A" w:rsidRDefault="009F005A" w:rsidP="002E0211">
      <w:pPr>
        <w:pStyle w:val="FootnoteText"/>
        <w:spacing w:line="240" w:lineRule="auto"/>
        <w:contextualSpacing/>
      </w:pPr>
      <w:r>
        <w:rPr>
          <w:rStyle w:val="FootnoteReference"/>
        </w:rPr>
        <w:footnoteRef/>
      </w:r>
      <w:r>
        <w:t xml:space="preserve"> Sections 93(2), 94(3), 94A(2), 96(3).</w:t>
      </w:r>
    </w:p>
  </w:footnote>
  <w:footnote w:id="27">
    <w:p w14:paraId="23073287" w14:textId="0DF54F69" w:rsidR="009F005A" w:rsidRDefault="009F005A" w:rsidP="00ED1B9B">
      <w:pPr>
        <w:pStyle w:val="FootnoteText"/>
        <w:spacing w:line="240" w:lineRule="auto"/>
        <w:contextualSpacing/>
      </w:pPr>
      <w:r>
        <w:rPr>
          <w:rStyle w:val="FootnoteReference"/>
        </w:rPr>
        <w:footnoteRef/>
      </w:r>
      <w:r>
        <w:t xml:space="preserve"> The Tribunal observes this directly in hearings where the representative/s of the treating team have only recently met, or may never have met the patient.  In April-May 2019 just under 5% of hearings had to be conducted where the patient had not met one or more of the members of their treating team.</w:t>
      </w:r>
    </w:p>
  </w:footnote>
  <w:footnote w:id="28">
    <w:p w14:paraId="3ABAB20D" w14:textId="14A5F524" w:rsidR="009F005A" w:rsidRDefault="009F005A" w:rsidP="00ED1B9B">
      <w:pPr>
        <w:pStyle w:val="FootnoteText"/>
        <w:spacing w:line="240" w:lineRule="auto"/>
        <w:contextualSpacing/>
      </w:pPr>
      <w:r>
        <w:rPr>
          <w:rStyle w:val="FootnoteReference"/>
        </w:rPr>
        <w:footnoteRef/>
      </w:r>
      <w:r>
        <w:t xml:space="preserve"> S</w:t>
      </w:r>
      <w:r w:rsidRPr="002A6A53">
        <w:t>ection 11(1)(b)</w:t>
      </w:r>
      <w:r>
        <w:t>.</w:t>
      </w:r>
    </w:p>
  </w:footnote>
  <w:footnote w:id="29">
    <w:p w14:paraId="274D72BE" w14:textId="3DBA2E02" w:rsidR="009F005A" w:rsidRDefault="009F005A" w:rsidP="00ED1B9B">
      <w:pPr>
        <w:pStyle w:val="FootnoteText"/>
        <w:spacing w:line="240" w:lineRule="auto"/>
        <w:contextualSpacing/>
      </w:pPr>
      <w:r>
        <w:rPr>
          <w:rStyle w:val="FootnoteReference"/>
        </w:rPr>
        <w:footnoteRef/>
      </w:r>
      <w:r>
        <w:t xml:space="preserve"> S</w:t>
      </w:r>
      <w:r w:rsidRPr="002A6A53">
        <w:t>ection 11(1)(c)</w:t>
      </w:r>
      <w:r>
        <w:t>.</w:t>
      </w:r>
    </w:p>
  </w:footnote>
  <w:footnote w:id="30">
    <w:p w14:paraId="6137AA94" w14:textId="2A83EAF4" w:rsidR="009F005A" w:rsidRDefault="009F005A" w:rsidP="00ED1B9B">
      <w:pPr>
        <w:pStyle w:val="FootnoteText"/>
        <w:spacing w:line="240" w:lineRule="auto"/>
        <w:contextualSpacing/>
      </w:pPr>
      <w:r>
        <w:rPr>
          <w:rStyle w:val="FootnoteReference"/>
        </w:rPr>
        <w:footnoteRef/>
      </w:r>
      <w:r>
        <w:t xml:space="preserve"> S</w:t>
      </w:r>
      <w:r w:rsidRPr="002A6A53">
        <w:t>ection 11(1)(d)</w:t>
      </w:r>
      <w:r>
        <w:t>.</w:t>
      </w:r>
    </w:p>
  </w:footnote>
  <w:footnote w:id="31">
    <w:p w14:paraId="2F97DB84" w14:textId="21D95F85" w:rsidR="009F005A" w:rsidRDefault="009F005A" w:rsidP="00ED1B9B">
      <w:pPr>
        <w:pStyle w:val="FootnoteText"/>
        <w:spacing w:line="240" w:lineRule="auto"/>
        <w:contextualSpacing/>
      </w:pPr>
      <w:r>
        <w:rPr>
          <w:rStyle w:val="FootnoteReference"/>
        </w:rPr>
        <w:footnoteRef/>
      </w:r>
      <w:r>
        <w:t xml:space="preserve"> S</w:t>
      </w:r>
      <w:r w:rsidRPr="002A6A53">
        <w:t>ection 11(1)(f) and (g)</w:t>
      </w:r>
      <w:r>
        <w:t>.</w:t>
      </w:r>
    </w:p>
  </w:footnote>
  <w:footnote w:id="32">
    <w:p w14:paraId="6FCD1212" w14:textId="2B3232BB" w:rsidR="009F005A" w:rsidRDefault="009F005A" w:rsidP="00ED1B9B">
      <w:pPr>
        <w:pStyle w:val="FootnoteText"/>
        <w:spacing w:line="240" w:lineRule="auto"/>
        <w:contextualSpacing/>
      </w:pPr>
      <w:r>
        <w:rPr>
          <w:rStyle w:val="FootnoteReference"/>
        </w:rPr>
        <w:footnoteRef/>
      </w:r>
      <w:r>
        <w:t xml:space="preserve"> S</w:t>
      </w:r>
      <w:r w:rsidRPr="002A6A53">
        <w:t>ection 11(1)(k) and (l)</w:t>
      </w:r>
      <w:r>
        <w:t>.</w:t>
      </w:r>
    </w:p>
  </w:footnote>
  <w:footnote w:id="33">
    <w:p w14:paraId="3270F3A0" w14:textId="3651463B" w:rsidR="009F005A" w:rsidRDefault="009F005A" w:rsidP="00ED1B9B">
      <w:pPr>
        <w:pStyle w:val="FootnoteText"/>
        <w:spacing w:line="240" w:lineRule="auto"/>
        <w:contextualSpacing/>
      </w:pPr>
      <w:r>
        <w:rPr>
          <w:rStyle w:val="FootnoteReference"/>
        </w:rPr>
        <w:footnoteRef/>
      </w:r>
      <w:r>
        <w:t xml:space="preserve"> Section 55(3).</w:t>
      </w:r>
    </w:p>
  </w:footnote>
  <w:footnote w:id="34">
    <w:p w14:paraId="5CA52416" w14:textId="2B29DEE7" w:rsidR="009F005A" w:rsidRDefault="009F005A" w:rsidP="00ED1B9B">
      <w:pPr>
        <w:pStyle w:val="FootnoteText"/>
        <w:spacing w:line="240" w:lineRule="auto"/>
        <w:contextualSpacing/>
      </w:pPr>
      <w:r>
        <w:rPr>
          <w:rStyle w:val="FootnoteReference"/>
        </w:rPr>
        <w:footnoteRef/>
      </w:r>
      <w:r>
        <w:t xml:space="preserve"> Section 4(2)(l).</w:t>
      </w:r>
    </w:p>
  </w:footnote>
  <w:footnote w:id="35">
    <w:p w14:paraId="4666546E" w14:textId="69BE6726" w:rsidR="009F005A" w:rsidRDefault="009F005A" w:rsidP="00ED1B9B">
      <w:pPr>
        <w:pStyle w:val="FootnoteText"/>
        <w:spacing w:line="240" w:lineRule="auto"/>
        <w:contextualSpacing/>
      </w:pPr>
      <w:r>
        <w:rPr>
          <w:rStyle w:val="FootnoteReference"/>
        </w:rPr>
        <w:footnoteRef/>
      </w:r>
      <w:r>
        <w:t xml:space="preserve"> Section 4(3).</w:t>
      </w:r>
    </w:p>
  </w:footnote>
  <w:footnote w:id="36">
    <w:p w14:paraId="25F4624B" w14:textId="77777777" w:rsidR="009F005A" w:rsidRDefault="009F005A" w:rsidP="00ED1B9B">
      <w:pPr>
        <w:pStyle w:val="FootnoteText"/>
        <w:spacing w:line="240" w:lineRule="auto"/>
        <w:contextualSpacing/>
      </w:pPr>
      <w:r>
        <w:rPr>
          <w:rStyle w:val="FootnoteReference"/>
        </w:rPr>
        <w:footnoteRef/>
      </w:r>
      <w:r>
        <w:t xml:space="preserve"> Section 66.</w:t>
      </w:r>
    </w:p>
  </w:footnote>
  <w:footnote w:id="37">
    <w:p w14:paraId="5EC1E423" w14:textId="7D72EE2C" w:rsidR="009F005A" w:rsidRDefault="009F005A" w:rsidP="00ED1B9B">
      <w:pPr>
        <w:pStyle w:val="FootnoteText"/>
        <w:spacing w:line="240" w:lineRule="auto"/>
        <w:contextualSpacing/>
      </w:pPr>
      <w:r>
        <w:rPr>
          <w:rStyle w:val="FootnoteReference"/>
        </w:rPr>
        <w:footnoteRef/>
      </w:r>
      <w:r>
        <w:t xml:space="preserve"> Sections 11(1)(k) and (l).</w:t>
      </w:r>
    </w:p>
  </w:footnote>
  <w:footnote w:id="38">
    <w:p w14:paraId="4F5A0D4C" w14:textId="2E797994" w:rsidR="009F005A" w:rsidRDefault="009F005A" w:rsidP="00ED1B9B">
      <w:pPr>
        <w:pStyle w:val="FootnoteText"/>
        <w:spacing w:line="240" w:lineRule="auto"/>
        <w:contextualSpacing/>
      </w:pPr>
      <w:r>
        <w:rPr>
          <w:rStyle w:val="FootnoteReference"/>
        </w:rPr>
        <w:footnoteRef/>
      </w:r>
      <w:r>
        <w:t xml:space="preserve"> Section 32(2)(a)(iii) and section 35(4)(a)(iii).</w:t>
      </w:r>
    </w:p>
  </w:footnote>
  <w:footnote w:id="39">
    <w:p w14:paraId="4CBCFCBE" w14:textId="3421DC3F" w:rsidR="009F005A" w:rsidRDefault="009F005A" w:rsidP="00ED1B9B">
      <w:pPr>
        <w:pStyle w:val="FootnoteText"/>
        <w:spacing w:line="240" w:lineRule="auto"/>
        <w:contextualSpacing/>
      </w:pPr>
      <w:r>
        <w:rPr>
          <w:rStyle w:val="FootnoteReference"/>
        </w:rPr>
        <w:footnoteRef/>
      </w:r>
      <w:r>
        <w:t xml:space="preserve"> Section 46(2)(a)(v) and section 48(2)(a)(e).</w:t>
      </w:r>
    </w:p>
  </w:footnote>
  <w:footnote w:id="40">
    <w:p w14:paraId="0938E097" w14:textId="014186F2" w:rsidR="009F005A" w:rsidRDefault="009F005A" w:rsidP="00ED1B9B">
      <w:pPr>
        <w:pStyle w:val="FootnoteText"/>
        <w:spacing w:line="240" w:lineRule="auto"/>
        <w:contextualSpacing/>
      </w:pPr>
      <w:r>
        <w:rPr>
          <w:rStyle w:val="FootnoteReference"/>
        </w:rPr>
        <w:footnoteRef/>
      </w:r>
      <w:r>
        <w:t xml:space="preserve"> Section 50(2)(b)(i)(C).</w:t>
      </w:r>
    </w:p>
  </w:footnote>
  <w:footnote w:id="41">
    <w:p w14:paraId="660CB2FB" w14:textId="075171A5" w:rsidR="009F005A" w:rsidRDefault="009F005A" w:rsidP="00ED1B9B">
      <w:pPr>
        <w:pStyle w:val="FootnoteText"/>
        <w:spacing w:line="240" w:lineRule="auto"/>
        <w:contextualSpacing/>
      </w:pPr>
      <w:r>
        <w:rPr>
          <w:rStyle w:val="FootnoteReference"/>
        </w:rPr>
        <w:footnoteRef/>
      </w:r>
      <w:r>
        <w:t xml:space="preserve"> Section 59(d)(iii).</w:t>
      </w:r>
    </w:p>
  </w:footnote>
  <w:footnote w:id="42">
    <w:p w14:paraId="103B34E2" w14:textId="2056A85F" w:rsidR="009F005A" w:rsidRDefault="009F005A" w:rsidP="00ED1B9B">
      <w:pPr>
        <w:pStyle w:val="FootnoteText"/>
        <w:spacing w:line="240" w:lineRule="auto"/>
        <w:contextualSpacing/>
      </w:pPr>
      <w:r>
        <w:rPr>
          <w:rStyle w:val="FootnoteReference"/>
        </w:rPr>
        <w:footnoteRef/>
      </w:r>
      <w:r>
        <w:t xml:space="preserve"> Section 93(2)(e), section 94(3)(d) or section 94A(2)(d).</w:t>
      </w:r>
    </w:p>
  </w:footnote>
  <w:footnote w:id="43">
    <w:p w14:paraId="4A687294" w14:textId="10369D9B" w:rsidR="009F005A" w:rsidRDefault="009F005A" w:rsidP="00ED1B9B">
      <w:pPr>
        <w:pStyle w:val="FootnoteText"/>
        <w:spacing w:line="240" w:lineRule="auto"/>
        <w:contextualSpacing/>
      </w:pPr>
      <w:r>
        <w:rPr>
          <w:rStyle w:val="FootnoteReference"/>
        </w:rPr>
        <w:footnoteRef/>
      </w:r>
      <w:r>
        <w:t xml:space="preserve"> Section 189(1)(g).</w:t>
      </w:r>
    </w:p>
  </w:footnote>
  <w:footnote w:id="44">
    <w:p w14:paraId="2400859D" w14:textId="5010CB18" w:rsidR="009F005A" w:rsidRDefault="009F005A" w:rsidP="00ED1B9B">
      <w:pPr>
        <w:pStyle w:val="FootnoteText"/>
        <w:spacing w:line="240" w:lineRule="auto"/>
        <w:contextualSpacing/>
      </w:pPr>
      <w:r>
        <w:rPr>
          <w:rStyle w:val="FootnoteReference"/>
        </w:rPr>
        <w:footnoteRef/>
      </w:r>
      <w:r>
        <w:t xml:space="preserve"> Section 195(4) and section 96(4)(f).</w:t>
      </w:r>
    </w:p>
  </w:footnote>
  <w:footnote w:id="45">
    <w:p w14:paraId="43129673" w14:textId="7A1A3ABE" w:rsidR="009F005A" w:rsidRDefault="009F005A" w:rsidP="00ED1B9B">
      <w:pPr>
        <w:pStyle w:val="FootnoteText"/>
        <w:spacing w:line="240" w:lineRule="auto"/>
        <w:contextualSpacing/>
      </w:pPr>
      <w:r>
        <w:rPr>
          <w:rStyle w:val="FootnoteReference"/>
        </w:rPr>
        <w:footnoteRef/>
      </w:r>
      <w:r>
        <w:t xml:space="preserve"> Section 55(2)(e).</w:t>
      </w:r>
    </w:p>
  </w:footnote>
  <w:footnote w:id="46">
    <w:p w14:paraId="25B716F3" w14:textId="26AE1F9F" w:rsidR="009F005A" w:rsidRDefault="009F005A" w:rsidP="00B97DAE">
      <w:pPr>
        <w:pStyle w:val="FootnoteText"/>
        <w:spacing w:line="240" w:lineRule="auto"/>
        <w:contextualSpacing/>
        <w:jc w:val="both"/>
      </w:pPr>
      <w:r>
        <w:rPr>
          <w:rStyle w:val="FootnoteReference"/>
        </w:rPr>
        <w:footnoteRef/>
      </w:r>
      <w:r>
        <w:t xml:space="preserve"> In late 2018 the Tribunal used ODS data to contact carers who had attended a hearing in October 2018 to invite them to complete a Tribunal Hearing Experience Survey, the data proved to be incorrect in 9% of cases.</w:t>
      </w:r>
    </w:p>
  </w:footnote>
  <w:footnote w:id="47">
    <w:p w14:paraId="67878AB1" w14:textId="78C9DDBB" w:rsidR="009F005A" w:rsidRDefault="009F005A" w:rsidP="00B97DAE">
      <w:pPr>
        <w:pStyle w:val="FootnoteText"/>
        <w:spacing w:line="240" w:lineRule="auto"/>
        <w:contextualSpacing/>
        <w:jc w:val="both"/>
      </w:pPr>
      <w:r>
        <w:rPr>
          <w:rStyle w:val="FootnoteReference"/>
        </w:rPr>
        <w:footnoteRef/>
      </w:r>
      <w:r>
        <w:t xml:space="preserve"> The Guide to Solution-Focused Hearings in the Mental Health Tribunal is being expanded to include materials on the effective participation of family and support people.</w:t>
      </w:r>
    </w:p>
  </w:footnote>
  <w:footnote w:id="48">
    <w:p w14:paraId="0E49BD1E" w14:textId="0620FFAA" w:rsidR="009F005A" w:rsidRDefault="009F005A" w:rsidP="00B97DAE">
      <w:pPr>
        <w:pStyle w:val="FootnoteText"/>
        <w:spacing w:line="240" w:lineRule="auto"/>
        <w:contextualSpacing/>
        <w:jc w:val="both"/>
      </w:pPr>
      <w:r>
        <w:rPr>
          <w:rStyle w:val="FootnoteReference"/>
        </w:rPr>
        <w:footnoteRef/>
      </w:r>
      <w:r>
        <w:t xml:space="preserve"> Tandem are the peak body in Victoria for families and carers of people experiencing mental health challenges and emotional distress.</w:t>
      </w:r>
    </w:p>
  </w:footnote>
  <w:footnote w:id="49">
    <w:p w14:paraId="7F432F02" w14:textId="63A95EE6" w:rsidR="009F005A" w:rsidRDefault="009F005A" w:rsidP="00B97DAE">
      <w:pPr>
        <w:pStyle w:val="FootnoteText"/>
        <w:spacing w:line="240" w:lineRule="auto"/>
        <w:contextualSpacing/>
        <w:jc w:val="both"/>
      </w:pPr>
      <w:r>
        <w:rPr>
          <w:rStyle w:val="FootnoteReference"/>
        </w:rPr>
        <w:footnoteRef/>
      </w:r>
      <w:r>
        <w:t xml:space="preserve"> Section 191.</w:t>
      </w:r>
    </w:p>
  </w:footnote>
  <w:footnote w:id="50">
    <w:p w14:paraId="78305BF3" w14:textId="7C6586AD" w:rsidR="009F005A" w:rsidRPr="00D64A43" w:rsidRDefault="009F005A" w:rsidP="00B97DAE">
      <w:pPr>
        <w:pStyle w:val="FootnoteText"/>
        <w:spacing w:line="240" w:lineRule="auto"/>
        <w:contextualSpacing/>
        <w:jc w:val="both"/>
      </w:pPr>
      <w:r>
        <w:rPr>
          <w:rStyle w:val="FootnoteReference"/>
        </w:rPr>
        <w:footnoteRef/>
      </w:r>
      <w:r>
        <w:t xml:space="preserve"> Section 26(8)(c) </w:t>
      </w:r>
      <w:r>
        <w:rPr>
          <w:i/>
        </w:rPr>
        <w:t>Mental Health Act 1986.</w:t>
      </w:r>
    </w:p>
  </w:footnote>
  <w:footnote w:id="51">
    <w:p w14:paraId="19F034CD" w14:textId="512353B7" w:rsidR="009F005A" w:rsidRPr="00500864" w:rsidRDefault="009F005A" w:rsidP="00B97DAE">
      <w:pPr>
        <w:pStyle w:val="FootnoteText"/>
        <w:spacing w:line="240" w:lineRule="auto"/>
        <w:contextualSpacing/>
        <w:jc w:val="both"/>
      </w:pPr>
      <w:r w:rsidRPr="00FF25D2">
        <w:rPr>
          <w:rStyle w:val="FootnoteReference"/>
        </w:rPr>
        <w:footnoteRef/>
      </w:r>
      <w:r w:rsidRPr="00FF25D2">
        <w:t>The comparative research about CTO usage detailed in Light, E et al 2012, ‘Community treatment orders in Australia:</w:t>
      </w:r>
      <w:r w:rsidRPr="003C141B">
        <w:t xml:space="preserve"> rates and pattern of use’, Australasian Psychiatry, vol. 20, no. 6, p. 578-482 continues to be cited as the most comprehensive exploration of this issue.  An example of more recent research into this issue is Vine, R et al 2019, ‘Does legislative change affect the use and duration of compulsory treatment orders?’, Australian and New Zealand Journal of Psychiatry, vol. 53, no. 5, p. 433-440.</w:t>
      </w:r>
    </w:p>
  </w:footnote>
  <w:footnote w:id="52">
    <w:p w14:paraId="3B229F61" w14:textId="56FA7EF8" w:rsidR="009F005A" w:rsidRDefault="009F005A" w:rsidP="00B97DAE">
      <w:pPr>
        <w:pStyle w:val="FootnoteText"/>
        <w:spacing w:line="240" w:lineRule="auto"/>
        <w:contextualSpacing/>
      </w:pPr>
      <w:r>
        <w:rPr>
          <w:rStyle w:val="FootnoteReference"/>
        </w:rPr>
        <w:footnoteRef/>
      </w:r>
      <w:r>
        <w:t xml:space="preserve"> Sections 5(b) and 29(b).</w:t>
      </w:r>
    </w:p>
  </w:footnote>
  <w:footnote w:id="53">
    <w:p w14:paraId="3A4931C4" w14:textId="3A6F05CE" w:rsidR="009F005A" w:rsidRDefault="009F005A" w:rsidP="00B97DAE">
      <w:pPr>
        <w:pStyle w:val="FootnoteText"/>
        <w:spacing w:line="240" w:lineRule="auto"/>
        <w:contextualSpacing/>
      </w:pPr>
      <w:r>
        <w:rPr>
          <w:rStyle w:val="FootnoteReference"/>
        </w:rPr>
        <w:footnoteRef/>
      </w:r>
      <w:r>
        <w:t xml:space="preserve"> Section 11(1)(d).</w:t>
      </w:r>
    </w:p>
  </w:footnote>
  <w:footnote w:id="54">
    <w:p w14:paraId="25070AC4" w14:textId="681B1E2E" w:rsidR="009F005A" w:rsidRDefault="009F005A" w:rsidP="00B97DAE">
      <w:pPr>
        <w:pStyle w:val="FootnoteText"/>
        <w:spacing w:line="240" w:lineRule="auto"/>
        <w:contextualSpacing/>
      </w:pPr>
      <w:r>
        <w:rPr>
          <w:rStyle w:val="FootnoteReference"/>
        </w:rPr>
        <w:footnoteRef/>
      </w:r>
      <w:r>
        <w:t xml:space="preserve"> </w:t>
      </w:r>
      <w:r w:rsidRPr="0063547C">
        <w:t xml:space="preserve">This section draws on Woolford, M et al, </w:t>
      </w:r>
      <w:r>
        <w:t>‘</w:t>
      </w:r>
      <w:r w:rsidRPr="00A36FC4">
        <w:t>Exploring the concept of dignity of risk’</w:t>
      </w:r>
      <w:r w:rsidRPr="003719D4">
        <w:rPr>
          <w:i/>
        </w:rPr>
        <w:t>,</w:t>
      </w:r>
      <w:r w:rsidRPr="00A36FC4">
        <w:rPr>
          <w:i/>
        </w:rPr>
        <w:t xml:space="preserve"> Monash Forensic Medicine</w:t>
      </w:r>
      <w:r w:rsidRPr="0063547C">
        <w:t>, Monash University</w:t>
      </w:r>
      <w:r>
        <w:t>, accessed on 18 June 2019 at: www2.health.vic.gov.au/~/media/Health/Files/Collections/Presentations/S/Striving-For-Care-Excellence/Exploring-the-concept-of-Dignity-of-Risk</w:t>
      </w:r>
    </w:p>
  </w:footnote>
  <w:footnote w:id="55">
    <w:p w14:paraId="1A34BD86" w14:textId="0FCB3DAA" w:rsidR="009F005A" w:rsidRDefault="009F005A" w:rsidP="00B97DAE">
      <w:pPr>
        <w:pStyle w:val="FootnoteText"/>
        <w:spacing w:line="240" w:lineRule="auto"/>
        <w:contextualSpacing/>
      </w:pPr>
      <w:r>
        <w:rPr>
          <w:rStyle w:val="FootnoteReference"/>
        </w:rPr>
        <w:footnoteRef/>
      </w:r>
      <w:r>
        <w:t xml:space="preserve"> </w:t>
      </w:r>
      <w:r w:rsidRPr="00732E91">
        <w:rPr>
          <w:i/>
        </w:rPr>
        <w:t>Crimes (Mental Impairment and Unfitness to be Tried</w:t>
      </w:r>
      <w:r>
        <w:rPr>
          <w:i/>
        </w:rPr>
        <w:t>)</w:t>
      </w:r>
      <w:r w:rsidRPr="00732E91">
        <w:rPr>
          <w:i/>
        </w:rPr>
        <w:t xml:space="preserve"> </w:t>
      </w:r>
      <w:r>
        <w:rPr>
          <w:i/>
        </w:rPr>
        <w:t xml:space="preserve">Amendment </w:t>
      </w:r>
      <w:r w:rsidRPr="00732E91">
        <w:rPr>
          <w:i/>
        </w:rPr>
        <w:t>Bill 2016</w:t>
      </w:r>
      <w:r>
        <w:t>, passed the Legislative Assembly on 23 February 2017, but lapsed in the Legislative Council.</w:t>
      </w:r>
    </w:p>
  </w:footnote>
  <w:footnote w:id="56">
    <w:p w14:paraId="7457799F" w14:textId="1CBF7528" w:rsidR="009F005A" w:rsidRPr="00B71258" w:rsidRDefault="009F005A" w:rsidP="00B97DAE">
      <w:pPr>
        <w:pStyle w:val="FootnoteText"/>
        <w:spacing w:line="240" w:lineRule="auto"/>
        <w:contextualSpacing/>
        <w:jc w:val="both"/>
        <w:rPr>
          <w:i/>
        </w:rPr>
      </w:pPr>
      <w:r>
        <w:rPr>
          <w:rStyle w:val="FootnoteReference"/>
        </w:rPr>
        <w:footnoteRef/>
      </w:r>
      <w:r>
        <w:t xml:space="preserve"> Dr Sally Wilkins was a former acting Chief Psychiatrist, psychiatrist member of the Forensic Leave Panel and Mental Health Tribunal, and member of the Coronial Council of Victoria.  This material is taken from Dr Wilkins’ presentation,  ‘</w:t>
      </w:r>
      <w:r w:rsidRPr="00262A69">
        <w:rPr>
          <w:lang w:val="en-US"/>
        </w:rPr>
        <w:t>Clinical Decision-making and Risk Assessment - why we need to change the paradigm</w:t>
      </w:r>
      <w:r>
        <w:rPr>
          <w:lang w:val="en-US"/>
        </w:rPr>
        <w:t>,</w:t>
      </w:r>
      <w:r w:rsidRPr="00262A69">
        <w:rPr>
          <w:lang w:val="en-US"/>
        </w:rPr>
        <w:t>’</w:t>
      </w:r>
      <w:r>
        <w:rPr>
          <w:lang w:val="en-US"/>
        </w:rPr>
        <w:t xml:space="preserve"> </w:t>
      </w:r>
      <w:r w:rsidRPr="00262A69">
        <w:rPr>
          <w:i/>
          <w:lang w:val="en-US"/>
        </w:rPr>
        <w:t>COAT Victoria Conference,</w:t>
      </w:r>
      <w:r>
        <w:rPr>
          <w:lang w:val="en-US"/>
        </w:rPr>
        <w:t xml:space="preserve"> May 2017</w:t>
      </w:r>
      <w:r w:rsidRPr="00262A69">
        <w:rPr>
          <w:lang w:val="en-US"/>
        </w:rPr>
        <w:t>.</w:t>
      </w:r>
    </w:p>
  </w:footnote>
  <w:footnote w:id="57">
    <w:p w14:paraId="58BDA479" w14:textId="5524E5E0" w:rsidR="009F005A" w:rsidRDefault="009F005A" w:rsidP="009609E4">
      <w:pPr>
        <w:pStyle w:val="FootnoteText"/>
        <w:spacing w:line="240" w:lineRule="auto"/>
        <w:contextualSpacing/>
      </w:pPr>
      <w:r>
        <w:rPr>
          <w:rStyle w:val="FootnoteReference"/>
        </w:rPr>
        <w:footnoteRef/>
      </w:r>
      <w:r>
        <w:t xml:space="preserve"> Section 191.</w:t>
      </w:r>
    </w:p>
  </w:footnote>
  <w:footnote w:id="58">
    <w:p w14:paraId="12E5CC88" w14:textId="16451E42" w:rsidR="009F005A" w:rsidRDefault="009F005A" w:rsidP="009609E4">
      <w:pPr>
        <w:pStyle w:val="FootnoteText"/>
        <w:spacing w:line="240" w:lineRule="auto"/>
        <w:contextualSpacing/>
        <w:jc w:val="both"/>
      </w:pPr>
      <w:r>
        <w:rPr>
          <w:rStyle w:val="FootnoteReference"/>
        </w:rPr>
        <w:footnoteRef/>
      </w:r>
      <w:r>
        <w:t xml:space="preserve"> </w:t>
      </w:r>
      <w:r w:rsidRPr="00370586">
        <w:rPr>
          <w:rFonts w:eastAsia="Times"/>
        </w:rPr>
        <w:t>A logical question that arises from this is what, if anything, the Tribunal does to raise standards or compliance?  This is</w:t>
      </w:r>
      <w:r>
        <w:rPr>
          <w:rFonts w:eastAsia="Times"/>
        </w:rPr>
        <w:t xml:space="preserve"> not</w:t>
      </w:r>
      <w:r w:rsidRPr="00370586">
        <w:rPr>
          <w:rFonts w:eastAsia="Times"/>
        </w:rPr>
        <w:t xml:space="preserve"> straightforward.  At the start of a hearing the Tribunal confirms whether patients have been provided with their report, and access to their file if they wanted it.  When this has</w:t>
      </w:r>
      <w:r>
        <w:rPr>
          <w:rFonts w:eastAsia="Times"/>
        </w:rPr>
        <w:t xml:space="preserve"> not</w:t>
      </w:r>
      <w:r w:rsidRPr="00370586">
        <w:rPr>
          <w:rFonts w:eastAsia="Times"/>
        </w:rPr>
        <w:t xml:space="preserve"> occurred, the Tribunal will consider standing-down or adjourning the hearing.  However, patients will frequently express a preference to finalise rather than delay their hearing, and if this is the case the hearing will often proceed.</w:t>
      </w:r>
    </w:p>
  </w:footnote>
  <w:footnote w:id="59">
    <w:p w14:paraId="5308EFAA" w14:textId="3056B2D1" w:rsidR="009F005A" w:rsidRDefault="009F005A" w:rsidP="009609E4">
      <w:pPr>
        <w:pStyle w:val="FootnoteText"/>
        <w:spacing w:line="240" w:lineRule="auto"/>
        <w:contextualSpacing/>
        <w:jc w:val="both"/>
      </w:pPr>
      <w:r>
        <w:rPr>
          <w:rStyle w:val="FootnoteReference"/>
        </w:rPr>
        <w:footnoteRef/>
      </w:r>
      <w:r>
        <w:t xml:space="preserve"> Section 95.</w:t>
      </w:r>
    </w:p>
  </w:footnote>
  <w:footnote w:id="60">
    <w:p w14:paraId="18DF3DFA" w14:textId="79E2A4B3" w:rsidR="009F005A" w:rsidRDefault="009F005A" w:rsidP="009609E4">
      <w:pPr>
        <w:pStyle w:val="FootnoteText"/>
        <w:spacing w:line="240" w:lineRule="auto"/>
        <w:contextualSpacing/>
        <w:jc w:val="both"/>
      </w:pPr>
      <w:r>
        <w:rPr>
          <w:rStyle w:val="FootnoteReference"/>
        </w:rPr>
        <w:footnoteRef/>
      </w:r>
      <w:r>
        <w:t xml:space="preserve"> Section 95(2).</w:t>
      </w:r>
    </w:p>
  </w:footnote>
  <w:footnote w:id="61">
    <w:p w14:paraId="24D7E909" w14:textId="00DC1003" w:rsidR="009F005A" w:rsidRDefault="009F005A" w:rsidP="009609E4">
      <w:pPr>
        <w:pStyle w:val="FootnoteText"/>
        <w:spacing w:line="240" w:lineRule="auto"/>
        <w:contextualSpacing/>
        <w:jc w:val="both"/>
      </w:pPr>
      <w:r>
        <w:rPr>
          <w:rStyle w:val="FootnoteReference"/>
        </w:rPr>
        <w:footnoteRef/>
      </w:r>
      <w:r>
        <w:t xml:space="preserve"> ‘The government has been advised that the likely need for emergency or ‘same day’ ECT is extremely rare because of the nature of the treatment and the way it is administered. Accordingly provisions to allow emergency ECT without consent of the patient have not been included in the Bill. Nevertheless, it is recognised that in some cases the commencement of a course of ECT may be urgent. The tribunal will be able to expedite a hearing in response to an urgent request’.</w:t>
      </w:r>
    </w:p>
    <w:p w14:paraId="3EAF3381" w14:textId="41ACEDC9" w:rsidR="009F005A" w:rsidRDefault="009F005A" w:rsidP="009609E4">
      <w:pPr>
        <w:pStyle w:val="FootnoteText"/>
        <w:spacing w:line="240" w:lineRule="auto"/>
        <w:contextualSpacing/>
        <w:jc w:val="both"/>
      </w:pPr>
      <w:r>
        <w:t>Mental Health Bill 2014, Second Reading Speech, House of Assembly, Minister Wooldridge, Thursday, 20 February 2014, p. 476.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C574D" w14:textId="77777777" w:rsidR="009F005A" w:rsidRPr="0051568D" w:rsidRDefault="009F005A" w:rsidP="00BC557B">
    <w:pPr>
      <w:pStyle w:val="MHRC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4788"/>
    <w:multiLevelType w:val="hybridMultilevel"/>
    <w:tmpl w:val="BA8AC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6B732C"/>
    <w:multiLevelType w:val="hybridMultilevel"/>
    <w:tmpl w:val="7996F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82A94"/>
    <w:multiLevelType w:val="hybridMultilevel"/>
    <w:tmpl w:val="49C0B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4A1391"/>
    <w:multiLevelType w:val="hybridMultilevel"/>
    <w:tmpl w:val="96107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7C2747"/>
    <w:multiLevelType w:val="hybridMultilevel"/>
    <w:tmpl w:val="0C961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00D59"/>
    <w:multiLevelType w:val="hybridMultilevel"/>
    <w:tmpl w:val="6590E1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AD2E30"/>
    <w:multiLevelType w:val="multilevel"/>
    <w:tmpl w:val="4A1477D0"/>
    <w:styleLink w:val="ZZNumbersloweralpha"/>
    <w:lvl w:ilvl="0">
      <w:start w:val="1"/>
      <w:numFmt w:val="lowerLetter"/>
      <w:pStyle w:val="MHRCnumberloweralpha"/>
      <w:lvlText w:val="(%1)"/>
      <w:lvlJc w:val="left"/>
      <w:pPr>
        <w:tabs>
          <w:tab w:val="num" w:pos="397"/>
        </w:tabs>
        <w:ind w:left="397" w:hanging="397"/>
      </w:pPr>
      <w:rPr>
        <w:rFonts w:hint="default"/>
      </w:rPr>
    </w:lvl>
    <w:lvl w:ilvl="1">
      <w:start w:val="1"/>
      <w:numFmt w:val="lowerLetter"/>
      <w:pStyle w:val="MHR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18E3790C"/>
    <w:multiLevelType w:val="hybridMultilevel"/>
    <w:tmpl w:val="403CC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6D5A95"/>
    <w:multiLevelType w:val="hybridMultilevel"/>
    <w:tmpl w:val="AB2AEE68"/>
    <w:lvl w:ilvl="0" w:tplc="C882B0DE">
      <w:start w:val="1"/>
      <w:numFmt w:val="bullet"/>
      <w:lvlText w:val="•"/>
      <w:lvlJc w:val="left"/>
      <w:pPr>
        <w:tabs>
          <w:tab w:val="num" w:pos="720"/>
        </w:tabs>
        <w:ind w:left="720" w:hanging="360"/>
      </w:pPr>
      <w:rPr>
        <w:rFonts w:ascii="Times New Roman" w:hAnsi="Times New Roman" w:hint="default"/>
      </w:rPr>
    </w:lvl>
    <w:lvl w:ilvl="1" w:tplc="C44C0CB0" w:tentative="1">
      <w:start w:val="1"/>
      <w:numFmt w:val="bullet"/>
      <w:lvlText w:val="•"/>
      <w:lvlJc w:val="left"/>
      <w:pPr>
        <w:tabs>
          <w:tab w:val="num" w:pos="1440"/>
        </w:tabs>
        <w:ind w:left="1440" w:hanging="360"/>
      </w:pPr>
      <w:rPr>
        <w:rFonts w:ascii="Times New Roman" w:hAnsi="Times New Roman" w:hint="default"/>
      </w:rPr>
    </w:lvl>
    <w:lvl w:ilvl="2" w:tplc="158CEA2E" w:tentative="1">
      <w:start w:val="1"/>
      <w:numFmt w:val="bullet"/>
      <w:lvlText w:val="•"/>
      <w:lvlJc w:val="left"/>
      <w:pPr>
        <w:tabs>
          <w:tab w:val="num" w:pos="2160"/>
        </w:tabs>
        <w:ind w:left="2160" w:hanging="360"/>
      </w:pPr>
      <w:rPr>
        <w:rFonts w:ascii="Times New Roman" w:hAnsi="Times New Roman" w:hint="default"/>
      </w:rPr>
    </w:lvl>
    <w:lvl w:ilvl="3" w:tplc="A6745406" w:tentative="1">
      <w:start w:val="1"/>
      <w:numFmt w:val="bullet"/>
      <w:lvlText w:val="•"/>
      <w:lvlJc w:val="left"/>
      <w:pPr>
        <w:tabs>
          <w:tab w:val="num" w:pos="2880"/>
        </w:tabs>
        <w:ind w:left="2880" w:hanging="360"/>
      </w:pPr>
      <w:rPr>
        <w:rFonts w:ascii="Times New Roman" w:hAnsi="Times New Roman" w:hint="default"/>
      </w:rPr>
    </w:lvl>
    <w:lvl w:ilvl="4" w:tplc="D4B26CD4" w:tentative="1">
      <w:start w:val="1"/>
      <w:numFmt w:val="bullet"/>
      <w:lvlText w:val="•"/>
      <w:lvlJc w:val="left"/>
      <w:pPr>
        <w:tabs>
          <w:tab w:val="num" w:pos="3600"/>
        </w:tabs>
        <w:ind w:left="3600" w:hanging="360"/>
      </w:pPr>
      <w:rPr>
        <w:rFonts w:ascii="Times New Roman" w:hAnsi="Times New Roman" w:hint="default"/>
      </w:rPr>
    </w:lvl>
    <w:lvl w:ilvl="5" w:tplc="5EF8A3DC" w:tentative="1">
      <w:start w:val="1"/>
      <w:numFmt w:val="bullet"/>
      <w:lvlText w:val="•"/>
      <w:lvlJc w:val="left"/>
      <w:pPr>
        <w:tabs>
          <w:tab w:val="num" w:pos="4320"/>
        </w:tabs>
        <w:ind w:left="4320" w:hanging="360"/>
      </w:pPr>
      <w:rPr>
        <w:rFonts w:ascii="Times New Roman" w:hAnsi="Times New Roman" w:hint="default"/>
      </w:rPr>
    </w:lvl>
    <w:lvl w:ilvl="6" w:tplc="B3262888" w:tentative="1">
      <w:start w:val="1"/>
      <w:numFmt w:val="bullet"/>
      <w:lvlText w:val="•"/>
      <w:lvlJc w:val="left"/>
      <w:pPr>
        <w:tabs>
          <w:tab w:val="num" w:pos="5040"/>
        </w:tabs>
        <w:ind w:left="5040" w:hanging="360"/>
      </w:pPr>
      <w:rPr>
        <w:rFonts w:ascii="Times New Roman" w:hAnsi="Times New Roman" w:hint="default"/>
      </w:rPr>
    </w:lvl>
    <w:lvl w:ilvl="7" w:tplc="44F866F2" w:tentative="1">
      <w:start w:val="1"/>
      <w:numFmt w:val="bullet"/>
      <w:lvlText w:val="•"/>
      <w:lvlJc w:val="left"/>
      <w:pPr>
        <w:tabs>
          <w:tab w:val="num" w:pos="5760"/>
        </w:tabs>
        <w:ind w:left="5760" w:hanging="360"/>
      </w:pPr>
      <w:rPr>
        <w:rFonts w:ascii="Times New Roman" w:hAnsi="Times New Roman" w:hint="default"/>
      </w:rPr>
    </w:lvl>
    <w:lvl w:ilvl="8" w:tplc="ACBE7B3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CFE63AA"/>
    <w:multiLevelType w:val="hybridMultilevel"/>
    <w:tmpl w:val="65003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1146E5"/>
    <w:multiLevelType w:val="hybridMultilevel"/>
    <w:tmpl w:val="059A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D865B5"/>
    <w:multiLevelType w:val="hybridMultilevel"/>
    <w:tmpl w:val="B644C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83595E"/>
    <w:multiLevelType w:val="hybridMultilevel"/>
    <w:tmpl w:val="539030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9281D5C"/>
    <w:multiLevelType w:val="multilevel"/>
    <w:tmpl w:val="39D87B9C"/>
    <w:styleLink w:val="ZZQuotebulletsteal"/>
    <w:lvl w:ilvl="0">
      <w:start w:val="1"/>
      <w:numFmt w:val="bullet"/>
      <w:pStyle w:val="MHRCquotebullet1teal"/>
      <w:lvlText w:val="•"/>
      <w:lvlJc w:val="left"/>
      <w:pPr>
        <w:ind w:left="284" w:firstLine="113"/>
      </w:pPr>
      <w:rPr>
        <w:rFonts w:ascii="Calibri" w:hAnsi="Calibri" w:hint="default"/>
      </w:rPr>
    </w:lvl>
    <w:lvl w:ilvl="1">
      <w:start w:val="1"/>
      <w:numFmt w:val="bullet"/>
      <w:lvlRestart w:val="0"/>
      <w:pStyle w:val="MHRCquotebullet2teal"/>
      <w:lvlText w:val="–"/>
      <w:lvlJc w:val="left"/>
      <w:pPr>
        <w:tabs>
          <w:tab w:val="num" w:pos="964"/>
        </w:tabs>
        <w:ind w:left="284" w:firstLine="396"/>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2A830DC4"/>
    <w:multiLevelType w:val="hybridMultilevel"/>
    <w:tmpl w:val="B9A81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880A80"/>
    <w:multiLevelType w:val="hybridMultilevel"/>
    <w:tmpl w:val="FFC02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967CF2"/>
    <w:multiLevelType w:val="hybridMultilevel"/>
    <w:tmpl w:val="395E2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F37EF2"/>
    <w:multiLevelType w:val="hybridMultilevel"/>
    <w:tmpl w:val="ADCC0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A200EB"/>
    <w:multiLevelType w:val="hybridMultilevel"/>
    <w:tmpl w:val="18E4625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B96CDA"/>
    <w:multiLevelType w:val="multilevel"/>
    <w:tmpl w:val="ACFE2276"/>
    <w:lvl w:ilvl="0">
      <w:start w:val="1"/>
      <w:numFmt w:val="decimal"/>
      <w:pStyle w:val="MHRC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pStyle w:val="MHRCbulletafternumbers1"/>
      <w:lvlText w:val="•"/>
      <w:lvlJc w:val="left"/>
      <w:pPr>
        <w:ind w:left="794" w:hanging="397"/>
      </w:pPr>
      <w:rPr>
        <w:rFonts w:ascii="Calibri" w:hAnsi="Calibri" w:hint="default"/>
        <w:color w:val="auto"/>
      </w:rPr>
    </w:lvl>
    <w:lvl w:ilvl="3">
      <w:start w:val="1"/>
      <w:numFmt w:val="bullet"/>
      <w:lvlRestart w:val="0"/>
      <w:pStyle w:val="MHR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46940C74"/>
    <w:styleLink w:val="ZZNumberslowerroman"/>
    <w:lvl w:ilvl="0">
      <w:start w:val="1"/>
      <w:numFmt w:val="lowerRoman"/>
      <w:pStyle w:val="MHRCnumberlowerroman"/>
      <w:lvlText w:val="(%1)"/>
      <w:lvlJc w:val="left"/>
      <w:pPr>
        <w:tabs>
          <w:tab w:val="num" w:pos="397"/>
        </w:tabs>
        <w:ind w:left="397" w:hanging="397"/>
      </w:pPr>
      <w:rPr>
        <w:rFonts w:hint="default"/>
      </w:rPr>
    </w:lvl>
    <w:lvl w:ilvl="1">
      <w:start w:val="1"/>
      <w:numFmt w:val="lowerRoman"/>
      <w:pStyle w:val="MHR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5482022"/>
    <w:multiLevelType w:val="hybridMultilevel"/>
    <w:tmpl w:val="EB907C86"/>
    <w:lvl w:ilvl="0" w:tplc="7DC808B4">
      <w:start w:val="1"/>
      <w:numFmt w:val="bullet"/>
      <w:lvlText w:val="•"/>
      <w:lvlJc w:val="left"/>
      <w:pPr>
        <w:tabs>
          <w:tab w:val="num" w:pos="720"/>
        </w:tabs>
        <w:ind w:left="720" w:hanging="360"/>
      </w:pPr>
      <w:rPr>
        <w:rFonts w:ascii="Arial" w:hAnsi="Arial" w:hint="default"/>
      </w:rPr>
    </w:lvl>
    <w:lvl w:ilvl="1" w:tplc="5CCC7E32" w:tentative="1">
      <w:start w:val="1"/>
      <w:numFmt w:val="bullet"/>
      <w:lvlText w:val="•"/>
      <w:lvlJc w:val="left"/>
      <w:pPr>
        <w:tabs>
          <w:tab w:val="num" w:pos="1440"/>
        </w:tabs>
        <w:ind w:left="1440" w:hanging="360"/>
      </w:pPr>
      <w:rPr>
        <w:rFonts w:ascii="Arial" w:hAnsi="Arial" w:hint="default"/>
      </w:rPr>
    </w:lvl>
    <w:lvl w:ilvl="2" w:tplc="E5349DE4" w:tentative="1">
      <w:start w:val="1"/>
      <w:numFmt w:val="bullet"/>
      <w:lvlText w:val="•"/>
      <w:lvlJc w:val="left"/>
      <w:pPr>
        <w:tabs>
          <w:tab w:val="num" w:pos="2160"/>
        </w:tabs>
        <w:ind w:left="2160" w:hanging="360"/>
      </w:pPr>
      <w:rPr>
        <w:rFonts w:ascii="Arial" w:hAnsi="Arial" w:hint="default"/>
      </w:rPr>
    </w:lvl>
    <w:lvl w:ilvl="3" w:tplc="CAB86B5E" w:tentative="1">
      <w:start w:val="1"/>
      <w:numFmt w:val="bullet"/>
      <w:lvlText w:val="•"/>
      <w:lvlJc w:val="left"/>
      <w:pPr>
        <w:tabs>
          <w:tab w:val="num" w:pos="2880"/>
        </w:tabs>
        <w:ind w:left="2880" w:hanging="360"/>
      </w:pPr>
      <w:rPr>
        <w:rFonts w:ascii="Arial" w:hAnsi="Arial" w:hint="default"/>
      </w:rPr>
    </w:lvl>
    <w:lvl w:ilvl="4" w:tplc="693488B4" w:tentative="1">
      <w:start w:val="1"/>
      <w:numFmt w:val="bullet"/>
      <w:lvlText w:val="•"/>
      <w:lvlJc w:val="left"/>
      <w:pPr>
        <w:tabs>
          <w:tab w:val="num" w:pos="3600"/>
        </w:tabs>
        <w:ind w:left="3600" w:hanging="360"/>
      </w:pPr>
      <w:rPr>
        <w:rFonts w:ascii="Arial" w:hAnsi="Arial" w:hint="default"/>
      </w:rPr>
    </w:lvl>
    <w:lvl w:ilvl="5" w:tplc="E4286D50" w:tentative="1">
      <w:start w:val="1"/>
      <w:numFmt w:val="bullet"/>
      <w:lvlText w:val="•"/>
      <w:lvlJc w:val="left"/>
      <w:pPr>
        <w:tabs>
          <w:tab w:val="num" w:pos="4320"/>
        </w:tabs>
        <w:ind w:left="4320" w:hanging="360"/>
      </w:pPr>
      <w:rPr>
        <w:rFonts w:ascii="Arial" w:hAnsi="Arial" w:hint="default"/>
      </w:rPr>
    </w:lvl>
    <w:lvl w:ilvl="6" w:tplc="FE7A4736" w:tentative="1">
      <w:start w:val="1"/>
      <w:numFmt w:val="bullet"/>
      <w:lvlText w:val="•"/>
      <w:lvlJc w:val="left"/>
      <w:pPr>
        <w:tabs>
          <w:tab w:val="num" w:pos="5040"/>
        </w:tabs>
        <w:ind w:left="5040" w:hanging="360"/>
      </w:pPr>
      <w:rPr>
        <w:rFonts w:ascii="Arial" w:hAnsi="Arial" w:hint="default"/>
      </w:rPr>
    </w:lvl>
    <w:lvl w:ilvl="7" w:tplc="79704DEE" w:tentative="1">
      <w:start w:val="1"/>
      <w:numFmt w:val="bullet"/>
      <w:lvlText w:val="•"/>
      <w:lvlJc w:val="left"/>
      <w:pPr>
        <w:tabs>
          <w:tab w:val="num" w:pos="5760"/>
        </w:tabs>
        <w:ind w:left="5760" w:hanging="360"/>
      </w:pPr>
      <w:rPr>
        <w:rFonts w:ascii="Arial" w:hAnsi="Arial" w:hint="default"/>
      </w:rPr>
    </w:lvl>
    <w:lvl w:ilvl="8" w:tplc="3A74F8D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CA0986"/>
    <w:multiLevelType w:val="hybridMultilevel"/>
    <w:tmpl w:val="27B012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485374"/>
    <w:multiLevelType w:val="hybridMultilevel"/>
    <w:tmpl w:val="9B524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DE3D54"/>
    <w:multiLevelType w:val="hybridMultilevel"/>
    <w:tmpl w:val="8D3EF3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2C6D3E"/>
    <w:multiLevelType w:val="hybridMultilevel"/>
    <w:tmpl w:val="6CDA5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125905"/>
    <w:multiLevelType w:val="hybridMultilevel"/>
    <w:tmpl w:val="A15A9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7A13B3"/>
    <w:multiLevelType w:val="hybridMultilevel"/>
    <w:tmpl w:val="DB108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C93766"/>
    <w:multiLevelType w:val="hybridMultilevel"/>
    <w:tmpl w:val="A3021E5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611C2"/>
    <w:multiLevelType w:val="multilevel"/>
    <w:tmpl w:val="96B4DF56"/>
    <w:styleLink w:val="ZZTablebullets"/>
    <w:lvl w:ilvl="0">
      <w:start w:val="1"/>
      <w:numFmt w:val="bullet"/>
      <w:pStyle w:val="MHRCtablebullet1"/>
      <w:lvlText w:val="•"/>
      <w:lvlJc w:val="left"/>
      <w:pPr>
        <w:ind w:left="227" w:hanging="227"/>
      </w:pPr>
      <w:rPr>
        <w:rFonts w:ascii="Calibri" w:hAnsi="Calibri" w:hint="default"/>
      </w:rPr>
    </w:lvl>
    <w:lvl w:ilvl="1">
      <w:start w:val="1"/>
      <w:numFmt w:val="bullet"/>
      <w:lvlRestart w:val="0"/>
      <w:pStyle w:val="MHR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4A17F03"/>
    <w:multiLevelType w:val="hybridMultilevel"/>
    <w:tmpl w:val="B4220E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4BA1E5A"/>
    <w:multiLevelType w:val="multilevel"/>
    <w:tmpl w:val="EC2C0F22"/>
    <w:styleLink w:val="ZZBullets"/>
    <w:lvl w:ilvl="0">
      <w:start w:val="1"/>
      <w:numFmt w:val="bullet"/>
      <w:pStyle w:val="MHRCbullet1"/>
      <w:lvlText w:val="•"/>
      <w:lvlJc w:val="left"/>
      <w:pPr>
        <w:ind w:left="284" w:hanging="284"/>
      </w:pPr>
      <w:rPr>
        <w:rFonts w:ascii="Calibri" w:hAnsi="Calibri" w:hint="default"/>
      </w:rPr>
    </w:lvl>
    <w:lvl w:ilvl="1">
      <w:start w:val="1"/>
      <w:numFmt w:val="bullet"/>
      <w:lvlRestart w:val="0"/>
      <w:pStyle w:val="MHR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5C9D34DA"/>
    <w:multiLevelType w:val="hybridMultilevel"/>
    <w:tmpl w:val="87AEB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612CF3"/>
    <w:multiLevelType w:val="hybridMultilevel"/>
    <w:tmpl w:val="5E9CE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09259F"/>
    <w:multiLevelType w:val="multilevel"/>
    <w:tmpl w:val="866C5A8E"/>
    <w:styleLink w:val="ZZQuotebullets"/>
    <w:lvl w:ilvl="0">
      <w:start w:val="1"/>
      <w:numFmt w:val="bullet"/>
      <w:pStyle w:val="MHRCquotebullet1"/>
      <w:lvlText w:val="•"/>
      <w:lvlJc w:val="left"/>
      <w:pPr>
        <w:ind w:left="680" w:hanging="283"/>
      </w:pPr>
      <w:rPr>
        <w:rFonts w:ascii="Calibri" w:hAnsi="Calibri" w:hint="default"/>
        <w:color w:val="auto"/>
      </w:rPr>
    </w:lvl>
    <w:lvl w:ilvl="1">
      <w:start w:val="1"/>
      <w:numFmt w:val="bullet"/>
      <w:lvlRestart w:val="0"/>
      <w:pStyle w:val="MHR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7F57171"/>
    <w:multiLevelType w:val="hybridMultilevel"/>
    <w:tmpl w:val="B176A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2E61F1"/>
    <w:multiLevelType w:val="hybridMultilevel"/>
    <w:tmpl w:val="F12A9A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A02169C"/>
    <w:multiLevelType w:val="hybridMultilevel"/>
    <w:tmpl w:val="028CE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7540E4"/>
    <w:multiLevelType w:val="hybridMultilevel"/>
    <w:tmpl w:val="718ED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EC675B"/>
    <w:multiLevelType w:val="hybridMultilevel"/>
    <w:tmpl w:val="E09A31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52A2BB9"/>
    <w:multiLevelType w:val="hybridMultilevel"/>
    <w:tmpl w:val="1E98E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A67E78"/>
    <w:multiLevelType w:val="hybridMultilevel"/>
    <w:tmpl w:val="40DA5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3821FB"/>
    <w:multiLevelType w:val="hybridMultilevel"/>
    <w:tmpl w:val="2B747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A1371A"/>
    <w:multiLevelType w:val="hybridMultilevel"/>
    <w:tmpl w:val="35DEE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CC4A23"/>
    <w:multiLevelType w:val="hybridMultilevel"/>
    <w:tmpl w:val="DCEE1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19"/>
  </w:num>
  <w:num w:numId="4">
    <w:abstractNumId w:val="30"/>
  </w:num>
  <w:num w:numId="5">
    <w:abstractNumId w:val="35"/>
  </w:num>
  <w:num w:numId="6">
    <w:abstractNumId w:val="21"/>
  </w:num>
  <w:num w:numId="7">
    <w:abstractNumId w:val="6"/>
  </w:num>
  <w:num w:numId="8">
    <w:abstractNumId w:val="13"/>
  </w:num>
  <w:num w:numId="9">
    <w:abstractNumId w:val="31"/>
  </w:num>
  <w:num w:numId="10">
    <w:abstractNumId w:val="1"/>
  </w:num>
  <w:num w:numId="11">
    <w:abstractNumId w:val="44"/>
  </w:num>
  <w:num w:numId="12">
    <w:abstractNumId w:val="0"/>
  </w:num>
  <w:num w:numId="13">
    <w:abstractNumId w:val="22"/>
  </w:num>
  <w:num w:numId="14">
    <w:abstractNumId w:val="37"/>
  </w:num>
  <w:num w:numId="15">
    <w:abstractNumId w:val="23"/>
  </w:num>
  <w:num w:numId="16">
    <w:abstractNumId w:val="26"/>
  </w:num>
  <w:num w:numId="17">
    <w:abstractNumId w:val="15"/>
  </w:num>
  <w:num w:numId="18">
    <w:abstractNumId w:val="16"/>
  </w:num>
  <w:num w:numId="19">
    <w:abstractNumId w:val="36"/>
  </w:num>
  <w:num w:numId="20">
    <w:abstractNumId w:val="42"/>
  </w:num>
  <w:num w:numId="21">
    <w:abstractNumId w:val="8"/>
  </w:num>
  <w:num w:numId="22">
    <w:abstractNumId w:val="41"/>
  </w:num>
  <w:num w:numId="23">
    <w:abstractNumId w:val="10"/>
  </w:num>
  <w:num w:numId="24">
    <w:abstractNumId w:val="39"/>
  </w:num>
  <w:num w:numId="25">
    <w:abstractNumId w:val="38"/>
  </w:num>
  <w:num w:numId="26">
    <w:abstractNumId w:val="9"/>
  </w:num>
  <w:num w:numId="27">
    <w:abstractNumId w:val="14"/>
  </w:num>
  <w:num w:numId="28">
    <w:abstractNumId w:val="7"/>
  </w:num>
  <w:num w:numId="29">
    <w:abstractNumId w:val="24"/>
  </w:num>
  <w:num w:numId="30">
    <w:abstractNumId w:val="18"/>
  </w:num>
  <w:num w:numId="31">
    <w:abstractNumId w:val="11"/>
  </w:num>
  <w:num w:numId="32">
    <w:abstractNumId w:val="45"/>
  </w:num>
  <w:num w:numId="33">
    <w:abstractNumId w:val="43"/>
  </w:num>
  <w:num w:numId="34">
    <w:abstractNumId w:val="33"/>
  </w:num>
  <w:num w:numId="35">
    <w:abstractNumId w:val="25"/>
  </w:num>
  <w:num w:numId="36">
    <w:abstractNumId w:val="34"/>
  </w:num>
  <w:num w:numId="37">
    <w:abstractNumId w:val="29"/>
  </w:num>
  <w:num w:numId="38">
    <w:abstractNumId w:val="17"/>
  </w:num>
  <w:num w:numId="39">
    <w:abstractNumId w:val="5"/>
  </w:num>
  <w:num w:numId="40">
    <w:abstractNumId w:val="12"/>
  </w:num>
  <w:num w:numId="41">
    <w:abstractNumId w:val="2"/>
  </w:num>
  <w:num w:numId="42">
    <w:abstractNumId w:val="27"/>
  </w:num>
  <w:num w:numId="43">
    <w:abstractNumId w:val="4"/>
  </w:num>
  <w:num w:numId="44">
    <w:abstractNumId w:val="3"/>
  </w:num>
  <w:num w:numId="45">
    <w:abstractNumId w:val="40"/>
  </w:num>
  <w:num w:numId="46">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774"/>
    <w:rsid w:val="00000CBA"/>
    <w:rsid w:val="000072B6"/>
    <w:rsid w:val="000079E1"/>
    <w:rsid w:val="0001021B"/>
    <w:rsid w:val="00011D89"/>
    <w:rsid w:val="000154FD"/>
    <w:rsid w:val="00016626"/>
    <w:rsid w:val="00024261"/>
    <w:rsid w:val="00024D89"/>
    <w:rsid w:val="000250B6"/>
    <w:rsid w:val="00030E22"/>
    <w:rsid w:val="0003279B"/>
    <w:rsid w:val="00033D81"/>
    <w:rsid w:val="00041BF0"/>
    <w:rsid w:val="000431DC"/>
    <w:rsid w:val="00044206"/>
    <w:rsid w:val="0004536B"/>
    <w:rsid w:val="00045695"/>
    <w:rsid w:val="00045C25"/>
    <w:rsid w:val="00045C2E"/>
    <w:rsid w:val="00046B68"/>
    <w:rsid w:val="000527DD"/>
    <w:rsid w:val="00053B9F"/>
    <w:rsid w:val="0005420B"/>
    <w:rsid w:val="000578B2"/>
    <w:rsid w:val="000601D3"/>
    <w:rsid w:val="00060959"/>
    <w:rsid w:val="00063E77"/>
    <w:rsid w:val="00065296"/>
    <w:rsid w:val="00065410"/>
    <w:rsid w:val="000663CD"/>
    <w:rsid w:val="00066FAF"/>
    <w:rsid w:val="00067541"/>
    <w:rsid w:val="000703FD"/>
    <w:rsid w:val="000724C1"/>
    <w:rsid w:val="00072889"/>
    <w:rsid w:val="000733FE"/>
    <w:rsid w:val="00074219"/>
    <w:rsid w:val="00074ED5"/>
    <w:rsid w:val="00075A33"/>
    <w:rsid w:val="00077661"/>
    <w:rsid w:val="000811A5"/>
    <w:rsid w:val="00082BF0"/>
    <w:rsid w:val="0008330E"/>
    <w:rsid w:val="00083B30"/>
    <w:rsid w:val="00083E1E"/>
    <w:rsid w:val="00084A17"/>
    <w:rsid w:val="0008508E"/>
    <w:rsid w:val="0008585D"/>
    <w:rsid w:val="00086960"/>
    <w:rsid w:val="0009113B"/>
    <w:rsid w:val="000921C6"/>
    <w:rsid w:val="00093402"/>
    <w:rsid w:val="00094DA3"/>
    <w:rsid w:val="000959F1"/>
    <w:rsid w:val="00096CD1"/>
    <w:rsid w:val="000A012C"/>
    <w:rsid w:val="000A0EB9"/>
    <w:rsid w:val="000A186C"/>
    <w:rsid w:val="000A1EA4"/>
    <w:rsid w:val="000A2D78"/>
    <w:rsid w:val="000A398F"/>
    <w:rsid w:val="000A5071"/>
    <w:rsid w:val="000A5B9A"/>
    <w:rsid w:val="000A6F50"/>
    <w:rsid w:val="000B3EDB"/>
    <w:rsid w:val="000B543D"/>
    <w:rsid w:val="000B5BF7"/>
    <w:rsid w:val="000B6BC8"/>
    <w:rsid w:val="000C0303"/>
    <w:rsid w:val="000C42EA"/>
    <w:rsid w:val="000C4546"/>
    <w:rsid w:val="000C7332"/>
    <w:rsid w:val="000D038E"/>
    <w:rsid w:val="000D1242"/>
    <w:rsid w:val="000D1DB0"/>
    <w:rsid w:val="000D3707"/>
    <w:rsid w:val="000E0970"/>
    <w:rsid w:val="000E3CC7"/>
    <w:rsid w:val="000E659B"/>
    <w:rsid w:val="000E675E"/>
    <w:rsid w:val="000E6BD4"/>
    <w:rsid w:val="000E761F"/>
    <w:rsid w:val="000F1F1E"/>
    <w:rsid w:val="000F2259"/>
    <w:rsid w:val="000F2A29"/>
    <w:rsid w:val="000F44DC"/>
    <w:rsid w:val="000F6F37"/>
    <w:rsid w:val="0010197E"/>
    <w:rsid w:val="001020A8"/>
    <w:rsid w:val="0010392D"/>
    <w:rsid w:val="0010447F"/>
    <w:rsid w:val="00104FE3"/>
    <w:rsid w:val="0011185A"/>
    <w:rsid w:val="00112010"/>
    <w:rsid w:val="001133A9"/>
    <w:rsid w:val="00114274"/>
    <w:rsid w:val="00116ED3"/>
    <w:rsid w:val="001178DF"/>
    <w:rsid w:val="00120BD3"/>
    <w:rsid w:val="00122FEA"/>
    <w:rsid w:val="001232BD"/>
    <w:rsid w:val="00123499"/>
    <w:rsid w:val="00124ED5"/>
    <w:rsid w:val="00126640"/>
    <w:rsid w:val="001276FA"/>
    <w:rsid w:val="00131795"/>
    <w:rsid w:val="00132CCE"/>
    <w:rsid w:val="001415DB"/>
    <w:rsid w:val="00143DAA"/>
    <w:rsid w:val="001447B3"/>
    <w:rsid w:val="0015085F"/>
    <w:rsid w:val="00152073"/>
    <w:rsid w:val="0015393A"/>
    <w:rsid w:val="001542C8"/>
    <w:rsid w:val="00155E2C"/>
    <w:rsid w:val="0015616B"/>
    <w:rsid w:val="00156598"/>
    <w:rsid w:val="001608BF"/>
    <w:rsid w:val="00161939"/>
    <w:rsid w:val="00161AA0"/>
    <w:rsid w:val="00162093"/>
    <w:rsid w:val="0016274D"/>
    <w:rsid w:val="00163DBE"/>
    <w:rsid w:val="00172BAF"/>
    <w:rsid w:val="001771DD"/>
    <w:rsid w:val="00177699"/>
    <w:rsid w:val="00177995"/>
    <w:rsid w:val="00177A8C"/>
    <w:rsid w:val="00182B1A"/>
    <w:rsid w:val="00186244"/>
    <w:rsid w:val="00186B33"/>
    <w:rsid w:val="001876C8"/>
    <w:rsid w:val="00187C72"/>
    <w:rsid w:val="001908A3"/>
    <w:rsid w:val="00192F9D"/>
    <w:rsid w:val="00196EB8"/>
    <w:rsid w:val="00196EFB"/>
    <w:rsid w:val="001979FF"/>
    <w:rsid w:val="00197B17"/>
    <w:rsid w:val="00197C50"/>
    <w:rsid w:val="001A1C54"/>
    <w:rsid w:val="001A386B"/>
    <w:rsid w:val="001A3ACE"/>
    <w:rsid w:val="001A7C6A"/>
    <w:rsid w:val="001B1BF3"/>
    <w:rsid w:val="001B3B95"/>
    <w:rsid w:val="001C277E"/>
    <w:rsid w:val="001C2A72"/>
    <w:rsid w:val="001C36E1"/>
    <w:rsid w:val="001C38BD"/>
    <w:rsid w:val="001C49D7"/>
    <w:rsid w:val="001C629E"/>
    <w:rsid w:val="001D0B75"/>
    <w:rsid w:val="001D2082"/>
    <w:rsid w:val="001D2573"/>
    <w:rsid w:val="001D3C09"/>
    <w:rsid w:val="001D44E8"/>
    <w:rsid w:val="001D60EC"/>
    <w:rsid w:val="001E4055"/>
    <w:rsid w:val="001E44DF"/>
    <w:rsid w:val="001E4D0F"/>
    <w:rsid w:val="001E5EAA"/>
    <w:rsid w:val="001E5FA4"/>
    <w:rsid w:val="001E68A5"/>
    <w:rsid w:val="001E6BB0"/>
    <w:rsid w:val="001F073D"/>
    <w:rsid w:val="001F175B"/>
    <w:rsid w:val="001F29BA"/>
    <w:rsid w:val="001F3826"/>
    <w:rsid w:val="001F437E"/>
    <w:rsid w:val="001F6E46"/>
    <w:rsid w:val="001F7C91"/>
    <w:rsid w:val="00202B84"/>
    <w:rsid w:val="00206463"/>
    <w:rsid w:val="00206F2F"/>
    <w:rsid w:val="0021053D"/>
    <w:rsid w:val="00210A92"/>
    <w:rsid w:val="002139D4"/>
    <w:rsid w:val="00216C03"/>
    <w:rsid w:val="00216DF7"/>
    <w:rsid w:val="00220C04"/>
    <w:rsid w:val="0022278D"/>
    <w:rsid w:val="00224BBA"/>
    <w:rsid w:val="002252C7"/>
    <w:rsid w:val="0022701F"/>
    <w:rsid w:val="002333F5"/>
    <w:rsid w:val="00233724"/>
    <w:rsid w:val="0023432D"/>
    <w:rsid w:val="002422A7"/>
    <w:rsid w:val="002432E1"/>
    <w:rsid w:val="00243E4E"/>
    <w:rsid w:val="00244F18"/>
    <w:rsid w:val="00246207"/>
    <w:rsid w:val="00246C5E"/>
    <w:rsid w:val="00251343"/>
    <w:rsid w:val="00251D93"/>
    <w:rsid w:val="0025203B"/>
    <w:rsid w:val="0025299F"/>
    <w:rsid w:val="002536A4"/>
    <w:rsid w:val="00253846"/>
    <w:rsid w:val="00254F58"/>
    <w:rsid w:val="00255044"/>
    <w:rsid w:val="00255160"/>
    <w:rsid w:val="00260AFF"/>
    <w:rsid w:val="00260E62"/>
    <w:rsid w:val="002612C5"/>
    <w:rsid w:val="002618CE"/>
    <w:rsid w:val="002620BC"/>
    <w:rsid w:val="00262802"/>
    <w:rsid w:val="00262A69"/>
    <w:rsid w:val="00262D40"/>
    <w:rsid w:val="00263464"/>
    <w:rsid w:val="00263A90"/>
    <w:rsid w:val="00263C1B"/>
    <w:rsid w:val="0026408B"/>
    <w:rsid w:val="0026416A"/>
    <w:rsid w:val="00265661"/>
    <w:rsid w:val="00266D5E"/>
    <w:rsid w:val="00267C3E"/>
    <w:rsid w:val="002709BB"/>
    <w:rsid w:val="00273BAC"/>
    <w:rsid w:val="002760BD"/>
    <w:rsid w:val="002763B3"/>
    <w:rsid w:val="002802E3"/>
    <w:rsid w:val="0028213D"/>
    <w:rsid w:val="002862F1"/>
    <w:rsid w:val="002878A1"/>
    <w:rsid w:val="00291373"/>
    <w:rsid w:val="0029364D"/>
    <w:rsid w:val="002936FF"/>
    <w:rsid w:val="0029597D"/>
    <w:rsid w:val="002962C3"/>
    <w:rsid w:val="00296FE3"/>
    <w:rsid w:val="0029752B"/>
    <w:rsid w:val="002976A9"/>
    <w:rsid w:val="002977DD"/>
    <w:rsid w:val="002A0997"/>
    <w:rsid w:val="002A1139"/>
    <w:rsid w:val="002A483C"/>
    <w:rsid w:val="002A66E7"/>
    <w:rsid w:val="002A6A53"/>
    <w:rsid w:val="002A7E3E"/>
    <w:rsid w:val="002B0C7C"/>
    <w:rsid w:val="002B1729"/>
    <w:rsid w:val="002B36C7"/>
    <w:rsid w:val="002B4DD4"/>
    <w:rsid w:val="002B5277"/>
    <w:rsid w:val="002B5375"/>
    <w:rsid w:val="002B5BE1"/>
    <w:rsid w:val="002B77C1"/>
    <w:rsid w:val="002B7C77"/>
    <w:rsid w:val="002C11C1"/>
    <w:rsid w:val="002C2728"/>
    <w:rsid w:val="002C4768"/>
    <w:rsid w:val="002C4BF0"/>
    <w:rsid w:val="002D1FE1"/>
    <w:rsid w:val="002D43C8"/>
    <w:rsid w:val="002D5006"/>
    <w:rsid w:val="002D672C"/>
    <w:rsid w:val="002E01D0"/>
    <w:rsid w:val="002E0211"/>
    <w:rsid w:val="002E161D"/>
    <w:rsid w:val="002E1ECF"/>
    <w:rsid w:val="002E28B2"/>
    <w:rsid w:val="002E3100"/>
    <w:rsid w:val="002E6C95"/>
    <w:rsid w:val="002E7C36"/>
    <w:rsid w:val="002F143D"/>
    <w:rsid w:val="002F5F31"/>
    <w:rsid w:val="002F5F46"/>
    <w:rsid w:val="00302216"/>
    <w:rsid w:val="00303541"/>
    <w:rsid w:val="00303E53"/>
    <w:rsid w:val="00305212"/>
    <w:rsid w:val="00306E5F"/>
    <w:rsid w:val="00307E14"/>
    <w:rsid w:val="00307F71"/>
    <w:rsid w:val="00311D68"/>
    <w:rsid w:val="00314054"/>
    <w:rsid w:val="00316F27"/>
    <w:rsid w:val="00321D44"/>
    <w:rsid w:val="00322E4B"/>
    <w:rsid w:val="003238A6"/>
    <w:rsid w:val="00324BFF"/>
    <w:rsid w:val="003266C0"/>
    <w:rsid w:val="00327870"/>
    <w:rsid w:val="0033082F"/>
    <w:rsid w:val="00331C73"/>
    <w:rsid w:val="00332138"/>
    <w:rsid w:val="0033259D"/>
    <w:rsid w:val="003333D2"/>
    <w:rsid w:val="00333455"/>
    <w:rsid w:val="00334DC0"/>
    <w:rsid w:val="0033594F"/>
    <w:rsid w:val="003406C6"/>
    <w:rsid w:val="003418CC"/>
    <w:rsid w:val="00341D73"/>
    <w:rsid w:val="0034599D"/>
    <w:rsid w:val="003459BD"/>
    <w:rsid w:val="00350267"/>
    <w:rsid w:val="00350D38"/>
    <w:rsid w:val="00351B36"/>
    <w:rsid w:val="00351C6A"/>
    <w:rsid w:val="0035256E"/>
    <w:rsid w:val="00357402"/>
    <w:rsid w:val="00357B4E"/>
    <w:rsid w:val="00360C49"/>
    <w:rsid w:val="0036110A"/>
    <w:rsid w:val="0036142E"/>
    <w:rsid w:val="00363BEA"/>
    <w:rsid w:val="00364C62"/>
    <w:rsid w:val="00370586"/>
    <w:rsid w:val="003707BF"/>
    <w:rsid w:val="0037091E"/>
    <w:rsid w:val="0037152F"/>
    <w:rsid w:val="003716FD"/>
    <w:rsid w:val="003719D4"/>
    <w:rsid w:val="0037204B"/>
    <w:rsid w:val="003744CF"/>
    <w:rsid w:val="00374717"/>
    <w:rsid w:val="0037676C"/>
    <w:rsid w:val="003771DA"/>
    <w:rsid w:val="00380233"/>
    <w:rsid w:val="003805BB"/>
    <w:rsid w:val="00381043"/>
    <w:rsid w:val="003829E5"/>
    <w:rsid w:val="0039050B"/>
    <w:rsid w:val="003956CC"/>
    <w:rsid w:val="00395C9A"/>
    <w:rsid w:val="00396E72"/>
    <w:rsid w:val="0039702E"/>
    <w:rsid w:val="00397039"/>
    <w:rsid w:val="00397394"/>
    <w:rsid w:val="003A1E76"/>
    <w:rsid w:val="003A1FCA"/>
    <w:rsid w:val="003A290C"/>
    <w:rsid w:val="003A299B"/>
    <w:rsid w:val="003A2ECA"/>
    <w:rsid w:val="003A4E48"/>
    <w:rsid w:val="003A4F63"/>
    <w:rsid w:val="003A6283"/>
    <w:rsid w:val="003A6B67"/>
    <w:rsid w:val="003B13B6"/>
    <w:rsid w:val="003B14F6"/>
    <w:rsid w:val="003B15E6"/>
    <w:rsid w:val="003B3539"/>
    <w:rsid w:val="003B56FC"/>
    <w:rsid w:val="003C08A2"/>
    <w:rsid w:val="003C141B"/>
    <w:rsid w:val="003C2045"/>
    <w:rsid w:val="003C43A1"/>
    <w:rsid w:val="003C4748"/>
    <w:rsid w:val="003C4FC0"/>
    <w:rsid w:val="003C55F4"/>
    <w:rsid w:val="003C62D7"/>
    <w:rsid w:val="003C7897"/>
    <w:rsid w:val="003C7A3F"/>
    <w:rsid w:val="003D0ADE"/>
    <w:rsid w:val="003D2766"/>
    <w:rsid w:val="003D359C"/>
    <w:rsid w:val="003D3E8F"/>
    <w:rsid w:val="003D5081"/>
    <w:rsid w:val="003D6475"/>
    <w:rsid w:val="003E375C"/>
    <w:rsid w:val="003E4086"/>
    <w:rsid w:val="003F0445"/>
    <w:rsid w:val="003F07C9"/>
    <w:rsid w:val="003F0A09"/>
    <w:rsid w:val="003F0CF0"/>
    <w:rsid w:val="003F0D2B"/>
    <w:rsid w:val="003F12B1"/>
    <w:rsid w:val="003F14B1"/>
    <w:rsid w:val="003F25FB"/>
    <w:rsid w:val="003F3289"/>
    <w:rsid w:val="003F374B"/>
    <w:rsid w:val="003F748F"/>
    <w:rsid w:val="004007B1"/>
    <w:rsid w:val="004013C7"/>
    <w:rsid w:val="00401FCF"/>
    <w:rsid w:val="0040542C"/>
    <w:rsid w:val="00406285"/>
    <w:rsid w:val="00406AB1"/>
    <w:rsid w:val="00406D95"/>
    <w:rsid w:val="004107EC"/>
    <w:rsid w:val="004134E9"/>
    <w:rsid w:val="00414292"/>
    <w:rsid w:val="004148F9"/>
    <w:rsid w:val="00417A5A"/>
    <w:rsid w:val="0042084E"/>
    <w:rsid w:val="00421EEF"/>
    <w:rsid w:val="004239F0"/>
    <w:rsid w:val="004244C7"/>
    <w:rsid w:val="00424D65"/>
    <w:rsid w:val="00432C83"/>
    <w:rsid w:val="00433047"/>
    <w:rsid w:val="00434FFB"/>
    <w:rsid w:val="00435608"/>
    <w:rsid w:val="00442C6C"/>
    <w:rsid w:val="00443CBE"/>
    <w:rsid w:val="00443E8A"/>
    <w:rsid w:val="004441BC"/>
    <w:rsid w:val="00445037"/>
    <w:rsid w:val="004468B4"/>
    <w:rsid w:val="0045230A"/>
    <w:rsid w:val="00453182"/>
    <w:rsid w:val="004540BD"/>
    <w:rsid w:val="00457337"/>
    <w:rsid w:val="00460C5F"/>
    <w:rsid w:val="0046329F"/>
    <w:rsid w:val="004639BE"/>
    <w:rsid w:val="00471CCC"/>
    <w:rsid w:val="0047372D"/>
    <w:rsid w:val="00473774"/>
    <w:rsid w:val="0047377F"/>
    <w:rsid w:val="00473BA3"/>
    <w:rsid w:val="00473F99"/>
    <w:rsid w:val="004743DD"/>
    <w:rsid w:val="00474880"/>
    <w:rsid w:val="00474CEA"/>
    <w:rsid w:val="00480D1D"/>
    <w:rsid w:val="00483968"/>
    <w:rsid w:val="00484F86"/>
    <w:rsid w:val="00485DDA"/>
    <w:rsid w:val="00487214"/>
    <w:rsid w:val="00490746"/>
    <w:rsid w:val="00490852"/>
    <w:rsid w:val="00491B3B"/>
    <w:rsid w:val="00492F30"/>
    <w:rsid w:val="004946F4"/>
    <w:rsid w:val="0049487E"/>
    <w:rsid w:val="004A160D"/>
    <w:rsid w:val="004A3E81"/>
    <w:rsid w:val="004A5C62"/>
    <w:rsid w:val="004A6EB8"/>
    <w:rsid w:val="004A707D"/>
    <w:rsid w:val="004A72C0"/>
    <w:rsid w:val="004A798A"/>
    <w:rsid w:val="004B1B0D"/>
    <w:rsid w:val="004B2FDB"/>
    <w:rsid w:val="004B6432"/>
    <w:rsid w:val="004C6EEE"/>
    <w:rsid w:val="004C702B"/>
    <w:rsid w:val="004C7550"/>
    <w:rsid w:val="004D0033"/>
    <w:rsid w:val="004D016B"/>
    <w:rsid w:val="004D196C"/>
    <w:rsid w:val="004D1B22"/>
    <w:rsid w:val="004D36F2"/>
    <w:rsid w:val="004D4012"/>
    <w:rsid w:val="004D6791"/>
    <w:rsid w:val="004D76C7"/>
    <w:rsid w:val="004E102E"/>
    <w:rsid w:val="004E1106"/>
    <w:rsid w:val="004E138F"/>
    <w:rsid w:val="004E2F57"/>
    <w:rsid w:val="004E428B"/>
    <w:rsid w:val="004E4649"/>
    <w:rsid w:val="004E5C2B"/>
    <w:rsid w:val="004E7BF2"/>
    <w:rsid w:val="004F00DD"/>
    <w:rsid w:val="004F1670"/>
    <w:rsid w:val="004F1C14"/>
    <w:rsid w:val="004F2133"/>
    <w:rsid w:val="004F29EE"/>
    <w:rsid w:val="004F34FF"/>
    <w:rsid w:val="004F55F1"/>
    <w:rsid w:val="004F6936"/>
    <w:rsid w:val="00500864"/>
    <w:rsid w:val="00500F99"/>
    <w:rsid w:val="00503BED"/>
    <w:rsid w:val="00503DC6"/>
    <w:rsid w:val="005062A0"/>
    <w:rsid w:val="00506F5D"/>
    <w:rsid w:val="0050721E"/>
    <w:rsid w:val="005107BE"/>
    <w:rsid w:val="0051169D"/>
    <w:rsid w:val="00511E42"/>
    <w:rsid w:val="005126D0"/>
    <w:rsid w:val="0051338F"/>
    <w:rsid w:val="0051568D"/>
    <w:rsid w:val="00515E5D"/>
    <w:rsid w:val="005258D4"/>
    <w:rsid w:val="0052681A"/>
    <w:rsid w:val="00526C15"/>
    <w:rsid w:val="00532817"/>
    <w:rsid w:val="00534DFC"/>
    <w:rsid w:val="00536311"/>
    <w:rsid w:val="00536499"/>
    <w:rsid w:val="00537940"/>
    <w:rsid w:val="00542C86"/>
    <w:rsid w:val="00543059"/>
    <w:rsid w:val="00543903"/>
    <w:rsid w:val="00543F11"/>
    <w:rsid w:val="005472A3"/>
    <w:rsid w:val="00547A95"/>
    <w:rsid w:val="005537ED"/>
    <w:rsid w:val="00562678"/>
    <w:rsid w:val="00564E0B"/>
    <w:rsid w:val="00567560"/>
    <w:rsid w:val="00567E4E"/>
    <w:rsid w:val="00570021"/>
    <w:rsid w:val="00572031"/>
    <w:rsid w:val="00572282"/>
    <w:rsid w:val="00573ECF"/>
    <w:rsid w:val="00576621"/>
    <w:rsid w:val="00576E84"/>
    <w:rsid w:val="00582800"/>
    <w:rsid w:val="00582B8C"/>
    <w:rsid w:val="0058757E"/>
    <w:rsid w:val="00590B34"/>
    <w:rsid w:val="005933A3"/>
    <w:rsid w:val="00596A4B"/>
    <w:rsid w:val="00597507"/>
    <w:rsid w:val="005A072E"/>
    <w:rsid w:val="005A0F29"/>
    <w:rsid w:val="005B1C6D"/>
    <w:rsid w:val="005B21B6"/>
    <w:rsid w:val="005B3A08"/>
    <w:rsid w:val="005B7A63"/>
    <w:rsid w:val="005C05A0"/>
    <w:rsid w:val="005C0955"/>
    <w:rsid w:val="005C1D87"/>
    <w:rsid w:val="005C46A3"/>
    <w:rsid w:val="005C49DA"/>
    <w:rsid w:val="005C50F3"/>
    <w:rsid w:val="005C54B5"/>
    <w:rsid w:val="005C56D2"/>
    <w:rsid w:val="005C5D80"/>
    <w:rsid w:val="005C5D91"/>
    <w:rsid w:val="005D07B8"/>
    <w:rsid w:val="005D2192"/>
    <w:rsid w:val="005D3761"/>
    <w:rsid w:val="005D45D3"/>
    <w:rsid w:val="005D64B3"/>
    <w:rsid w:val="005D6597"/>
    <w:rsid w:val="005E02C8"/>
    <w:rsid w:val="005E14E7"/>
    <w:rsid w:val="005E26A3"/>
    <w:rsid w:val="005E447E"/>
    <w:rsid w:val="005F0775"/>
    <w:rsid w:val="005F0CF5"/>
    <w:rsid w:val="005F21EB"/>
    <w:rsid w:val="005F3A38"/>
    <w:rsid w:val="005F46E4"/>
    <w:rsid w:val="005F4F37"/>
    <w:rsid w:val="005F528D"/>
    <w:rsid w:val="005F6B99"/>
    <w:rsid w:val="00605908"/>
    <w:rsid w:val="00610D7C"/>
    <w:rsid w:val="00613414"/>
    <w:rsid w:val="00620154"/>
    <w:rsid w:val="00620D39"/>
    <w:rsid w:val="006220F2"/>
    <w:rsid w:val="006221A6"/>
    <w:rsid w:val="00622DDD"/>
    <w:rsid w:val="0062408D"/>
    <w:rsid w:val="006240CC"/>
    <w:rsid w:val="00624E47"/>
    <w:rsid w:val="006254F8"/>
    <w:rsid w:val="00625B4E"/>
    <w:rsid w:val="00626045"/>
    <w:rsid w:val="00627562"/>
    <w:rsid w:val="00627DA7"/>
    <w:rsid w:val="006301E0"/>
    <w:rsid w:val="006305EC"/>
    <w:rsid w:val="006310EC"/>
    <w:rsid w:val="00632265"/>
    <w:rsid w:val="00632B83"/>
    <w:rsid w:val="0063547C"/>
    <w:rsid w:val="006358B4"/>
    <w:rsid w:val="006361EC"/>
    <w:rsid w:val="006419AA"/>
    <w:rsid w:val="00642A5B"/>
    <w:rsid w:val="00644B1F"/>
    <w:rsid w:val="00644B7E"/>
    <w:rsid w:val="006452C1"/>
    <w:rsid w:val="006454E6"/>
    <w:rsid w:val="00645A93"/>
    <w:rsid w:val="00646235"/>
    <w:rsid w:val="00646434"/>
    <w:rsid w:val="006466DD"/>
    <w:rsid w:val="00646A68"/>
    <w:rsid w:val="0065092E"/>
    <w:rsid w:val="006557A7"/>
    <w:rsid w:val="00655C10"/>
    <w:rsid w:val="00656290"/>
    <w:rsid w:val="006621D7"/>
    <w:rsid w:val="006621DE"/>
    <w:rsid w:val="00662ADD"/>
    <w:rsid w:val="0066302A"/>
    <w:rsid w:val="0066379D"/>
    <w:rsid w:val="00665BBC"/>
    <w:rsid w:val="00670597"/>
    <w:rsid w:val="006706D0"/>
    <w:rsid w:val="00670ACC"/>
    <w:rsid w:val="00673621"/>
    <w:rsid w:val="00674512"/>
    <w:rsid w:val="00677574"/>
    <w:rsid w:val="00680692"/>
    <w:rsid w:val="00682761"/>
    <w:rsid w:val="0068454C"/>
    <w:rsid w:val="0068683F"/>
    <w:rsid w:val="00691B62"/>
    <w:rsid w:val="006933B5"/>
    <w:rsid w:val="00693D14"/>
    <w:rsid w:val="006940DD"/>
    <w:rsid w:val="00694F83"/>
    <w:rsid w:val="00695897"/>
    <w:rsid w:val="006A09B6"/>
    <w:rsid w:val="006A18C2"/>
    <w:rsid w:val="006A673D"/>
    <w:rsid w:val="006A7AAE"/>
    <w:rsid w:val="006B077C"/>
    <w:rsid w:val="006B172C"/>
    <w:rsid w:val="006B4020"/>
    <w:rsid w:val="006B5AF3"/>
    <w:rsid w:val="006B6803"/>
    <w:rsid w:val="006C07DF"/>
    <w:rsid w:val="006D06E8"/>
    <w:rsid w:val="006D0F16"/>
    <w:rsid w:val="006D164E"/>
    <w:rsid w:val="006D2A3F"/>
    <w:rsid w:val="006D2FBC"/>
    <w:rsid w:val="006D3021"/>
    <w:rsid w:val="006D7D76"/>
    <w:rsid w:val="006E138B"/>
    <w:rsid w:val="006E24D5"/>
    <w:rsid w:val="006E2605"/>
    <w:rsid w:val="006E396D"/>
    <w:rsid w:val="006E57C6"/>
    <w:rsid w:val="006F1FDC"/>
    <w:rsid w:val="006F2B82"/>
    <w:rsid w:val="006F4F08"/>
    <w:rsid w:val="006F6B8C"/>
    <w:rsid w:val="00701103"/>
    <w:rsid w:val="007013EF"/>
    <w:rsid w:val="00701EEB"/>
    <w:rsid w:val="00706FD4"/>
    <w:rsid w:val="00712605"/>
    <w:rsid w:val="00716523"/>
    <w:rsid w:val="007172B9"/>
    <w:rsid w:val="007173CA"/>
    <w:rsid w:val="007216AA"/>
    <w:rsid w:val="00721AB5"/>
    <w:rsid w:val="00721CFB"/>
    <w:rsid w:val="00721D5A"/>
    <w:rsid w:val="00721DEF"/>
    <w:rsid w:val="00724A43"/>
    <w:rsid w:val="007259EB"/>
    <w:rsid w:val="0073254F"/>
    <w:rsid w:val="00732E91"/>
    <w:rsid w:val="007346E4"/>
    <w:rsid w:val="00737AAD"/>
    <w:rsid w:val="00740721"/>
    <w:rsid w:val="00740F22"/>
    <w:rsid w:val="00741F1A"/>
    <w:rsid w:val="00743DDA"/>
    <w:rsid w:val="00743EF8"/>
    <w:rsid w:val="007450F8"/>
    <w:rsid w:val="00745736"/>
    <w:rsid w:val="0074690D"/>
    <w:rsid w:val="0074696E"/>
    <w:rsid w:val="00750135"/>
    <w:rsid w:val="007502EB"/>
    <w:rsid w:val="00750EC2"/>
    <w:rsid w:val="00752470"/>
    <w:rsid w:val="00752B28"/>
    <w:rsid w:val="00754E36"/>
    <w:rsid w:val="00761AC6"/>
    <w:rsid w:val="00761BB3"/>
    <w:rsid w:val="00763139"/>
    <w:rsid w:val="0076378E"/>
    <w:rsid w:val="00765C5E"/>
    <w:rsid w:val="00770F37"/>
    <w:rsid w:val="007711A0"/>
    <w:rsid w:val="0077168C"/>
    <w:rsid w:val="00771AFE"/>
    <w:rsid w:val="00772D5E"/>
    <w:rsid w:val="00774C4F"/>
    <w:rsid w:val="00776928"/>
    <w:rsid w:val="00785677"/>
    <w:rsid w:val="00786B3A"/>
    <w:rsid w:val="00786F16"/>
    <w:rsid w:val="007872CA"/>
    <w:rsid w:val="00791BD7"/>
    <w:rsid w:val="00792200"/>
    <w:rsid w:val="007933F7"/>
    <w:rsid w:val="00796E20"/>
    <w:rsid w:val="00797974"/>
    <w:rsid w:val="00797C32"/>
    <w:rsid w:val="00797D37"/>
    <w:rsid w:val="007A0E8C"/>
    <w:rsid w:val="007A11E8"/>
    <w:rsid w:val="007A19DD"/>
    <w:rsid w:val="007B0914"/>
    <w:rsid w:val="007B12DB"/>
    <w:rsid w:val="007B1374"/>
    <w:rsid w:val="007B15BC"/>
    <w:rsid w:val="007B53DE"/>
    <w:rsid w:val="007B589F"/>
    <w:rsid w:val="007B6186"/>
    <w:rsid w:val="007B73BC"/>
    <w:rsid w:val="007B7435"/>
    <w:rsid w:val="007B7B06"/>
    <w:rsid w:val="007C20B9"/>
    <w:rsid w:val="007C5C24"/>
    <w:rsid w:val="007C7301"/>
    <w:rsid w:val="007C7859"/>
    <w:rsid w:val="007D2BDE"/>
    <w:rsid w:val="007D2FB6"/>
    <w:rsid w:val="007D3F82"/>
    <w:rsid w:val="007D416D"/>
    <w:rsid w:val="007D49EB"/>
    <w:rsid w:val="007E0DE2"/>
    <w:rsid w:val="007E26AB"/>
    <w:rsid w:val="007E3B98"/>
    <w:rsid w:val="007E417A"/>
    <w:rsid w:val="007E70C9"/>
    <w:rsid w:val="007E7BF5"/>
    <w:rsid w:val="007F1AD2"/>
    <w:rsid w:val="007F31B6"/>
    <w:rsid w:val="007F546C"/>
    <w:rsid w:val="007F625F"/>
    <w:rsid w:val="007F665E"/>
    <w:rsid w:val="007F7D81"/>
    <w:rsid w:val="00800412"/>
    <w:rsid w:val="0080587B"/>
    <w:rsid w:val="00806468"/>
    <w:rsid w:val="008155F0"/>
    <w:rsid w:val="00816735"/>
    <w:rsid w:val="00820141"/>
    <w:rsid w:val="00820E0C"/>
    <w:rsid w:val="0082366F"/>
    <w:rsid w:val="00823E4E"/>
    <w:rsid w:val="00824B60"/>
    <w:rsid w:val="008266DE"/>
    <w:rsid w:val="00826E6B"/>
    <w:rsid w:val="0083273B"/>
    <w:rsid w:val="00832AA3"/>
    <w:rsid w:val="008338A2"/>
    <w:rsid w:val="00833C4D"/>
    <w:rsid w:val="008418D4"/>
    <w:rsid w:val="00841AA9"/>
    <w:rsid w:val="0084306D"/>
    <w:rsid w:val="00843D3B"/>
    <w:rsid w:val="00847929"/>
    <w:rsid w:val="00851769"/>
    <w:rsid w:val="00851BC6"/>
    <w:rsid w:val="00853EE4"/>
    <w:rsid w:val="00855535"/>
    <w:rsid w:val="00857C5A"/>
    <w:rsid w:val="0086255E"/>
    <w:rsid w:val="008633F0"/>
    <w:rsid w:val="00864CAA"/>
    <w:rsid w:val="00867D9D"/>
    <w:rsid w:val="008707BD"/>
    <w:rsid w:val="00872A37"/>
    <w:rsid w:val="00872E0A"/>
    <w:rsid w:val="00874E8F"/>
    <w:rsid w:val="00875285"/>
    <w:rsid w:val="00875869"/>
    <w:rsid w:val="008769BD"/>
    <w:rsid w:val="008821EF"/>
    <w:rsid w:val="00883C37"/>
    <w:rsid w:val="00884B62"/>
    <w:rsid w:val="0088529C"/>
    <w:rsid w:val="00887903"/>
    <w:rsid w:val="0089270A"/>
    <w:rsid w:val="00893AF6"/>
    <w:rsid w:val="00894BC4"/>
    <w:rsid w:val="008A0E72"/>
    <w:rsid w:val="008A5B32"/>
    <w:rsid w:val="008A6DBE"/>
    <w:rsid w:val="008B2EE4"/>
    <w:rsid w:val="008B3B87"/>
    <w:rsid w:val="008B4D3D"/>
    <w:rsid w:val="008B57C7"/>
    <w:rsid w:val="008B62A0"/>
    <w:rsid w:val="008C2F92"/>
    <w:rsid w:val="008D0B5D"/>
    <w:rsid w:val="008D2846"/>
    <w:rsid w:val="008D3610"/>
    <w:rsid w:val="008D4236"/>
    <w:rsid w:val="008D462F"/>
    <w:rsid w:val="008D6B73"/>
    <w:rsid w:val="008D6DCF"/>
    <w:rsid w:val="008E0A0E"/>
    <w:rsid w:val="008E2132"/>
    <w:rsid w:val="008E4376"/>
    <w:rsid w:val="008E5107"/>
    <w:rsid w:val="008E5400"/>
    <w:rsid w:val="008E56EB"/>
    <w:rsid w:val="008E7A0A"/>
    <w:rsid w:val="008E7B49"/>
    <w:rsid w:val="008F3B47"/>
    <w:rsid w:val="008F59F6"/>
    <w:rsid w:val="008F5EC2"/>
    <w:rsid w:val="008F65A7"/>
    <w:rsid w:val="008F6768"/>
    <w:rsid w:val="009003AB"/>
    <w:rsid w:val="00900719"/>
    <w:rsid w:val="009017AC"/>
    <w:rsid w:val="0090233A"/>
    <w:rsid w:val="00904A1C"/>
    <w:rsid w:val="00905030"/>
    <w:rsid w:val="00906490"/>
    <w:rsid w:val="009111B2"/>
    <w:rsid w:val="00912F39"/>
    <w:rsid w:val="009201CC"/>
    <w:rsid w:val="00920B15"/>
    <w:rsid w:val="00920FFD"/>
    <w:rsid w:val="00924AE1"/>
    <w:rsid w:val="00925752"/>
    <w:rsid w:val="009269B1"/>
    <w:rsid w:val="00926C8A"/>
    <w:rsid w:val="0092724D"/>
    <w:rsid w:val="00927C0B"/>
    <w:rsid w:val="0093338F"/>
    <w:rsid w:val="009338A4"/>
    <w:rsid w:val="0093540F"/>
    <w:rsid w:val="00937BD9"/>
    <w:rsid w:val="00937C19"/>
    <w:rsid w:val="00950137"/>
    <w:rsid w:val="00950E2C"/>
    <w:rsid w:val="00951D50"/>
    <w:rsid w:val="00951FDC"/>
    <w:rsid w:val="009525EB"/>
    <w:rsid w:val="00954874"/>
    <w:rsid w:val="009562AB"/>
    <w:rsid w:val="009609E4"/>
    <w:rsid w:val="00961400"/>
    <w:rsid w:val="00963646"/>
    <w:rsid w:val="0096632D"/>
    <w:rsid w:val="009735AA"/>
    <w:rsid w:val="0097559F"/>
    <w:rsid w:val="00975DB3"/>
    <w:rsid w:val="00977E45"/>
    <w:rsid w:val="009800E2"/>
    <w:rsid w:val="00981EB9"/>
    <w:rsid w:val="009853E1"/>
    <w:rsid w:val="009857C4"/>
    <w:rsid w:val="009868AC"/>
    <w:rsid w:val="00986CDC"/>
    <w:rsid w:val="00986E6B"/>
    <w:rsid w:val="0098714B"/>
    <w:rsid w:val="00991769"/>
    <w:rsid w:val="00994386"/>
    <w:rsid w:val="00997D05"/>
    <w:rsid w:val="009A13D8"/>
    <w:rsid w:val="009A22E3"/>
    <w:rsid w:val="009A279E"/>
    <w:rsid w:val="009A575F"/>
    <w:rsid w:val="009B0A6F"/>
    <w:rsid w:val="009B0A94"/>
    <w:rsid w:val="009B1B9B"/>
    <w:rsid w:val="009B2275"/>
    <w:rsid w:val="009B26F2"/>
    <w:rsid w:val="009B59E9"/>
    <w:rsid w:val="009B690B"/>
    <w:rsid w:val="009B6ACD"/>
    <w:rsid w:val="009B70AA"/>
    <w:rsid w:val="009C201E"/>
    <w:rsid w:val="009C28EE"/>
    <w:rsid w:val="009C5E77"/>
    <w:rsid w:val="009C7A7E"/>
    <w:rsid w:val="009D02E8"/>
    <w:rsid w:val="009D51D0"/>
    <w:rsid w:val="009D6ABF"/>
    <w:rsid w:val="009D70A4"/>
    <w:rsid w:val="009E08D1"/>
    <w:rsid w:val="009E10F7"/>
    <w:rsid w:val="009E1B95"/>
    <w:rsid w:val="009E2DFF"/>
    <w:rsid w:val="009E46D6"/>
    <w:rsid w:val="009E496F"/>
    <w:rsid w:val="009E4B0D"/>
    <w:rsid w:val="009E7F92"/>
    <w:rsid w:val="009F005A"/>
    <w:rsid w:val="009F02A3"/>
    <w:rsid w:val="009F15A6"/>
    <w:rsid w:val="009F2F27"/>
    <w:rsid w:val="009F34AA"/>
    <w:rsid w:val="009F6BCB"/>
    <w:rsid w:val="009F7B78"/>
    <w:rsid w:val="00A0057A"/>
    <w:rsid w:val="00A0217E"/>
    <w:rsid w:val="00A027CF"/>
    <w:rsid w:val="00A04199"/>
    <w:rsid w:val="00A0776B"/>
    <w:rsid w:val="00A11421"/>
    <w:rsid w:val="00A11649"/>
    <w:rsid w:val="00A13B3E"/>
    <w:rsid w:val="00A14601"/>
    <w:rsid w:val="00A157B1"/>
    <w:rsid w:val="00A163B7"/>
    <w:rsid w:val="00A17C14"/>
    <w:rsid w:val="00A17E38"/>
    <w:rsid w:val="00A22229"/>
    <w:rsid w:val="00A25B3F"/>
    <w:rsid w:val="00A265E8"/>
    <w:rsid w:val="00A27CA4"/>
    <w:rsid w:val="00A302C1"/>
    <w:rsid w:val="00A31D28"/>
    <w:rsid w:val="00A330BB"/>
    <w:rsid w:val="00A36FC4"/>
    <w:rsid w:val="00A42E59"/>
    <w:rsid w:val="00A4326D"/>
    <w:rsid w:val="00A4372B"/>
    <w:rsid w:val="00A44882"/>
    <w:rsid w:val="00A46251"/>
    <w:rsid w:val="00A50E3E"/>
    <w:rsid w:val="00A5218A"/>
    <w:rsid w:val="00A54715"/>
    <w:rsid w:val="00A6061C"/>
    <w:rsid w:val="00A60CA4"/>
    <w:rsid w:val="00A60EBC"/>
    <w:rsid w:val="00A62D44"/>
    <w:rsid w:val="00A647BB"/>
    <w:rsid w:val="00A67263"/>
    <w:rsid w:val="00A67725"/>
    <w:rsid w:val="00A70CCA"/>
    <w:rsid w:val="00A70DBC"/>
    <w:rsid w:val="00A7161C"/>
    <w:rsid w:val="00A72AA0"/>
    <w:rsid w:val="00A743A0"/>
    <w:rsid w:val="00A7777F"/>
    <w:rsid w:val="00A77AA3"/>
    <w:rsid w:val="00A841C0"/>
    <w:rsid w:val="00A854EB"/>
    <w:rsid w:val="00A85D4E"/>
    <w:rsid w:val="00A872E5"/>
    <w:rsid w:val="00A91406"/>
    <w:rsid w:val="00A93E85"/>
    <w:rsid w:val="00A94DA4"/>
    <w:rsid w:val="00A96E65"/>
    <w:rsid w:val="00A97C72"/>
    <w:rsid w:val="00AA0DC6"/>
    <w:rsid w:val="00AA1D2B"/>
    <w:rsid w:val="00AA2F0C"/>
    <w:rsid w:val="00AA2F7B"/>
    <w:rsid w:val="00AA54CD"/>
    <w:rsid w:val="00AA614F"/>
    <w:rsid w:val="00AA63D4"/>
    <w:rsid w:val="00AA790B"/>
    <w:rsid w:val="00AB06E8"/>
    <w:rsid w:val="00AB1CD3"/>
    <w:rsid w:val="00AB1E18"/>
    <w:rsid w:val="00AB2BC1"/>
    <w:rsid w:val="00AB352F"/>
    <w:rsid w:val="00AB376D"/>
    <w:rsid w:val="00AB4458"/>
    <w:rsid w:val="00AB50D7"/>
    <w:rsid w:val="00AB51A8"/>
    <w:rsid w:val="00AB520B"/>
    <w:rsid w:val="00AB5F21"/>
    <w:rsid w:val="00AB79EC"/>
    <w:rsid w:val="00AC0EAF"/>
    <w:rsid w:val="00AC101E"/>
    <w:rsid w:val="00AC274B"/>
    <w:rsid w:val="00AC4764"/>
    <w:rsid w:val="00AC4F3F"/>
    <w:rsid w:val="00AC6D36"/>
    <w:rsid w:val="00AC6D7D"/>
    <w:rsid w:val="00AD000C"/>
    <w:rsid w:val="00AD0B5D"/>
    <w:rsid w:val="00AD0CBA"/>
    <w:rsid w:val="00AD26E2"/>
    <w:rsid w:val="00AD28A0"/>
    <w:rsid w:val="00AD59E0"/>
    <w:rsid w:val="00AD784C"/>
    <w:rsid w:val="00AE07E7"/>
    <w:rsid w:val="00AE126A"/>
    <w:rsid w:val="00AE13CA"/>
    <w:rsid w:val="00AE3005"/>
    <w:rsid w:val="00AE30CB"/>
    <w:rsid w:val="00AE3819"/>
    <w:rsid w:val="00AE3B16"/>
    <w:rsid w:val="00AE3BD5"/>
    <w:rsid w:val="00AE59A0"/>
    <w:rsid w:val="00AF05AC"/>
    <w:rsid w:val="00AF0C57"/>
    <w:rsid w:val="00AF26F3"/>
    <w:rsid w:val="00AF35C2"/>
    <w:rsid w:val="00AF4631"/>
    <w:rsid w:val="00AF4644"/>
    <w:rsid w:val="00AF5747"/>
    <w:rsid w:val="00AF5F04"/>
    <w:rsid w:val="00AF6295"/>
    <w:rsid w:val="00AF6833"/>
    <w:rsid w:val="00B00446"/>
    <w:rsid w:val="00B00672"/>
    <w:rsid w:val="00B00CAA"/>
    <w:rsid w:val="00B01B4D"/>
    <w:rsid w:val="00B038B8"/>
    <w:rsid w:val="00B06571"/>
    <w:rsid w:val="00B068BA"/>
    <w:rsid w:val="00B07861"/>
    <w:rsid w:val="00B07C5C"/>
    <w:rsid w:val="00B13851"/>
    <w:rsid w:val="00B13B1C"/>
    <w:rsid w:val="00B14393"/>
    <w:rsid w:val="00B152BD"/>
    <w:rsid w:val="00B22291"/>
    <w:rsid w:val="00B22832"/>
    <w:rsid w:val="00B234EE"/>
    <w:rsid w:val="00B23AEC"/>
    <w:rsid w:val="00B23F9A"/>
    <w:rsid w:val="00B2417B"/>
    <w:rsid w:val="00B24E6F"/>
    <w:rsid w:val="00B26CB5"/>
    <w:rsid w:val="00B2752E"/>
    <w:rsid w:val="00B3018D"/>
    <w:rsid w:val="00B307CC"/>
    <w:rsid w:val="00B326B7"/>
    <w:rsid w:val="00B3671F"/>
    <w:rsid w:val="00B36A53"/>
    <w:rsid w:val="00B43028"/>
    <w:rsid w:val="00B431E8"/>
    <w:rsid w:val="00B45141"/>
    <w:rsid w:val="00B45876"/>
    <w:rsid w:val="00B50EF3"/>
    <w:rsid w:val="00B50F7B"/>
    <w:rsid w:val="00B5110D"/>
    <w:rsid w:val="00B5273A"/>
    <w:rsid w:val="00B57329"/>
    <w:rsid w:val="00B60E61"/>
    <w:rsid w:val="00B61C90"/>
    <w:rsid w:val="00B6270F"/>
    <w:rsid w:val="00B62B50"/>
    <w:rsid w:val="00B635B7"/>
    <w:rsid w:val="00B63AE8"/>
    <w:rsid w:val="00B64727"/>
    <w:rsid w:val="00B65950"/>
    <w:rsid w:val="00B66D83"/>
    <w:rsid w:val="00B672C0"/>
    <w:rsid w:val="00B71258"/>
    <w:rsid w:val="00B75646"/>
    <w:rsid w:val="00B770D8"/>
    <w:rsid w:val="00B80051"/>
    <w:rsid w:val="00B809C1"/>
    <w:rsid w:val="00B81F39"/>
    <w:rsid w:val="00B82396"/>
    <w:rsid w:val="00B842BA"/>
    <w:rsid w:val="00B90729"/>
    <w:rsid w:val="00B907DA"/>
    <w:rsid w:val="00B90BD6"/>
    <w:rsid w:val="00B91844"/>
    <w:rsid w:val="00B936F8"/>
    <w:rsid w:val="00B950BC"/>
    <w:rsid w:val="00B9714C"/>
    <w:rsid w:val="00B97D4E"/>
    <w:rsid w:val="00B97DAE"/>
    <w:rsid w:val="00BA0D19"/>
    <w:rsid w:val="00BA14C2"/>
    <w:rsid w:val="00BA29AD"/>
    <w:rsid w:val="00BA3F8D"/>
    <w:rsid w:val="00BA53D6"/>
    <w:rsid w:val="00BA6DE8"/>
    <w:rsid w:val="00BA6F12"/>
    <w:rsid w:val="00BB3F78"/>
    <w:rsid w:val="00BB4BB0"/>
    <w:rsid w:val="00BB51CA"/>
    <w:rsid w:val="00BB6FF1"/>
    <w:rsid w:val="00BB7A10"/>
    <w:rsid w:val="00BC3323"/>
    <w:rsid w:val="00BC3E5E"/>
    <w:rsid w:val="00BC557B"/>
    <w:rsid w:val="00BC61B8"/>
    <w:rsid w:val="00BC66CE"/>
    <w:rsid w:val="00BC7468"/>
    <w:rsid w:val="00BC78F1"/>
    <w:rsid w:val="00BC7D4F"/>
    <w:rsid w:val="00BC7ED7"/>
    <w:rsid w:val="00BD0420"/>
    <w:rsid w:val="00BD2850"/>
    <w:rsid w:val="00BD2E65"/>
    <w:rsid w:val="00BD3FB1"/>
    <w:rsid w:val="00BD4724"/>
    <w:rsid w:val="00BE1DA5"/>
    <w:rsid w:val="00BE1E70"/>
    <w:rsid w:val="00BE28D2"/>
    <w:rsid w:val="00BE395B"/>
    <w:rsid w:val="00BE4A64"/>
    <w:rsid w:val="00BE6108"/>
    <w:rsid w:val="00BF4A7B"/>
    <w:rsid w:val="00BF557D"/>
    <w:rsid w:val="00BF6D92"/>
    <w:rsid w:val="00BF6E74"/>
    <w:rsid w:val="00BF7F58"/>
    <w:rsid w:val="00C00BC4"/>
    <w:rsid w:val="00C01381"/>
    <w:rsid w:val="00C01AB1"/>
    <w:rsid w:val="00C02BC8"/>
    <w:rsid w:val="00C079B8"/>
    <w:rsid w:val="00C10037"/>
    <w:rsid w:val="00C123EA"/>
    <w:rsid w:val="00C12A49"/>
    <w:rsid w:val="00C133EE"/>
    <w:rsid w:val="00C138EC"/>
    <w:rsid w:val="00C149D0"/>
    <w:rsid w:val="00C17252"/>
    <w:rsid w:val="00C21F74"/>
    <w:rsid w:val="00C26588"/>
    <w:rsid w:val="00C2702B"/>
    <w:rsid w:val="00C277E8"/>
    <w:rsid w:val="00C27DE9"/>
    <w:rsid w:val="00C31C2A"/>
    <w:rsid w:val="00C31EE5"/>
    <w:rsid w:val="00C32E9E"/>
    <w:rsid w:val="00C33388"/>
    <w:rsid w:val="00C35484"/>
    <w:rsid w:val="00C3778F"/>
    <w:rsid w:val="00C4173A"/>
    <w:rsid w:val="00C4175C"/>
    <w:rsid w:val="00C43BB0"/>
    <w:rsid w:val="00C44383"/>
    <w:rsid w:val="00C602FF"/>
    <w:rsid w:val="00C61174"/>
    <w:rsid w:val="00C6148F"/>
    <w:rsid w:val="00C626CE"/>
    <w:rsid w:val="00C62F7A"/>
    <w:rsid w:val="00C63B9C"/>
    <w:rsid w:val="00C6682F"/>
    <w:rsid w:val="00C7275E"/>
    <w:rsid w:val="00C74C5D"/>
    <w:rsid w:val="00C77B3F"/>
    <w:rsid w:val="00C80CC0"/>
    <w:rsid w:val="00C83E71"/>
    <w:rsid w:val="00C86252"/>
    <w:rsid w:val="00C863C4"/>
    <w:rsid w:val="00C86860"/>
    <w:rsid w:val="00C8782C"/>
    <w:rsid w:val="00C920EA"/>
    <w:rsid w:val="00C93C3E"/>
    <w:rsid w:val="00C94896"/>
    <w:rsid w:val="00C95E4E"/>
    <w:rsid w:val="00CA12E3"/>
    <w:rsid w:val="00CA24A9"/>
    <w:rsid w:val="00CA3E58"/>
    <w:rsid w:val="00CA540E"/>
    <w:rsid w:val="00CA5491"/>
    <w:rsid w:val="00CA6611"/>
    <w:rsid w:val="00CA6AE6"/>
    <w:rsid w:val="00CA6DAA"/>
    <w:rsid w:val="00CA782F"/>
    <w:rsid w:val="00CB2BAF"/>
    <w:rsid w:val="00CB3285"/>
    <w:rsid w:val="00CB3B34"/>
    <w:rsid w:val="00CB40BB"/>
    <w:rsid w:val="00CB6652"/>
    <w:rsid w:val="00CB70F8"/>
    <w:rsid w:val="00CC0C72"/>
    <w:rsid w:val="00CC2BFD"/>
    <w:rsid w:val="00CC393C"/>
    <w:rsid w:val="00CC4035"/>
    <w:rsid w:val="00CC64C0"/>
    <w:rsid w:val="00CD12E3"/>
    <w:rsid w:val="00CD15C5"/>
    <w:rsid w:val="00CD1D72"/>
    <w:rsid w:val="00CD21AA"/>
    <w:rsid w:val="00CD3476"/>
    <w:rsid w:val="00CD36DE"/>
    <w:rsid w:val="00CD50F0"/>
    <w:rsid w:val="00CD54EA"/>
    <w:rsid w:val="00CD64DF"/>
    <w:rsid w:val="00CD7EE8"/>
    <w:rsid w:val="00CE5931"/>
    <w:rsid w:val="00CE7B9E"/>
    <w:rsid w:val="00CF2F50"/>
    <w:rsid w:val="00CF6198"/>
    <w:rsid w:val="00CF69AF"/>
    <w:rsid w:val="00D02919"/>
    <w:rsid w:val="00D02D30"/>
    <w:rsid w:val="00D0442C"/>
    <w:rsid w:val="00D04C61"/>
    <w:rsid w:val="00D05B8D"/>
    <w:rsid w:val="00D05DBB"/>
    <w:rsid w:val="00D065A2"/>
    <w:rsid w:val="00D07F00"/>
    <w:rsid w:val="00D10099"/>
    <w:rsid w:val="00D12527"/>
    <w:rsid w:val="00D12731"/>
    <w:rsid w:val="00D13FB8"/>
    <w:rsid w:val="00D17B72"/>
    <w:rsid w:val="00D17D7A"/>
    <w:rsid w:val="00D2427A"/>
    <w:rsid w:val="00D3185C"/>
    <w:rsid w:val="00D3318E"/>
    <w:rsid w:val="00D33E72"/>
    <w:rsid w:val="00D35BD6"/>
    <w:rsid w:val="00D361B5"/>
    <w:rsid w:val="00D37149"/>
    <w:rsid w:val="00D411A2"/>
    <w:rsid w:val="00D43AB1"/>
    <w:rsid w:val="00D458B4"/>
    <w:rsid w:val="00D45DA2"/>
    <w:rsid w:val="00D4606D"/>
    <w:rsid w:val="00D46222"/>
    <w:rsid w:val="00D50B9C"/>
    <w:rsid w:val="00D5184F"/>
    <w:rsid w:val="00D52D73"/>
    <w:rsid w:val="00D52E58"/>
    <w:rsid w:val="00D54B79"/>
    <w:rsid w:val="00D5663F"/>
    <w:rsid w:val="00D56B20"/>
    <w:rsid w:val="00D56DF6"/>
    <w:rsid w:val="00D57F3D"/>
    <w:rsid w:val="00D6165C"/>
    <w:rsid w:val="00D64A43"/>
    <w:rsid w:val="00D6597A"/>
    <w:rsid w:val="00D66FA0"/>
    <w:rsid w:val="00D714CC"/>
    <w:rsid w:val="00D71D9A"/>
    <w:rsid w:val="00D72EA3"/>
    <w:rsid w:val="00D75E5F"/>
    <w:rsid w:val="00D75EA7"/>
    <w:rsid w:val="00D81F21"/>
    <w:rsid w:val="00D82B2A"/>
    <w:rsid w:val="00D85995"/>
    <w:rsid w:val="00D95470"/>
    <w:rsid w:val="00D95F35"/>
    <w:rsid w:val="00DA09BC"/>
    <w:rsid w:val="00DA2619"/>
    <w:rsid w:val="00DA4009"/>
    <w:rsid w:val="00DA4239"/>
    <w:rsid w:val="00DA4CA9"/>
    <w:rsid w:val="00DA6A79"/>
    <w:rsid w:val="00DA6E2D"/>
    <w:rsid w:val="00DB0994"/>
    <w:rsid w:val="00DB0B61"/>
    <w:rsid w:val="00DB1A9D"/>
    <w:rsid w:val="00DB22C4"/>
    <w:rsid w:val="00DB52FB"/>
    <w:rsid w:val="00DB6C60"/>
    <w:rsid w:val="00DC090B"/>
    <w:rsid w:val="00DC1679"/>
    <w:rsid w:val="00DC2CF1"/>
    <w:rsid w:val="00DC4FCF"/>
    <w:rsid w:val="00DC50E0"/>
    <w:rsid w:val="00DC525D"/>
    <w:rsid w:val="00DC60DE"/>
    <w:rsid w:val="00DC6386"/>
    <w:rsid w:val="00DC71F4"/>
    <w:rsid w:val="00DD1130"/>
    <w:rsid w:val="00DD1951"/>
    <w:rsid w:val="00DD2188"/>
    <w:rsid w:val="00DD6628"/>
    <w:rsid w:val="00DD6945"/>
    <w:rsid w:val="00DE3250"/>
    <w:rsid w:val="00DE45E2"/>
    <w:rsid w:val="00DE57CF"/>
    <w:rsid w:val="00DE6028"/>
    <w:rsid w:val="00DE78A3"/>
    <w:rsid w:val="00DF1A71"/>
    <w:rsid w:val="00DF68C7"/>
    <w:rsid w:val="00DF731A"/>
    <w:rsid w:val="00E00FC7"/>
    <w:rsid w:val="00E03A81"/>
    <w:rsid w:val="00E044EA"/>
    <w:rsid w:val="00E05693"/>
    <w:rsid w:val="00E10D74"/>
    <w:rsid w:val="00E11332"/>
    <w:rsid w:val="00E11352"/>
    <w:rsid w:val="00E12C27"/>
    <w:rsid w:val="00E14319"/>
    <w:rsid w:val="00E170DC"/>
    <w:rsid w:val="00E20AA7"/>
    <w:rsid w:val="00E26742"/>
    <w:rsid w:val="00E26818"/>
    <w:rsid w:val="00E26916"/>
    <w:rsid w:val="00E269FF"/>
    <w:rsid w:val="00E27FFC"/>
    <w:rsid w:val="00E30B15"/>
    <w:rsid w:val="00E34C05"/>
    <w:rsid w:val="00E35255"/>
    <w:rsid w:val="00E40181"/>
    <w:rsid w:val="00E404FE"/>
    <w:rsid w:val="00E410F8"/>
    <w:rsid w:val="00E41D58"/>
    <w:rsid w:val="00E421AF"/>
    <w:rsid w:val="00E50CE6"/>
    <w:rsid w:val="00E524F6"/>
    <w:rsid w:val="00E53683"/>
    <w:rsid w:val="00E53F49"/>
    <w:rsid w:val="00E55701"/>
    <w:rsid w:val="00E55C4E"/>
    <w:rsid w:val="00E56A01"/>
    <w:rsid w:val="00E60C50"/>
    <w:rsid w:val="00E61F8C"/>
    <w:rsid w:val="00E629A1"/>
    <w:rsid w:val="00E6794C"/>
    <w:rsid w:val="00E7129E"/>
    <w:rsid w:val="00E71591"/>
    <w:rsid w:val="00E74801"/>
    <w:rsid w:val="00E76A95"/>
    <w:rsid w:val="00E80DE3"/>
    <w:rsid w:val="00E82C55"/>
    <w:rsid w:val="00E83319"/>
    <w:rsid w:val="00E86F4D"/>
    <w:rsid w:val="00E87AF4"/>
    <w:rsid w:val="00E90B2E"/>
    <w:rsid w:val="00E90E57"/>
    <w:rsid w:val="00E91509"/>
    <w:rsid w:val="00E92AC3"/>
    <w:rsid w:val="00E95C50"/>
    <w:rsid w:val="00E9640B"/>
    <w:rsid w:val="00E975DF"/>
    <w:rsid w:val="00E97D26"/>
    <w:rsid w:val="00EB00E0"/>
    <w:rsid w:val="00EB57A5"/>
    <w:rsid w:val="00EC059F"/>
    <w:rsid w:val="00EC10A2"/>
    <w:rsid w:val="00EC1F24"/>
    <w:rsid w:val="00EC22F6"/>
    <w:rsid w:val="00EC3586"/>
    <w:rsid w:val="00EC5C74"/>
    <w:rsid w:val="00EC5C7E"/>
    <w:rsid w:val="00EC5EEC"/>
    <w:rsid w:val="00EC7E4A"/>
    <w:rsid w:val="00ED1B9B"/>
    <w:rsid w:val="00ED2D4C"/>
    <w:rsid w:val="00ED547D"/>
    <w:rsid w:val="00ED5B9B"/>
    <w:rsid w:val="00ED6BAD"/>
    <w:rsid w:val="00ED7447"/>
    <w:rsid w:val="00EE1488"/>
    <w:rsid w:val="00EE1AE8"/>
    <w:rsid w:val="00EE3E24"/>
    <w:rsid w:val="00EE49F0"/>
    <w:rsid w:val="00EE4D5D"/>
    <w:rsid w:val="00EE5131"/>
    <w:rsid w:val="00EE7954"/>
    <w:rsid w:val="00EF109B"/>
    <w:rsid w:val="00EF13DD"/>
    <w:rsid w:val="00EF1674"/>
    <w:rsid w:val="00EF27BC"/>
    <w:rsid w:val="00EF2AD7"/>
    <w:rsid w:val="00EF36AF"/>
    <w:rsid w:val="00EF550A"/>
    <w:rsid w:val="00F008EB"/>
    <w:rsid w:val="00F00F9C"/>
    <w:rsid w:val="00F01BB3"/>
    <w:rsid w:val="00F01E5F"/>
    <w:rsid w:val="00F02ABA"/>
    <w:rsid w:val="00F036F2"/>
    <w:rsid w:val="00F0437A"/>
    <w:rsid w:val="00F05D16"/>
    <w:rsid w:val="00F05EEE"/>
    <w:rsid w:val="00F107C1"/>
    <w:rsid w:val="00F109E1"/>
    <w:rsid w:val="00F11037"/>
    <w:rsid w:val="00F116CB"/>
    <w:rsid w:val="00F1245C"/>
    <w:rsid w:val="00F12DF1"/>
    <w:rsid w:val="00F16F1B"/>
    <w:rsid w:val="00F250A9"/>
    <w:rsid w:val="00F278C2"/>
    <w:rsid w:val="00F27D2D"/>
    <w:rsid w:val="00F30FF4"/>
    <w:rsid w:val="00F3122E"/>
    <w:rsid w:val="00F331AD"/>
    <w:rsid w:val="00F351E4"/>
    <w:rsid w:val="00F35287"/>
    <w:rsid w:val="00F437F7"/>
    <w:rsid w:val="00F43A37"/>
    <w:rsid w:val="00F4641B"/>
    <w:rsid w:val="00F46810"/>
    <w:rsid w:val="00F46EB8"/>
    <w:rsid w:val="00F47BD4"/>
    <w:rsid w:val="00F50CD1"/>
    <w:rsid w:val="00F511E4"/>
    <w:rsid w:val="00F52593"/>
    <w:rsid w:val="00F52D09"/>
    <w:rsid w:val="00F52E08"/>
    <w:rsid w:val="00F55B21"/>
    <w:rsid w:val="00F56EF6"/>
    <w:rsid w:val="00F60F22"/>
    <w:rsid w:val="00F61A9F"/>
    <w:rsid w:val="00F633AA"/>
    <w:rsid w:val="00F64696"/>
    <w:rsid w:val="00F65AA9"/>
    <w:rsid w:val="00F66E06"/>
    <w:rsid w:val="00F66E38"/>
    <w:rsid w:val="00F6768F"/>
    <w:rsid w:val="00F709C5"/>
    <w:rsid w:val="00F72C2C"/>
    <w:rsid w:val="00F7443D"/>
    <w:rsid w:val="00F76CAB"/>
    <w:rsid w:val="00F772C6"/>
    <w:rsid w:val="00F80430"/>
    <w:rsid w:val="00F815B5"/>
    <w:rsid w:val="00F81B37"/>
    <w:rsid w:val="00F82CA6"/>
    <w:rsid w:val="00F85195"/>
    <w:rsid w:val="00F938BA"/>
    <w:rsid w:val="00F941B2"/>
    <w:rsid w:val="00FA22D7"/>
    <w:rsid w:val="00FA2C46"/>
    <w:rsid w:val="00FA3525"/>
    <w:rsid w:val="00FA3FCF"/>
    <w:rsid w:val="00FA5A53"/>
    <w:rsid w:val="00FA73F5"/>
    <w:rsid w:val="00FA7F99"/>
    <w:rsid w:val="00FB0CB9"/>
    <w:rsid w:val="00FB4769"/>
    <w:rsid w:val="00FB4CDA"/>
    <w:rsid w:val="00FC0F81"/>
    <w:rsid w:val="00FC2056"/>
    <w:rsid w:val="00FC395C"/>
    <w:rsid w:val="00FC3960"/>
    <w:rsid w:val="00FC44DA"/>
    <w:rsid w:val="00FD17BE"/>
    <w:rsid w:val="00FD3766"/>
    <w:rsid w:val="00FD47C4"/>
    <w:rsid w:val="00FD6801"/>
    <w:rsid w:val="00FD7974"/>
    <w:rsid w:val="00FE2DCF"/>
    <w:rsid w:val="00FE3FA7"/>
    <w:rsid w:val="00FE459F"/>
    <w:rsid w:val="00FE5E42"/>
    <w:rsid w:val="00FF1050"/>
    <w:rsid w:val="00FF25D2"/>
    <w:rsid w:val="00FF2AC3"/>
    <w:rsid w:val="00FF2FCE"/>
    <w:rsid w:val="00FF4E0B"/>
    <w:rsid w:val="00FF4F7D"/>
    <w:rsid w:val="00FF504F"/>
    <w:rsid w:val="00FF626B"/>
    <w:rsid w:val="00FF6D9D"/>
    <w:rsid w:val="00FF72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21"/>
    <o:shapelayout v:ext="edit">
      <o:idmap v:ext="edit" data="1"/>
    </o:shapelayout>
  </w:shapeDefaults>
  <w:decimalSymbol w:val="."/>
  <w:listSeparator w:val=","/>
  <w14:docId w14:val="5A91DBD3"/>
  <w15:docId w15:val="{EBCB3DC3-443D-47AC-90AD-3E6FA7C73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0"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rsid w:val="00B152BD"/>
    <w:rPr>
      <w:rFonts w:ascii="Cambria" w:hAnsi="Cambria"/>
      <w:lang w:eastAsia="en-US"/>
    </w:rPr>
  </w:style>
  <w:style w:type="paragraph" w:styleId="Heading1">
    <w:name w:val="heading 1"/>
    <w:next w:val="MHRCbody"/>
    <w:link w:val="Heading1Char"/>
    <w:uiPriority w:val="1"/>
    <w:qFormat/>
    <w:rsid w:val="003C62D7"/>
    <w:pPr>
      <w:keepNext/>
      <w:keepLines/>
      <w:spacing w:after="320" w:line="480" w:lineRule="atLeast"/>
      <w:outlineLvl w:val="0"/>
    </w:pPr>
    <w:rPr>
      <w:rFonts w:ascii="Arial" w:eastAsia="MS Gothic" w:hAnsi="Arial" w:cs="Arial"/>
      <w:b/>
      <w:bCs/>
      <w:color w:val="00848F"/>
      <w:kern w:val="32"/>
      <w:sz w:val="44"/>
      <w:szCs w:val="44"/>
      <w:lang w:eastAsia="en-US"/>
    </w:rPr>
  </w:style>
  <w:style w:type="paragraph" w:styleId="Heading2">
    <w:name w:val="heading 2"/>
    <w:next w:val="MHRCbody"/>
    <w:link w:val="Heading2Char"/>
    <w:uiPriority w:val="1"/>
    <w:qFormat/>
    <w:rsid w:val="00491B3B"/>
    <w:pPr>
      <w:keepNext/>
      <w:keepLines/>
      <w:spacing w:before="240" w:after="90" w:line="320" w:lineRule="atLeast"/>
      <w:outlineLvl w:val="1"/>
    </w:pPr>
    <w:rPr>
      <w:rFonts w:ascii="Arial" w:hAnsi="Arial"/>
      <w:b/>
      <w:color w:val="00848F"/>
      <w:sz w:val="28"/>
      <w:szCs w:val="28"/>
      <w:lang w:eastAsia="en-US"/>
    </w:rPr>
  </w:style>
  <w:style w:type="paragraph" w:styleId="Heading3">
    <w:name w:val="heading 3"/>
    <w:next w:val="MHRC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MHRC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RCbody">
    <w:name w:val="MHRC body"/>
    <w:autoRedefine/>
    <w:qFormat/>
    <w:rsid w:val="00A72AA0"/>
    <w:pPr>
      <w:spacing w:after="120"/>
      <w:jc w:val="both"/>
    </w:pPr>
    <w:rPr>
      <w:rFonts w:ascii="Arial" w:eastAsia="Times" w:hAnsi="Arial"/>
      <w:lang w:eastAsia="en-US"/>
    </w:rPr>
  </w:style>
  <w:style w:type="character" w:customStyle="1" w:styleId="Heading1Char">
    <w:name w:val="Heading 1 Char"/>
    <w:link w:val="Heading1"/>
    <w:uiPriority w:val="1"/>
    <w:rsid w:val="003C62D7"/>
    <w:rPr>
      <w:rFonts w:ascii="Arial" w:eastAsia="MS Gothic" w:hAnsi="Arial" w:cs="Arial"/>
      <w:b/>
      <w:bCs/>
      <w:color w:val="00848F"/>
      <w:kern w:val="32"/>
      <w:sz w:val="44"/>
      <w:szCs w:val="44"/>
      <w:lang w:eastAsia="en-US"/>
    </w:rPr>
  </w:style>
  <w:style w:type="character" w:customStyle="1" w:styleId="Heading2Char">
    <w:name w:val="Heading 2 Char"/>
    <w:link w:val="Heading2"/>
    <w:uiPriority w:val="1"/>
    <w:rsid w:val="00491B3B"/>
    <w:rPr>
      <w:rFonts w:ascii="Arial" w:hAnsi="Arial"/>
      <w:b/>
      <w:color w:val="00848F"/>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MHRCheader"/>
    <w:link w:val="HeaderChar"/>
    <w:uiPriority w:val="99"/>
    <w:rsid w:val="00262802"/>
  </w:style>
  <w:style w:type="paragraph" w:styleId="Footer">
    <w:name w:val="footer"/>
    <w:basedOn w:val="MHRCfooter"/>
    <w:link w:val="FooterChar"/>
    <w:uiPriority w:val="99"/>
    <w:rsid w:val="00C27DE9"/>
  </w:style>
  <w:style w:type="character" w:styleId="FollowedHyperlink">
    <w:name w:val="FollowedHyperlink"/>
    <w:uiPriority w:val="99"/>
    <w:rsid w:val="007A11E8"/>
    <w:rPr>
      <w:color w:val="87189D"/>
      <w:u w:val="dotted"/>
    </w:rPr>
  </w:style>
  <w:style w:type="paragraph" w:customStyle="1" w:styleId="MHRCtabletext6pt">
    <w:name w:val="MHRC table text + 6pt"/>
    <w:basedOn w:val="MHRC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RCbullet1">
    <w:name w:val="MHRC bullet 1"/>
    <w:basedOn w:val="MHRCbody"/>
    <w:qFormat/>
    <w:rsid w:val="008E7B4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MHRCTOCheadingfactsheet">
    <w:name w:val="MHRC TOC heading fact sheet"/>
    <w:basedOn w:val="Heading2"/>
    <w:next w:val="MHRCbody"/>
    <w:link w:val="MHRCTOCheadingfactsheetChar"/>
    <w:uiPriority w:val="4"/>
    <w:rsid w:val="00B57329"/>
    <w:pPr>
      <w:spacing w:before="0" w:after="200"/>
      <w:outlineLvl w:val="9"/>
    </w:pPr>
  </w:style>
  <w:style w:type="character" w:customStyle="1" w:styleId="MHRCTOCheadingfactsheetChar">
    <w:name w:val="MHRC TOC heading fact sheet Char"/>
    <w:link w:val="MHRCTOCheadingfactsheet"/>
    <w:uiPriority w:val="4"/>
    <w:rsid w:val="00B57329"/>
    <w:rPr>
      <w:rFonts w:ascii="Arial" w:hAnsi="Arial"/>
      <w:b/>
      <w:color w:val="87189D"/>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MHRC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3C62D7"/>
    <w:pPr>
      <w:spacing w:after="300"/>
    </w:pPr>
  </w:style>
  <w:style w:type="paragraph" w:customStyle="1" w:styleId="MHRCtabletext">
    <w:name w:val="MHRC table text"/>
    <w:uiPriority w:val="3"/>
    <w:qFormat/>
    <w:rsid w:val="00DA2619"/>
    <w:pPr>
      <w:spacing w:before="80" w:after="60"/>
    </w:pPr>
    <w:rPr>
      <w:rFonts w:ascii="Arial" w:hAnsi="Arial"/>
      <w:lang w:eastAsia="en-US"/>
    </w:rPr>
  </w:style>
  <w:style w:type="paragraph" w:customStyle="1" w:styleId="MHRCtablecaption">
    <w:name w:val="MHRC table caption"/>
    <w:next w:val="MHRCbody"/>
    <w:uiPriority w:val="3"/>
    <w:qFormat/>
    <w:rsid w:val="00233724"/>
    <w:pPr>
      <w:keepNext/>
      <w:keepLines/>
      <w:spacing w:before="240" w:after="120" w:line="240" w:lineRule="atLeast"/>
    </w:pPr>
    <w:rPr>
      <w:rFonts w:ascii="Arial" w:hAnsi="Arial"/>
      <w:b/>
      <w:lang w:eastAsia="en-US"/>
    </w:rPr>
  </w:style>
  <w:style w:type="character" w:styleId="FootnoteReference">
    <w:name w:val="footnote reference"/>
    <w:uiPriority w:val="99"/>
    <w:rsid w:val="00BC7ED7"/>
    <w:rPr>
      <w:vertAlign w:val="superscript"/>
    </w:rPr>
  </w:style>
  <w:style w:type="paragraph" w:customStyle="1" w:styleId="MHRCaccessibilitypara">
    <w:name w:val="MHRC accessibility para"/>
    <w:uiPriority w:val="8"/>
    <w:rsid w:val="00770F37"/>
    <w:pPr>
      <w:spacing w:after="200" w:line="300" w:lineRule="atLeast"/>
    </w:pPr>
    <w:rPr>
      <w:rFonts w:ascii="Arial" w:eastAsia="Times" w:hAnsi="Arial"/>
      <w:sz w:val="24"/>
      <w:szCs w:val="19"/>
      <w:lang w:eastAsia="en-US"/>
    </w:rPr>
  </w:style>
  <w:style w:type="paragraph" w:customStyle="1" w:styleId="MHRCfigurecaption">
    <w:name w:val="MHRC figure caption"/>
    <w:next w:val="MHRCbody"/>
    <w:rsid w:val="00770F37"/>
    <w:pPr>
      <w:keepNext/>
      <w:keepLines/>
      <w:spacing w:before="240" w:after="120"/>
    </w:pPr>
    <w:rPr>
      <w:rFonts w:ascii="Arial" w:hAnsi="Arial"/>
      <w:b/>
      <w:lang w:eastAsia="en-US"/>
    </w:rPr>
  </w:style>
  <w:style w:type="paragraph" w:customStyle="1" w:styleId="MHRCbullet2">
    <w:name w:val="MHRC bullet 2"/>
    <w:basedOn w:val="MHRCbody"/>
    <w:uiPriority w:val="2"/>
    <w:qFormat/>
    <w:rsid w:val="008E7B49"/>
    <w:pPr>
      <w:numPr>
        <w:ilvl w:val="1"/>
        <w:numId w:val="2"/>
      </w:numPr>
      <w:spacing w:after="40"/>
    </w:pPr>
  </w:style>
  <w:style w:type="paragraph" w:customStyle="1" w:styleId="MHRCbodyafterbullets">
    <w:name w:val="MHRC body after bullets"/>
    <w:basedOn w:val="MHRCbody"/>
    <w:uiPriority w:val="11"/>
    <w:rsid w:val="00E11352"/>
    <w:pPr>
      <w:spacing w:before="120"/>
    </w:pPr>
  </w:style>
  <w:style w:type="paragraph" w:customStyle="1" w:styleId="MHRCtablebullet2">
    <w:name w:val="MHRC table bullet 2"/>
    <w:basedOn w:val="MHRCtabletext"/>
    <w:uiPriority w:val="11"/>
    <w:rsid w:val="008E7B49"/>
    <w:pPr>
      <w:numPr>
        <w:ilvl w:val="1"/>
        <w:numId w:val="4"/>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MHRCtablebullet1">
    <w:name w:val="MHRC table bullet 1"/>
    <w:basedOn w:val="MHRC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MHRCtablecolhead">
    <w:name w:val="MHRC table col head"/>
    <w:uiPriority w:val="3"/>
    <w:qFormat/>
    <w:rsid w:val="00491B3B"/>
    <w:pPr>
      <w:spacing w:before="80" w:after="60"/>
    </w:pPr>
    <w:rPr>
      <w:rFonts w:ascii="Arial" w:hAnsi="Arial"/>
      <w:b/>
      <w:color w:val="00848F"/>
      <w:lang w:eastAsia="en-US"/>
    </w:rPr>
  </w:style>
  <w:style w:type="paragraph" w:customStyle="1" w:styleId="MHRCbulletafternumbers1">
    <w:name w:val="MHRC bullet after numbers 1"/>
    <w:basedOn w:val="MHRCbody"/>
    <w:uiPriority w:val="4"/>
    <w:rsid w:val="008E7B49"/>
    <w:pPr>
      <w:numPr>
        <w:ilvl w:val="2"/>
        <w:numId w:val="1"/>
      </w:numPr>
    </w:pPr>
  </w:style>
  <w:style w:type="character" w:styleId="Hyperlink">
    <w:name w:val="Hyperlink"/>
    <w:uiPriority w:val="99"/>
    <w:rsid w:val="007A11E8"/>
    <w:rPr>
      <w:color w:val="0072CE"/>
      <w:u w:val="dotted"/>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99"/>
    <w:rsid w:val="003F0445"/>
    <w:rPr>
      <w:rFonts w:ascii="Arial" w:eastAsia="MS Gothic" w:hAnsi="Arial" w:cs="Arial"/>
      <w:sz w:val="16"/>
      <w:szCs w:val="16"/>
      <w:lang w:eastAsia="en-US"/>
    </w:rPr>
  </w:style>
  <w:style w:type="paragraph" w:customStyle="1" w:styleId="Spacerparatopoffirstpage">
    <w:name w:val="Spacer para top of first page"/>
    <w:basedOn w:val="Normal"/>
    <w:semiHidden/>
    <w:rsid w:val="0066379D"/>
    <w:rPr>
      <w:rFonts w:ascii="Arial" w:eastAsia="Times" w:hAnsi="Arial"/>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8E7B49"/>
    <w:pPr>
      <w:numPr>
        <w:numId w:val="1"/>
      </w:numPr>
    </w:pPr>
  </w:style>
  <w:style w:type="numbering" w:customStyle="1" w:styleId="ZZQuotebullets">
    <w:name w:val="ZZ Quote bullets"/>
    <w:basedOn w:val="ZZNumbersdigit"/>
    <w:rsid w:val="008E7B49"/>
    <w:pPr>
      <w:numPr>
        <w:numId w:val="5"/>
      </w:numPr>
    </w:pPr>
  </w:style>
  <w:style w:type="paragraph" w:customStyle="1" w:styleId="MHRCnumberdigit">
    <w:name w:val="MHRC number digit"/>
    <w:basedOn w:val="MHRCbody"/>
    <w:uiPriority w:val="2"/>
    <w:rsid w:val="00857C5A"/>
    <w:pPr>
      <w:numPr>
        <w:numId w:val="3"/>
      </w:numPr>
    </w:pPr>
  </w:style>
  <w:style w:type="paragraph" w:customStyle="1" w:styleId="MHRCnumberloweralphaindent">
    <w:name w:val="MHRC number lower alpha indent"/>
    <w:basedOn w:val="MHRCbody"/>
    <w:uiPriority w:val="3"/>
    <w:rsid w:val="00721CFB"/>
    <w:pPr>
      <w:numPr>
        <w:ilvl w:val="1"/>
        <w:numId w:val="7"/>
      </w:numPr>
    </w:pPr>
  </w:style>
  <w:style w:type="paragraph" w:customStyle="1" w:styleId="MHRCnumberloweralpha">
    <w:name w:val="MHRC number lower alpha"/>
    <w:basedOn w:val="MHRCbody"/>
    <w:uiPriority w:val="3"/>
    <w:rsid w:val="00721CFB"/>
    <w:pPr>
      <w:numPr>
        <w:numId w:val="7"/>
      </w:numPr>
    </w:pPr>
  </w:style>
  <w:style w:type="paragraph" w:customStyle="1" w:styleId="MHRCnumberlowerroman">
    <w:name w:val="MHRC number lower roman"/>
    <w:basedOn w:val="MHRCbody"/>
    <w:uiPriority w:val="3"/>
    <w:rsid w:val="00721CFB"/>
    <w:pPr>
      <w:numPr>
        <w:numId w:val="6"/>
      </w:numPr>
    </w:pPr>
  </w:style>
  <w:style w:type="paragraph" w:customStyle="1" w:styleId="MHRCnumberlowerromanindent">
    <w:name w:val="MHRC number lower roman indent"/>
    <w:basedOn w:val="MHRCbody"/>
    <w:uiPriority w:val="3"/>
    <w:rsid w:val="00721CFB"/>
    <w:pPr>
      <w:numPr>
        <w:ilvl w:val="1"/>
        <w:numId w:val="6"/>
      </w:numPr>
    </w:pPr>
  </w:style>
  <w:style w:type="paragraph" w:customStyle="1" w:styleId="MHRCquote">
    <w:name w:val="MHRC quote"/>
    <w:basedOn w:val="MHRCbody"/>
    <w:uiPriority w:val="4"/>
    <w:rsid w:val="00152073"/>
    <w:pPr>
      <w:ind w:left="397"/>
    </w:pPr>
    <w:rPr>
      <w:szCs w:val="18"/>
    </w:rPr>
  </w:style>
  <w:style w:type="paragraph" w:customStyle="1" w:styleId="MHRCtablefigurenote">
    <w:name w:val="MHRC table/figure note"/>
    <w:uiPriority w:val="4"/>
    <w:rsid w:val="00A330BB"/>
    <w:pPr>
      <w:spacing w:before="60" w:after="60" w:line="240" w:lineRule="exact"/>
    </w:pPr>
    <w:rPr>
      <w:rFonts w:ascii="Arial" w:hAnsi="Arial"/>
      <w:sz w:val="18"/>
      <w:lang w:eastAsia="en-US"/>
    </w:rPr>
  </w:style>
  <w:style w:type="paragraph" w:customStyle="1" w:styleId="MHRCbodyaftertablefigure">
    <w:name w:val="MHRC body after table/figure"/>
    <w:basedOn w:val="MHRCbody"/>
    <w:next w:val="MHRCbody"/>
    <w:uiPriority w:val="1"/>
    <w:rsid w:val="00951D50"/>
    <w:pPr>
      <w:spacing w:before="240"/>
    </w:pPr>
  </w:style>
  <w:style w:type="paragraph" w:customStyle="1" w:styleId="MHRCfooter">
    <w:name w:val="MHRC footer"/>
    <w:uiPriority w:val="11"/>
    <w:rsid w:val="00BC557B"/>
    <w:rPr>
      <w:rFonts w:ascii="Arial" w:hAnsi="Arial" w:cs="Arial"/>
      <w:sz w:val="18"/>
      <w:szCs w:val="18"/>
      <w:lang w:eastAsia="en-US"/>
    </w:rPr>
  </w:style>
  <w:style w:type="paragraph" w:customStyle="1" w:styleId="MHRCheader">
    <w:name w:val="MHRC header"/>
    <w:basedOn w:val="MHRCfooter"/>
    <w:uiPriority w:val="11"/>
    <w:rsid w:val="0051568D"/>
  </w:style>
  <w:style w:type="paragraph" w:customStyle="1" w:styleId="MHRCbulletafternumbers2">
    <w:name w:val="MHRC bullet after numbers 2"/>
    <w:basedOn w:val="MHRCbody"/>
    <w:rsid w:val="008E7B49"/>
    <w:pPr>
      <w:numPr>
        <w:ilvl w:val="3"/>
        <w:numId w:val="1"/>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MHRCquotebullet1">
    <w:name w:val="MHRC quote bullet 1"/>
    <w:basedOn w:val="MHRCquote"/>
    <w:rsid w:val="008E7B49"/>
    <w:pPr>
      <w:numPr>
        <w:numId w:val="5"/>
      </w:numPr>
    </w:pPr>
  </w:style>
  <w:style w:type="paragraph" w:customStyle="1" w:styleId="MHRCquotebullet2">
    <w:name w:val="MHRC quote bullet 2"/>
    <w:basedOn w:val="MHRCquote"/>
    <w:rsid w:val="008E7B49"/>
    <w:pPr>
      <w:numPr>
        <w:ilvl w:val="1"/>
        <w:numId w:val="5"/>
      </w:numPr>
    </w:pPr>
  </w:style>
  <w:style w:type="paragraph" w:customStyle="1" w:styleId="MHRCintroblack">
    <w:name w:val="MHRC intro black"/>
    <w:basedOn w:val="MHRCbody"/>
    <w:rsid w:val="00752470"/>
    <w:pPr>
      <w:spacing w:after="160" w:line="300" w:lineRule="atLeast"/>
    </w:pPr>
    <w:rPr>
      <w:sz w:val="24"/>
      <w:szCs w:val="24"/>
    </w:rPr>
  </w:style>
  <w:style w:type="paragraph" w:customStyle="1" w:styleId="MHRCquoteteal">
    <w:name w:val="MHRC quote teal"/>
    <w:basedOn w:val="MHRCquote"/>
    <w:rsid w:val="00EC5C7E"/>
    <w:rPr>
      <w:color w:val="00848F"/>
    </w:rPr>
  </w:style>
  <w:style w:type="paragraph" w:customStyle="1" w:styleId="MHRCquotebullet1teal">
    <w:name w:val="MHRC quote bullet 1 teal"/>
    <w:basedOn w:val="MHRCquoteteal"/>
    <w:rsid w:val="00EC5C7E"/>
    <w:pPr>
      <w:numPr>
        <w:numId w:val="8"/>
      </w:numPr>
    </w:pPr>
  </w:style>
  <w:style w:type="paragraph" w:customStyle="1" w:styleId="MHRCquotebullet2teal">
    <w:name w:val="MHRC quote bullet 2 teal"/>
    <w:basedOn w:val="MHRCquoteteal"/>
    <w:rsid w:val="00EC5C7E"/>
    <w:pPr>
      <w:numPr>
        <w:ilvl w:val="1"/>
        <w:numId w:val="8"/>
      </w:numPr>
    </w:pPr>
  </w:style>
  <w:style w:type="numbering" w:customStyle="1" w:styleId="ZZQuotebulletsteal">
    <w:name w:val="ZZ Quote bullets teal"/>
    <w:basedOn w:val="NoList"/>
    <w:uiPriority w:val="99"/>
    <w:rsid w:val="00EC5C7E"/>
    <w:pPr>
      <w:numPr>
        <w:numId w:val="8"/>
      </w:numPr>
    </w:pPr>
  </w:style>
  <w:style w:type="paragraph" w:customStyle="1" w:styleId="MHRCcalloutblack">
    <w:name w:val="MHRC callout black"/>
    <w:rsid w:val="009338A4"/>
    <w:pPr>
      <w:keepLines/>
      <w:spacing w:before="240" w:after="240" w:line="264" w:lineRule="auto"/>
      <w:ind w:left="284"/>
      <w:jc w:val="right"/>
    </w:pPr>
    <w:rPr>
      <w:rFonts w:ascii="Arial" w:hAnsi="Arial"/>
      <w:sz w:val="26"/>
      <w:szCs w:val="26"/>
      <w:lang w:eastAsia="en-US"/>
    </w:rPr>
  </w:style>
  <w:style w:type="paragraph" w:customStyle="1" w:styleId="MHRCcalloutteal">
    <w:name w:val="MHRC callout teal"/>
    <w:basedOn w:val="MHRCcalloutblack"/>
    <w:rsid w:val="00EC5C7E"/>
    <w:rPr>
      <w:color w:val="00848F"/>
    </w:rPr>
  </w:style>
  <w:style w:type="paragraph" w:customStyle="1" w:styleId="MHRCintroteal">
    <w:name w:val="MHRC intro teal"/>
    <w:basedOn w:val="Normal"/>
    <w:uiPriority w:val="11"/>
    <w:rsid w:val="003A2ECA"/>
    <w:pPr>
      <w:spacing w:after="160" w:line="300" w:lineRule="atLeast"/>
    </w:pPr>
    <w:rPr>
      <w:rFonts w:ascii="Arial" w:eastAsia="Times" w:hAnsi="Arial"/>
      <w:color w:val="00848F"/>
      <w:sz w:val="24"/>
      <w:szCs w:val="24"/>
    </w:rPr>
  </w:style>
  <w:style w:type="character" w:styleId="UnresolvedMention">
    <w:name w:val="Unresolved Mention"/>
    <w:basedOn w:val="DefaultParagraphFont"/>
    <w:uiPriority w:val="99"/>
    <w:semiHidden/>
    <w:unhideWhenUsed/>
    <w:rsid w:val="002A66E7"/>
    <w:rPr>
      <w:color w:val="605E5C"/>
      <w:shd w:val="clear" w:color="auto" w:fill="E1DFDD"/>
    </w:rPr>
  </w:style>
  <w:style w:type="character" w:styleId="CommentReference">
    <w:name w:val="annotation reference"/>
    <w:basedOn w:val="DefaultParagraphFont"/>
    <w:uiPriority w:val="99"/>
    <w:semiHidden/>
    <w:unhideWhenUsed/>
    <w:rsid w:val="00473774"/>
    <w:rPr>
      <w:sz w:val="16"/>
      <w:szCs w:val="16"/>
    </w:rPr>
  </w:style>
  <w:style w:type="paragraph" w:styleId="CommentText">
    <w:name w:val="annotation text"/>
    <w:basedOn w:val="Normal"/>
    <w:link w:val="CommentTextChar"/>
    <w:uiPriority w:val="99"/>
    <w:semiHidden/>
    <w:unhideWhenUsed/>
    <w:rsid w:val="00473774"/>
  </w:style>
  <w:style w:type="character" w:customStyle="1" w:styleId="CommentTextChar">
    <w:name w:val="Comment Text Char"/>
    <w:basedOn w:val="DefaultParagraphFont"/>
    <w:link w:val="CommentText"/>
    <w:uiPriority w:val="99"/>
    <w:semiHidden/>
    <w:rsid w:val="00473774"/>
    <w:rPr>
      <w:rFonts w:ascii="Cambria" w:hAnsi="Cambria"/>
      <w:lang w:eastAsia="en-US"/>
    </w:rPr>
  </w:style>
  <w:style w:type="paragraph" w:styleId="BalloonText">
    <w:name w:val="Balloon Text"/>
    <w:basedOn w:val="Normal"/>
    <w:link w:val="BalloonTextChar"/>
    <w:uiPriority w:val="99"/>
    <w:semiHidden/>
    <w:unhideWhenUsed/>
    <w:rsid w:val="004737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774"/>
    <w:rPr>
      <w:rFonts w:ascii="Segoe UI" w:hAnsi="Segoe UI" w:cs="Segoe UI"/>
      <w:sz w:val="18"/>
      <w:szCs w:val="18"/>
      <w:lang w:eastAsia="en-US"/>
    </w:rPr>
  </w:style>
  <w:style w:type="paragraph" w:styleId="ListParagraph">
    <w:name w:val="List Paragraph"/>
    <w:basedOn w:val="Normal"/>
    <w:uiPriority w:val="34"/>
    <w:qFormat/>
    <w:rsid w:val="00473774"/>
    <w:pPr>
      <w:ind w:left="720"/>
    </w:pPr>
    <w:rPr>
      <w:rFonts w:ascii="Calibri" w:eastAsiaTheme="minorHAnsi" w:hAnsi="Calibri" w:cs="Calibri"/>
      <w:sz w:val="22"/>
      <w:szCs w:val="22"/>
    </w:rPr>
  </w:style>
  <w:style w:type="paragraph" w:styleId="NormalWeb">
    <w:name w:val="Normal (Web)"/>
    <w:basedOn w:val="Normal"/>
    <w:uiPriority w:val="99"/>
    <w:semiHidden/>
    <w:unhideWhenUsed/>
    <w:rsid w:val="00AE07E7"/>
    <w:pPr>
      <w:spacing w:before="100" w:beforeAutospacing="1" w:after="100" w:afterAutospacing="1"/>
    </w:pPr>
    <w:rPr>
      <w:rFonts w:ascii="Times New Roman" w:hAnsi="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E97D26"/>
    <w:rPr>
      <w:b/>
      <w:bCs/>
    </w:rPr>
  </w:style>
  <w:style w:type="character" w:customStyle="1" w:styleId="CommentSubjectChar">
    <w:name w:val="Comment Subject Char"/>
    <w:basedOn w:val="CommentTextChar"/>
    <w:link w:val="CommentSubject"/>
    <w:uiPriority w:val="99"/>
    <w:semiHidden/>
    <w:rsid w:val="00E97D26"/>
    <w:rPr>
      <w:rFonts w:ascii="Cambria" w:hAnsi="Cambria"/>
      <w:b/>
      <w:bCs/>
      <w:lang w:eastAsia="en-US"/>
    </w:rPr>
  </w:style>
  <w:style w:type="paragraph" w:customStyle="1" w:styleId="DHHSbullet1">
    <w:name w:val="DHHS bullet 1"/>
    <w:basedOn w:val="Normal"/>
    <w:qFormat/>
    <w:rsid w:val="00C31C2A"/>
    <w:pPr>
      <w:spacing w:after="40" w:line="270" w:lineRule="atLeast"/>
      <w:ind w:left="787" w:hanging="360"/>
    </w:pPr>
    <w:rPr>
      <w:rFonts w:ascii="Arial" w:eastAsia="Times" w:hAnsi="Arial"/>
    </w:rPr>
  </w:style>
  <w:style w:type="paragraph" w:customStyle="1" w:styleId="DHHSbullet2">
    <w:name w:val="DHHS bullet 2"/>
    <w:basedOn w:val="Normal"/>
    <w:uiPriority w:val="2"/>
    <w:qFormat/>
    <w:rsid w:val="00C31C2A"/>
    <w:pPr>
      <w:spacing w:after="40" w:line="270" w:lineRule="atLeast"/>
      <w:ind w:left="2227" w:hanging="360"/>
    </w:pPr>
    <w:rPr>
      <w:rFonts w:ascii="Arial" w:eastAsia="Times" w:hAnsi="Arial"/>
    </w:rPr>
  </w:style>
  <w:style w:type="paragraph" w:customStyle="1" w:styleId="DHHStablecolhead">
    <w:name w:val="DHHS table col head"/>
    <w:uiPriority w:val="3"/>
    <w:qFormat/>
    <w:rsid w:val="00C31C2A"/>
    <w:pPr>
      <w:spacing w:before="80" w:after="60"/>
    </w:pPr>
    <w:rPr>
      <w:rFonts w:ascii="Arial" w:hAnsi="Arial"/>
      <w:b/>
      <w:color w:val="004EA8"/>
      <w:lang w:eastAsia="en-US"/>
    </w:rPr>
  </w:style>
  <w:style w:type="paragraph" w:customStyle="1" w:styleId="DHHSbullet1lastline">
    <w:name w:val="DHHS bullet 1 last line"/>
    <w:basedOn w:val="DHHSbullet1"/>
    <w:qFormat/>
    <w:rsid w:val="00C31C2A"/>
    <w:pPr>
      <w:spacing w:after="120"/>
      <w:ind w:left="1507"/>
    </w:pPr>
  </w:style>
  <w:style w:type="paragraph" w:customStyle="1" w:styleId="DHHSbullet2lastline">
    <w:name w:val="DHHS bullet 2 last line"/>
    <w:basedOn w:val="DHHSbullet2"/>
    <w:uiPriority w:val="2"/>
    <w:qFormat/>
    <w:rsid w:val="00C31C2A"/>
    <w:pPr>
      <w:spacing w:after="120"/>
      <w:ind w:left="2947"/>
    </w:pPr>
  </w:style>
  <w:style w:type="paragraph" w:customStyle="1" w:styleId="DHHStablebullet">
    <w:name w:val="DHHS table bullet"/>
    <w:basedOn w:val="Normal"/>
    <w:uiPriority w:val="3"/>
    <w:qFormat/>
    <w:rsid w:val="00C31C2A"/>
    <w:pPr>
      <w:spacing w:before="80" w:after="60"/>
      <w:ind w:left="227" w:hanging="227"/>
    </w:pPr>
    <w:rPr>
      <w:rFonts w:ascii="Arial" w:hAnsi="Arial"/>
    </w:rPr>
  </w:style>
  <w:style w:type="paragraph" w:customStyle="1" w:styleId="DHHSbulletindent">
    <w:name w:val="DHHS bullet indent"/>
    <w:basedOn w:val="Normal"/>
    <w:uiPriority w:val="4"/>
    <w:rsid w:val="00C31C2A"/>
    <w:pPr>
      <w:spacing w:after="40" w:line="270" w:lineRule="atLeast"/>
      <w:ind w:left="3667" w:hanging="360"/>
    </w:pPr>
    <w:rPr>
      <w:rFonts w:ascii="Arial" w:eastAsia="Times" w:hAnsi="Arial"/>
    </w:rPr>
  </w:style>
  <w:style w:type="paragraph" w:customStyle="1" w:styleId="DHHSbulletindentlastline">
    <w:name w:val="DHHS bullet indent last line"/>
    <w:basedOn w:val="Normal"/>
    <w:uiPriority w:val="4"/>
    <w:rsid w:val="00C31C2A"/>
    <w:pPr>
      <w:spacing w:after="120" w:line="270" w:lineRule="atLeast"/>
      <w:ind w:left="4387" w:hanging="360"/>
    </w:pPr>
    <w:rPr>
      <w:rFonts w:ascii="Arial" w:eastAsia="Times" w:hAnsi="Arial"/>
    </w:rPr>
  </w:style>
  <w:style w:type="paragraph" w:customStyle="1" w:styleId="body">
    <w:name w:val="body"/>
    <w:basedOn w:val="Normal"/>
    <w:link w:val="bodyChar"/>
    <w:qFormat/>
    <w:rsid w:val="00C31C2A"/>
    <w:pPr>
      <w:spacing w:before="120" w:after="120"/>
    </w:pPr>
    <w:rPr>
      <w:rFonts w:ascii="Calibri" w:eastAsia="Calibri" w:hAnsi="Calibri"/>
      <w:sz w:val="22"/>
      <w:szCs w:val="22"/>
    </w:rPr>
  </w:style>
  <w:style w:type="character" w:customStyle="1" w:styleId="bodyChar">
    <w:name w:val="body Char"/>
    <w:link w:val="body"/>
    <w:rsid w:val="00C31C2A"/>
    <w:rPr>
      <w:rFonts w:ascii="Calibri" w:eastAsia="Calibri" w:hAnsi="Calibri"/>
      <w:sz w:val="22"/>
      <w:szCs w:val="22"/>
      <w:lang w:eastAsia="en-US"/>
    </w:rPr>
  </w:style>
  <w:style w:type="paragraph" w:styleId="Quote">
    <w:name w:val="Quote"/>
    <w:basedOn w:val="Normal"/>
    <w:next w:val="Normal"/>
    <w:link w:val="QuoteChar"/>
    <w:autoRedefine/>
    <w:uiPriority w:val="73"/>
    <w:qFormat/>
    <w:rsid w:val="004E428B"/>
    <w:pPr>
      <w:spacing w:before="200" w:after="160"/>
      <w:ind w:left="864" w:right="864"/>
    </w:pPr>
    <w:rPr>
      <w:rFonts w:ascii="Arial" w:hAnsi="Arial"/>
      <w:iCs/>
      <w:color w:val="404040" w:themeColor="text1" w:themeTint="BF"/>
      <w:sz w:val="18"/>
    </w:rPr>
  </w:style>
  <w:style w:type="character" w:customStyle="1" w:styleId="QuoteChar">
    <w:name w:val="Quote Char"/>
    <w:basedOn w:val="DefaultParagraphFont"/>
    <w:link w:val="Quote"/>
    <w:uiPriority w:val="73"/>
    <w:rsid w:val="004E428B"/>
    <w:rPr>
      <w:rFonts w:ascii="Arial" w:hAnsi="Arial"/>
      <w:iCs/>
      <w:color w:val="404040" w:themeColor="text1" w:themeTint="BF"/>
      <w:sz w:val="18"/>
      <w:lang w:eastAsia="en-US"/>
    </w:rPr>
  </w:style>
  <w:style w:type="paragraph" w:customStyle="1" w:styleId="MHTBodyText">
    <w:name w:val="MHT Body Text"/>
    <w:basedOn w:val="Normal"/>
    <w:link w:val="MHTBodyTextChar"/>
    <w:qFormat/>
    <w:rsid w:val="00B64727"/>
    <w:pPr>
      <w:spacing w:before="240" w:after="200" w:line="276" w:lineRule="auto"/>
    </w:pPr>
    <w:rPr>
      <w:rFonts w:ascii="Arial" w:eastAsiaTheme="minorHAnsi" w:hAnsi="Arial" w:cstheme="minorBidi"/>
      <w:sz w:val="19"/>
      <w:szCs w:val="17"/>
    </w:rPr>
  </w:style>
  <w:style w:type="character" w:customStyle="1" w:styleId="MHTBodyTextChar">
    <w:name w:val="MHT Body Text Char"/>
    <w:basedOn w:val="DefaultParagraphFont"/>
    <w:link w:val="MHTBodyText"/>
    <w:rsid w:val="00B64727"/>
    <w:rPr>
      <w:rFonts w:ascii="Arial" w:eastAsiaTheme="minorHAnsi" w:hAnsi="Arial" w:cstheme="minorBidi"/>
      <w:sz w:val="19"/>
      <w:szCs w:val="17"/>
      <w:lang w:eastAsia="en-US"/>
    </w:rPr>
  </w:style>
  <w:style w:type="character" w:customStyle="1" w:styleId="HeaderChar">
    <w:name w:val="Header Char"/>
    <w:basedOn w:val="DefaultParagraphFont"/>
    <w:link w:val="Header"/>
    <w:uiPriority w:val="99"/>
    <w:rsid w:val="001A386B"/>
    <w:rPr>
      <w:rFonts w:ascii="Arial" w:hAnsi="Arial" w:cs="Arial"/>
      <w:sz w:val="18"/>
      <w:szCs w:val="18"/>
      <w:lang w:eastAsia="en-US"/>
    </w:rPr>
  </w:style>
  <w:style w:type="paragraph" w:customStyle="1" w:styleId="MHTSubheading1">
    <w:name w:val="MHT Subheading 1"/>
    <w:basedOn w:val="Normal"/>
    <w:link w:val="MHTSubheading1Char"/>
    <w:qFormat/>
    <w:rsid w:val="00B81F39"/>
    <w:pPr>
      <w:spacing w:before="240" w:after="200" w:line="276" w:lineRule="auto"/>
    </w:pPr>
    <w:rPr>
      <w:rFonts w:ascii="Swis721 BT" w:eastAsiaTheme="minorHAnsi" w:hAnsi="Swis721 BT" w:cstheme="minorBidi"/>
      <w:b/>
      <w:color w:val="008C95"/>
    </w:rPr>
  </w:style>
  <w:style w:type="character" w:customStyle="1" w:styleId="MHTSubheading1Char">
    <w:name w:val="MHT Subheading 1 Char"/>
    <w:basedOn w:val="DefaultParagraphFont"/>
    <w:link w:val="MHTSubheading1"/>
    <w:rsid w:val="00B81F39"/>
    <w:rPr>
      <w:rFonts w:ascii="Swis721 BT" w:eastAsiaTheme="minorHAnsi" w:hAnsi="Swis721 BT" w:cstheme="minorBidi"/>
      <w:b/>
      <w:color w:val="008C95"/>
      <w:lang w:eastAsia="en-US"/>
    </w:rPr>
  </w:style>
  <w:style w:type="character" w:customStyle="1" w:styleId="FooterChar">
    <w:name w:val="Footer Char"/>
    <w:basedOn w:val="DefaultParagraphFont"/>
    <w:link w:val="Footer"/>
    <w:uiPriority w:val="99"/>
    <w:rsid w:val="00370586"/>
    <w:rPr>
      <w:rFonts w:ascii="Arial" w:hAnsi="Arial" w:cs="Arial"/>
      <w:sz w:val="18"/>
      <w:szCs w:val="18"/>
      <w:lang w:eastAsia="en-US"/>
    </w:rPr>
  </w:style>
  <w:style w:type="numbering" w:customStyle="1" w:styleId="ZZTablebullets1">
    <w:name w:val="ZZ Table bullets1"/>
    <w:basedOn w:val="NoList"/>
    <w:rsid w:val="00370586"/>
  </w:style>
  <w:style w:type="numbering" w:customStyle="1" w:styleId="ZZBullets1">
    <w:name w:val="ZZ Bullets1"/>
    <w:rsid w:val="00370586"/>
  </w:style>
  <w:style w:type="numbering" w:customStyle="1" w:styleId="ZZNumbersdigit1">
    <w:name w:val="ZZ Numbers digit1"/>
    <w:rsid w:val="00370586"/>
  </w:style>
  <w:style w:type="numbering" w:customStyle="1" w:styleId="ZZQuotebullets1">
    <w:name w:val="ZZ Quote bullets1"/>
    <w:basedOn w:val="ZZNumbersdigit"/>
    <w:rsid w:val="00370586"/>
    <w:pPr>
      <w:numPr>
        <w:numId w:val="1"/>
      </w:numPr>
    </w:pPr>
  </w:style>
  <w:style w:type="numbering" w:customStyle="1" w:styleId="ZZNumberslowerroman1">
    <w:name w:val="ZZ Numbers lower roman1"/>
    <w:basedOn w:val="ZZQuotebullets"/>
    <w:rsid w:val="00370586"/>
    <w:pPr>
      <w:numPr>
        <w:numId w:val="5"/>
      </w:numPr>
    </w:pPr>
  </w:style>
  <w:style w:type="numbering" w:customStyle="1" w:styleId="ZZNumbersloweralpha1">
    <w:name w:val="ZZ Numbers lower alpha1"/>
    <w:basedOn w:val="NoList"/>
    <w:rsid w:val="00370586"/>
  </w:style>
  <w:style w:type="numbering" w:customStyle="1" w:styleId="ZZQuotebulletsteal1">
    <w:name w:val="ZZ Quote bullets teal1"/>
    <w:basedOn w:val="NoList"/>
    <w:uiPriority w:val="99"/>
    <w:rsid w:val="00370586"/>
  </w:style>
  <w:style w:type="numbering" w:customStyle="1" w:styleId="ZZBullets2">
    <w:name w:val="ZZ Bullets2"/>
    <w:rsid w:val="00ED547D"/>
  </w:style>
  <w:style w:type="numbering" w:customStyle="1" w:styleId="ZZBullets3">
    <w:name w:val="ZZ Bullets3"/>
    <w:rsid w:val="00F941B2"/>
  </w:style>
  <w:style w:type="numbering" w:customStyle="1" w:styleId="ZZBullets4">
    <w:name w:val="ZZ Bullets4"/>
    <w:rsid w:val="001415DB"/>
  </w:style>
  <w:style w:type="numbering" w:customStyle="1" w:styleId="ZZBullets5">
    <w:name w:val="ZZ Bullets5"/>
    <w:rsid w:val="00E26916"/>
  </w:style>
  <w:style w:type="numbering" w:customStyle="1" w:styleId="ZZBullets6">
    <w:name w:val="ZZ Bullets6"/>
    <w:rsid w:val="00EF2AD7"/>
  </w:style>
  <w:style w:type="numbering" w:customStyle="1" w:styleId="ZZBullets7">
    <w:name w:val="ZZ Bullets7"/>
    <w:rsid w:val="007E26AB"/>
  </w:style>
  <w:style w:type="numbering" w:customStyle="1" w:styleId="ZZBullets8">
    <w:name w:val="ZZ Bullets8"/>
    <w:rsid w:val="009A22E3"/>
  </w:style>
  <w:style w:type="numbering" w:customStyle="1" w:styleId="ZZBullets9">
    <w:name w:val="ZZ Bullets9"/>
    <w:rsid w:val="006A09B6"/>
  </w:style>
  <w:style w:type="numbering" w:customStyle="1" w:styleId="ZZBullets10">
    <w:name w:val="ZZ Bullets10"/>
    <w:rsid w:val="006A09B6"/>
  </w:style>
  <w:style w:type="numbering" w:customStyle="1" w:styleId="ZZBullets11">
    <w:name w:val="ZZ Bullets11"/>
    <w:rsid w:val="00864CAA"/>
  </w:style>
  <w:style w:type="numbering" w:customStyle="1" w:styleId="ZZBullets12">
    <w:name w:val="ZZ Bullets12"/>
    <w:rsid w:val="00406AB1"/>
  </w:style>
  <w:style w:type="numbering" w:customStyle="1" w:styleId="ZZBullets13">
    <w:name w:val="ZZ Bullets13"/>
    <w:rsid w:val="003B14F6"/>
  </w:style>
  <w:style w:type="paragraph" w:styleId="Revision">
    <w:name w:val="Revision"/>
    <w:hidden/>
    <w:uiPriority w:val="71"/>
    <w:rsid w:val="00B038B8"/>
    <w:rPr>
      <w:rFonts w:ascii="Cambria" w:hAnsi="Cambria"/>
      <w:lang w:eastAsia="en-US"/>
    </w:rPr>
  </w:style>
  <w:style w:type="paragraph" w:customStyle="1" w:styleId="MHTreportmaintitleteal">
    <w:name w:val="MHT report main title teal"/>
    <w:uiPriority w:val="4"/>
    <w:rsid w:val="009F005A"/>
    <w:pPr>
      <w:keepLines/>
      <w:spacing w:after="240" w:line="580" w:lineRule="atLeast"/>
    </w:pPr>
    <w:rPr>
      <w:rFonts w:ascii="Arial" w:hAnsi="Arial"/>
      <w:bCs/>
      <w:color w:val="006F78"/>
      <w:sz w:val="50"/>
      <w:szCs w:val="50"/>
      <w:lang w:eastAsia="en-US"/>
    </w:rPr>
  </w:style>
  <w:style w:type="paragraph" w:customStyle="1" w:styleId="MHTreportsubtitle">
    <w:name w:val="MHT report subtitle"/>
    <w:uiPriority w:val="4"/>
    <w:rsid w:val="009F005A"/>
    <w:pPr>
      <w:spacing w:after="120" w:line="380" w:lineRule="atLeast"/>
    </w:pPr>
    <w:rPr>
      <w:rFonts w:ascii="Arial" w:hAnsi="Arial"/>
      <w:bCs/>
      <w:color w:val="000000" w:themeColor="text1"/>
      <w:sz w:val="30"/>
      <w:szCs w:val="30"/>
      <w:lang w:eastAsia="en-US"/>
    </w:rPr>
  </w:style>
  <w:style w:type="paragraph" w:customStyle="1" w:styleId="Coverinstructions">
    <w:name w:val="Cover instructions"/>
    <w:rsid w:val="009F005A"/>
    <w:pPr>
      <w:spacing w:after="200" w:line="320" w:lineRule="atLeast"/>
    </w:pPr>
    <w:rPr>
      <w:rFonts w:ascii="Arial" w:hAnsi="Arial"/>
      <w:color w:val="000000" w:themeColor="text1"/>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360306">
      <w:bodyDiv w:val="1"/>
      <w:marLeft w:val="0"/>
      <w:marRight w:val="0"/>
      <w:marTop w:val="0"/>
      <w:marBottom w:val="0"/>
      <w:divBdr>
        <w:top w:val="none" w:sz="0" w:space="0" w:color="auto"/>
        <w:left w:val="none" w:sz="0" w:space="0" w:color="auto"/>
        <w:bottom w:val="none" w:sz="0" w:space="0" w:color="auto"/>
        <w:right w:val="none" w:sz="0" w:space="0" w:color="auto"/>
      </w:divBdr>
    </w:div>
    <w:div w:id="559171539">
      <w:bodyDiv w:val="1"/>
      <w:marLeft w:val="0"/>
      <w:marRight w:val="0"/>
      <w:marTop w:val="0"/>
      <w:marBottom w:val="0"/>
      <w:divBdr>
        <w:top w:val="none" w:sz="0" w:space="0" w:color="auto"/>
        <w:left w:val="none" w:sz="0" w:space="0" w:color="auto"/>
        <w:bottom w:val="none" w:sz="0" w:space="0" w:color="auto"/>
        <w:right w:val="none" w:sz="0" w:space="0" w:color="auto"/>
      </w:divBdr>
    </w:div>
    <w:div w:id="661155639">
      <w:bodyDiv w:val="1"/>
      <w:marLeft w:val="0"/>
      <w:marRight w:val="0"/>
      <w:marTop w:val="0"/>
      <w:marBottom w:val="0"/>
      <w:divBdr>
        <w:top w:val="none" w:sz="0" w:space="0" w:color="auto"/>
        <w:left w:val="none" w:sz="0" w:space="0" w:color="auto"/>
        <w:bottom w:val="none" w:sz="0" w:space="0" w:color="auto"/>
        <w:right w:val="none" w:sz="0" w:space="0" w:color="auto"/>
      </w:divBdr>
    </w:div>
    <w:div w:id="872498191">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22870328">
      <w:bodyDiv w:val="1"/>
      <w:marLeft w:val="0"/>
      <w:marRight w:val="0"/>
      <w:marTop w:val="0"/>
      <w:marBottom w:val="0"/>
      <w:divBdr>
        <w:top w:val="none" w:sz="0" w:space="0" w:color="auto"/>
        <w:left w:val="none" w:sz="0" w:space="0" w:color="auto"/>
        <w:bottom w:val="none" w:sz="0" w:space="0" w:color="auto"/>
        <w:right w:val="none" w:sz="0" w:space="0" w:color="auto"/>
      </w:divBdr>
      <w:divsChild>
        <w:div w:id="1330055651">
          <w:marLeft w:val="533"/>
          <w:marRight w:val="0"/>
          <w:marTop w:val="0"/>
          <w:marBottom w:val="0"/>
          <w:divBdr>
            <w:top w:val="none" w:sz="0" w:space="0" w:color="auto"/>
            <w:left w:val="none" w:sz="0" w:space="0" w:color="auto"/>
            <w:bottom w:val="none" w:sz="0" w:space="0" w:color="auto"/>
            <w:right w:val="none" w:sz="0" w:space="0" w:color="auto"/>
          </w:divBdr>
        </w:div>
        <w:div w:id="1282346482">
          <w:marLeft w:val="533"/>
          <w:marRight w:val="0"/>
          <w:marTop w:val="0"/>
          <w:marBottom w:val="0"/>
          <w:divBdr>
            <w:top w:val="none" w:sz="0" w:space="0" w:color="auto"/>
            <w:left w:val="none" w:sz="0" w:space="0" w:color="auto"/>
            <w:bottom w:val="none" w:sz="0" w:space="0" w:color="auto"/>
            <w:right w:val="none" w:sz="0" w:space="0" w:color="auto"/>
          </w:divBdr>
        </w:div>
        <w:div w:id="1168444295">
          <w:marLeft w:val="533"/>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9176017">
      <w:bodyDiv w:val="1"/>
      <w:marLeft w:val="0"/>
      <w:marRight w:val="0"/>
      <w:marTop w:val="0"/>
      <w:marBottom w:val="0"/>
      <w:divBdr>
        <w:top w:val="none" w:sz="0" w:space="0" w:color="auto"/>
        <w:left w:val="none" w:sz="0" w:space="0" w:color="auto"/>
        <w:bottom w:val="none" w:sz="0" w:space="0" w:color="auto"/>
        <w:right w:val="none" w:sz="0" w:space="0" w:color="auto"/>
      </w:divBdr>
    </w:div>
    <w:div w:id="186000172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201865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y33g\TRIM\TEMP\HPTRIM.13808\t0R9WX9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CCCD2-0807-4DE4-80FB-FCF22A74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t0R9WX9I.DOTX</Template>
  <TotalTime>59</TotalTime>
  <Pages>45</Pages>
  <Words>21999</Words>
  <Characters>115382</Characters>
  <Application>Microsoft Office Word</Application>
  <DocSecurity>0</DocSecurity>
  <Lines>961</Lines>
  <Paragraphs>274</Paragraphs>
  <ScaleCrop>false</ScaleCrop>
  <HeadingPairs>
    <vt:vector size="2" baseType="variant">
      <vt:variant>
        <vt:lpstr>Title</vt:lpstr>
      </vt:variant>
      <vt:variant>
        <vt:i4>1</vt:i4>
      </vt:variant>
    </vt:vector>
  </HeadingPairs>
  <TitlesOfParts>
    <vt:vector size="1" baseType="lpstr">
      <vt:lpstr/>
    </vt:vector>
  </TitlesOfParts>
  <Company>Royal Commission into Victoria's Mental Health System</Company>
  <LinksUpToDate>false</LinksUpToDate>
  <CharactersWithSpaces>137107</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Whitton (DPC)</dc:creator>
  <cp:lastModifiedBy>Matthew Carroll (DHHS)</cp:lastModifiedBy>
  <cp:revision>13</cp:revision>
  <cp:lastPrinted>2019-07-02T00:06:00Z</cp:lastPrinted>
  <dcterms:created xsi:type="dcterms:W3CDTF">2019-07-01T23:24:00Z</dcterms:created>
  <dcterms:modified xsi:type="dcterms:W3CDTF">2019-07-22T03:57:00Z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