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06EDE" w14:textId="77777777" w:rsidR="00FF249D" w:rsidRDefault="00FF249D" w:rsidP="00FF249D">
      <w:pPr>
        <w:pStyle w:val="Title"/>
        <w:spacing w:before="240" w:after="240" w:line="264" w:lineRule="auto"/>
        <w:contextualSpacing w:val="0"/>
        <w:jc w:val="right"/>
        <w:rPr>
          <w:rFonts w:cs="Arial"/>
        </w:rPr>
      </w:pPr>
      <w:r>
        <w:rPr>
          <w:rFonts w:cs="Arial"/>
          <w:noProof/>
        </w:rPr>
        <w:drawing>
          <wp:inline distT="0" distB="0" distL="0" distR="0" wp14:anchorId="31126878" wp14:editId="52496D7E">
            <wp:extent cx="1704975" cy="7143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_Colour_Horizontal.png"/>
                    <pic:cNvPicPr/>
                  </pic:nvPicPr>
                  <pic:blipFill>
                    <a:blip r:embed="rId8">
                      <a:extLst>
                        <a:ext uri="{28A0092B-C50C-407E-A947-70E740481C1C}">
                          <a14:useLocalDpi xmlns:a14="http://schemas.microsoft.com/office/drawing/2010/main" val="0"/>
                        </a:ext>
                      </a:extLst>
                    </a:blip>
                    <a:stretch>
                      <a:fillRect/>
                    </a:stretch>
                  </pic:blipFill>
                  <pic:spPr>
                    <a:xfrm>
                      <a:off x="0" y="0"/>
                      <a:ext cx="1704975" cy="714375"/>
                    </a:xfrm>
                    <a:prstGeom prst="rect">
                      <a:avLst/>
                    </a:prstGeom>
                  </pic:spPr>
                </pic:pic>
              </a:graphicData>
            </a:graphic>
          </wp:inline>
        </w:drawing>
      </w:r>
    </w:p>
    <w:p w14:paraId="76D5F7D0" w14:textId="77777777" w:rsidR="00FF249D" w:rsidRDefault="00FF249D" w:rsidP="004405B0">
      <w:pPr>
        <w:pStyle w:val="Title"/>
        <w:spacing w:before="240" w:after="240" w:line="264" w:lineRule="auto"/>
        <w:contextualSpacing w:val="0"/>
        <w:jc w:val="both"/>
        <w:rPr>
          <w:rFonts w:cs="Arial"/>
        </w:rPr>
      </w:pPr>
    </w:p>
    <w:p w14:paraId="55D60736" w14:textId="75090A1D" w:rsidR="00AD73A6" w:rsidRPr="00B45684" w:rsidRDefault="00A8160B" w:rsidP="004405B0">
      <w:pPr>
        <w:pStyle w:val="Title"/>
        <w:spacing w:before="240" w:after="240" w:line="264" w:lineRule="auto"/>
        <w:contextualSpacing w:val="0"/>
        <w:jc w:val="both"/>
        <w:rPr>
          <w:rFonts w:cs="Arial"/>
        </w:rPr>
      </w:pPr>
      <w:r w:rsidRPr="00B45684">
        <w:rPr>
          <w:rFonts w:cs="Arial"/>
        </w:rPr>
        <w:t>Guidelines for ECT</w:t>
      </w:r>
      <w:r w:rsidR="00AD73A6" w:rsidRPr="00B45684">
        <w:rPr>
          <w:rFonts w:cs="Arial"/>
        </w:rPr>
        <w:t xml:space="preserve"> hearings</w:t>
      </w:r>
      <w:r w:rsidRPr="00B45684">
        <w:rPr>
          <w:rFonts w:cs="Arial"/>
        </w:rPr>
        <w:t xml:space="preserve"> and Orders</w:t>
      </w:r>
    </w:p>
    <w:p w14:paraId="20B3AE6F" w14:textId="0E54766D" w:rsidR="0076324D" w:rsidRPr="0076324D" w:rsidRDefault="00281D43" w:rsidP="0076324D">
      <w:pPr>
        <w:pStyle w:val="TOC1"/>
        <w:tabs>
          <w:tab w:val="right" w:leader="dot" w:pos="9016"/>
        </w:tabs>
        <w:spacing w:after="240"/>
        <w:rPr>
          <w:b w:val="0"/>
          <w:noProof/>
          <w:color w:val="0000FF" w:themeColor="hyperlink"/>
          <w:u w:val="single"/>
        </w:rPr>
      </w:pPr>
      <w:r w:rsidRPr="00B45684">
        <w:rPr>
          <w:rFonts w:cs="Arial"/>
          <w:b w:val="0"/>
          <w:sz w:val="22"/>
          <w:szCs w:val="22"/>
        </w:rPr>
        <w:fldChar w:fldCharType="begin"/>
      </w:r>
      <w:r w:rsidRPr="00161861">
        <w:rPr>
          <w:rFonts w:cs="Arial"/>
          <w:b w:val="0"/>
          <w:sz w:val="22"/>
          <w:szCs w:val="22"/>
        </w:rPr>
        <w:instrText xml:space="preserve"> TOC \o "1-1" \h \z \u </w:instrText>
      </w:r>
      <w:r w:rsidRPr="00B45684">
        <w:rPr>
          <w:rFonts w:cs="Arial"/>
          <w:b w:val="0"/>
          <w:sz w:val="22"/>
          <w:szCs w:val="22"/>
        </w:rPr>
        <w:fldChar w:fldCharType="separate"/>
      </w:r>
      <w:hyperlink w:anchor="_Toc9517086" w:history="1">
        <w:r w:rsidR="0076324D" w:rsidRPr="0076324D">
          <w:rPr>
            <w:rStyle w:val="Hyperlink"/>
            <w:rFonts w:cs="Arial"/>
            <w:b w:val="0"/>
            <w:noProof/>
          </w:rPr>
          <w:t>Introduction</w:t>
        </w:r>
        <w:r w:rsidR="0076324D" w:rsidRPr="0076324D">
          <w:rPr>
            <w:b w:val="0"/>
            <w:noProof/>
            <w:webHidden/>
          </w:rPr>
          <w:tab/>
        </w:r>
        <w:r w:rsidR="0076324D" w:rsidRPr="0076324D">
          <w:rPr>
            <w:b w:val="0"/>
            <w:noProof/>
            <w:webHidden/>
          </w:rPr>
          <w:fldChar w:fldCharType="begin"/>
        </w:r>
        <w:r w:rsidR="0076324D" w:rsidRPr="0076324D">
          <w:rPr>
            <w:b w:val="0"/>
            <w:noProof/>
            <w:webHidden/>
          </w:rPr>
          <w:instrText xml:space="preserve"> PAGEREF _Toc9517086 \h </w:instrText>
        </w:r>
        <w:r w:rsidR="0076324D" w:rsidRPr="0076324D">
          <w:rPr>
            <w:b w:val="0"/>
            <w:noProof/>
            <w:webHidden/>
          </w:rPr>
        </w:r>
        <w:r w:rsidR="0076324D" w:rsidRPr="0076324D">
          <w:rPr>
            <w:b w:val="0"/>
            <w:noProof/>
            <w:webHidden/>
          </w:rPr>
          <w:fldChar w:fldCharType="separate"/>
        </w:r>
        <w:r w:rsidR="00C30AE2">
          <w:rPr>
            <w:b w:val="0"/>
            <w:noProof/>
            <w:webHidden/>
          </w:rPr>
          <w:t>2</w:t>
        </w:r>
        <w:r w:rsidR="0076324D" w:rsidRPr="0076324D">
          <w:rPr>
            <w:b w:val="0"/>
            <w:noProof/>
            <w:webHidden/>
          </w:rPr>
          <w:fldChar w:fldCharType="end"/>
        </w:r>
      </w:hyperlink>
    </w:p>
    <w:p w14:paraId="46DE6B4B" w14:textId="56D7479B" w:rsidR="0076324D" w:rsidRPr="0076324D" w:rsidRDefault="0054432E" w:rsidP="0076324D">
      <w:pPr>
        <w:pStyle w:val="TOC1"/>
        <w:tabs>
          <w:tab w:val="right" w:leader="dot" w:pos="9016"/>
        </w:tabs>
        <w:spacing w:after="240"/>
        <w:rPr>
          <w:rFonts w:asciiTheme="minorHAnsi" w:eastAsiaTheme="minorEastAsia" w:hAnsiTheme="minorHAnsi"/>
          <w:b w:val="0"/>
          <w:bCs w:val="0"/>
          <w:caps w:val="0"/>
          <w:noProof/>
          <w:sz w:val="22"/>
          <w:szCs w:val="22"/>
          <w:lang w:eastAsia="en-AU"/>
        </w:rPr>
      </w:pPr>
      <w:hyperlink w:anchor="_Toc9517087" w:history="1">
        <w:r w:rsidR="0076324D" w:rsidRPr="0076324D">
          <w:rPr>
            <w:rStyle w:val="Hyperlink"/>
            <w:rFonts w:cs="Arial"/>
            <w:b w:val="0"/>
            <w:noProof/>
          </w:rPr>
          <w:t>Scheduling ECT hearings</w:t>
        </w:r>
        <w:r w:rsidR="0076324D" w:rsidRPr="0076324D">
          <w:rPr>
            <w:b w:val="0"/>
            <w:noProof/>
            <w:webHidden/>
          </w:rPr>
          <w:tab/>
        </w:r>
        <w:r w:rsidR="0076324D" w:rsidRPr="0076324D">
          <w:rPr>
            <w:b w:val="0"/>
            <w:noProof/>
            <w:webHidden/>
          </w:rPr>
          <w:fldChar w:fldCharType="begin"/>
        </w:r>
        <w:r w:rsidR="0076324D" w:rsidRPr="0076324D">
          <w:rPr>
            <w:b w:val="0"/>
            <w:noProof/>
            <w:webHidden/>
          </w:rPr>
          <w:instrText xml:space="preserve"> PAGEREF _Toc9517087 \h </w:instrText>
        </w:r>
        <w:r w:rsidR="0076324D" w:rsidRPr="0076324D">
          <w:rPr>
            <w:b w:val="0"/>
            <w:noProof/>
            <w:webHidden/>
          </w:rPr>
        </w:r>
        <w:r w:rsidR="0076324D" w:rsidRPr="0076324D">
          <w:rPr>
            <w:b w:val="0"/>
            <w:noProof/>
            <w:webHidden/>
          </w:rPr>
          <w:fldChar w:fldCharType="separate"/>
        </w:r>
        <w:r w:rsidR="00C30AE2">
          <w:rPr>
            <w:b w:val="0"/>
            <w:noProof/>
            <w:webHidden/>
          </w:rPr>
          <w:t>3</w:t>
        </w:r>
        <w:r w:rsidR="0076324D" w:rsidRPr="0076324D">
          <w:rPr>
            <w:b w:val="0"/>
            <w:noProof/>
            <w:webHidden/>
          </w:rPr>
          <w:fldChar w:fldCharType="end"/>
        </w:r>
      </w:hyperlink>
    </w:p>
    <w:p w14:paraId="5DC6FC87" w14:textId="43EE0FB9" w:rsidR="0076324D" w:rsidRPr="0076324D" w:rsidRDefault="0054432E" w:rsidP="0076324D">
      <w:pPr>
        <w:pStyle w:val="TOC1"/>
        <w:tabs>
          <w:tab w:val="right" w:leader="dot" w:pos="9016"/>
        </w:tabs>
        <w:spacing w:after="240"/>
        <w:rPr>
          <w:rFonts w:asciiTheme="minorHAnsi" w:eastAsiaTheme="minorEastAsia" w:hAnsiTheme="minorHAnsi"/>
          <w:b w:val="0"/>
          <w:bCs w:val="0"/>
          <w:caps w:val="0"/>
          <w:noProof/>
          <w:sz w:val="22"/>
          <w:szCs w:val="22"/>
          <w:lang w:eastAsia="en-AU"/>
        </w:rPr>
      </w:pPr>
      <w:hyperlink w:anchor="_Toc9517088" w:history="1">
        <w:r w:rsidR="0076324D" w:rsidRPr="0076324D">
          <w:rPr>
            <w:rStyle w:val="Hyperlink"/>
            <w:rFonts w:cs="Arial"/>
            <w:b w:val="0"/>
            <w:noProof/>
          </w:rPr>
          <w:t>Determining applications for an ECT Order – Capacity to give informed consent</w:t>
        </w:r>
        <w:r w:rsidR="0076324D" w:rsidRPr="0076324D">
          <w:rPr>
            <w:b w:val="0"/>
            <w:noProof/>
            <w:webHidden/>
          </w:rPr>
          <w:tab/>
        </w:r>
        <w:r w:rsidR="0076324D" w:rsidRPr="0076324D">
          <w:rPr>
            <w:b w:val="0"/>
            <w:noProof/>
            <w:webHidden/>
          </w:rPr>
          <w:fldChar w:fldCharType="begin"/>
        </w:r>
        <w:r w:rsidR="0076324D" w:rsidRPr="0076324D">
          <w:rPr>
            <w:b w:val="0"/>
            <w:noProof/>
            <w:webHidden/>
          </w:rPr>
          <w:instrText xml:space="preserve"> PAGEREF _Toc9517088 \h </w:instrText>
        </w:r>
        <w:r w:rsidR="0076324D" w:rsidRPr="0076324D">
          <w:rPr>
            <w:b w:val="0"/>
            <w:noProof/>
            <w:webHidden/>
          </w:rPr>
        </w:r>
        <w:r w:rsidR="0076324D" w:rsidRPr="0076324D">
          <w:rPr>
            <w:b w:val="0"/>
            <w:noProof/>
            <w:webHidden/>
          </w:rPr>
          <w:fldChar w:fldCharType="separate"/>
        </w:r>
        <w:r w:rsidR="00C30AE2">
          <w:rPr>
            <w:b w:val="0"/>
            <w:noProof/>
            <w:webHidden/>
          </w:rPr>
          <w:t>7</w:t>
        </w:r>
        <w:r w:rsidR="0076324D" w:rsidRPr="0076324D">
          <w:rPr>
            <w:b w:val="0"/>
            <w:noProof/>
            <w:webHidden/>
          </w:rPr>
          <w:fldChar w:fldCharType="end"/>
        </w:r>
      </w:hyperlink>
    </w:p>
    <w:p w14:paraId="35D2B08B" w14:textId="0E201355" w:rsidR="0076324D" w:rsidRPr="0076324D" w:rsidRDefault="0054432E" w:rsidP="0076324D">
      <w:pPr>
        <w:pStyle w:val="TOC1"/>
        <w:tabs>
          <w:tab w:val="right" w:leader="dot" w:pos="9016"/>
        </w:tabs>
        <w:spacing w:after="240"/>
        <w:rPr>
          <w:rFonts w:asciiTheme="minorHAnsi" w:eastAsiaTheme="minorEastAsia" w:hAnsiTheme="minorHAnsi"/>
          <w:b w:val="0"/>
          <w:bCs w:val="0"/>
          <w:caps w:val="0"/>
          <w:noProof/>
          <w:sz w:val="22"/>
          <w:szCs w:val="22"/>
          <w:lang w:eastAsia="en-AU"/>
        </w:rPr>
      </w:pPr>
      <w:hyperlink w:anchor="_Toc9517089" w:history="1">
        <w:r w:rsidR="0076324D" w:rsidRPr="0076324D">
          <w:rPr>
            <w:rStyle w:val="Hyperlink"/>
            <w:rFonts w:cs="Arial"/>
            <w:b w:val="0"/>
            <w:noProof/>
          </w:rPr>
          <w:t>Determining applications for an ECT Order –  No less restrictive way for the person to be treated</w:t>
        </w:r>
        <w:r w:rsidR="0076324D" w:rsidRPr="0076324D">
          <w:rPr>
            <w:b w:val="0"/>
            <w:noProof/>
            <w:webHidden/>
          </w:rPr>
          <w:tab/>
        </w:r>
        <w:r w:rsidR="0076324D" w:rsidRPr="0076324D">
          <w:rPr>
            <w:b w:val="0"/>
            <w:noProof/>
            <w:webHidden/>
          </w:rPr>
          <w:fldChar w:fldCharType="begin"/>
        </w:r>
        <w:r w:rsidR="0076324D" w:rsidRPr="0076324D">
          <w:rPr>
            <w:b w:val="0"/>
            <w:noProof/>
            <w:webHidden/>
          </w:rPr>
          <w:instrText xml:space="preserve"> PAGEREF _Toc9517089 \h </w:instrText>
        </w:r>
        <w:r w:rsidR="0076324D" w:rsidRPr="0076324D">
          <w:rPr>
            <w:b w:val="0"/>
            <w:noProof/>
            <w:webHidden/>
          </w:rPr>
        </w:r>
        <w:r w:rsidR="0076324D" w:rsidRPr="0076324D">
          <w:rPr>
            <w:b w:val="0"/>
            <w:noProof/>
            <w:webHidden/>
          </w:rPr>
          <w:fldChar w:fldCharType="separate"/>
        </w:r>
        <w:r w:rsidR="00C30AE2">
          <w:rPr>
            <w:b w:val="0"/>
            <w:noProof/>
            <w:webHidden/>
          </w:rPr>
          <w:t>11</w:t>
        </w:r>
        <w:r w:rsidR="0076324D" w:rsidRPr="0076324D">
          <w:rPr>
            <w:b w:val="0"/>
            <w:noProof/>
            <w:webHidden/>
          </w:rPr>
          <w:fldChar w:fldCharType="end"/>
        </w:r>
      </w:hyperlink>
    </w:p>
    <w:p w14:paraId="6ECB94BE" w14:textId="5641CC84" w:rsidR="0076324D" w:rsidRPr="0076324D" w:rsidRDefault="0054432E" w:rsidP="0076324D">
      <w:pPr>
        <w:pStyle w:val="TOC1"/>
        <w:tabs>
          <w:tab w:val="right" w:leader="dot" w:pos="9016"/>
        </w:tabs>
        <w:spacing w:after="240"/>
        <w:rPr>
          <w:rFonts w:asciiTheme="minorHAnsi" w:eastAsiaTheme="minorEastAsia" w:hAnsiTheme="minorHAnsi"/>
          <w:b w:val="0"/>
          <w:bCs w:val="0"/>
          <w:caps w:val="0"/>
          <w:noProof/>
          <w:sz w:val="22"/>
          <w:szCs w:val="22"/>
          <w:lang w:eastAsia="en-AU"/>
        </w:rPr>
      </w:pPr>
      <w:hyperlink w:anchor="_Toc9517090" w:history="1">
        <w:r w:rsidR="0076324D" w:rsidRPr="0076324D">
          <w:rPr>
            <w:rStyle w:val="Hyperlink"/>
            <w:rFonts w:cs="Arial"/>
            <w:b w:val="0"/>
            <w:noProof/>
          </w:rPr>
          <w:t>Duration of ECT Orders</w:t>
        </w:r>
        <w:r w:rsidR="0076324D" w:rsidRPr="0076324D">
          <w:rPr>
            <w:b w:val="0"/>
            <w:noProof/>
            <w:webHidden/>
          </w:rPr>
          <w:tab/>
        </w:r>
        <w:r w:rsidR="0076324D" w:rsidRPr="0076324D">
          <w:rPr>
            <w:b w:val="0"/>
            <w:noProof/>
            <w:webHidden/>
          </w:rPr>
          <w:fldChar w:fldCharType="begin"/>
        </w:r>
        <w:r w:rsidR="0076324D" w:rsidRPr="0076324D">
          <w:rPr>
            <w:b w:val="0"/>
            <w:noProof/>
            <w:webHidden/>
          </w:rPr>
          <w:instrText xml:space="preserve"> PAGEREF _Toc9517090 \h </w:instrText>
        </w:r>
        <w:r w:rsidR="0076324D" w:rsidRPr="0076324D">
          <w:rPr>
            <w:b w:val="0"/>
            <w:noProof/>
            <w:webHidden/>
          </w:rPr>
        </w:r>
        <w:r w:rsidR="0076324D" w:rsidRPr="0076324D">
          <w:rPr>
            <w:b w:val="0"/>
            <w:noProof/>
            <w:webHidden/>
          </w:rPr>
          <w:fldChar w:fldCharType="separate"/>
        </w:r>
        <w:r w:rsidR="00C30AE2">
          <w:rPr>
            <w:b w:val="0"/>
            <w:noProof/>
            <w:webHidden/>
          </w:rPr>
          <w:t>13</w:t>
        </w:r>
        <w:r w:rsidR="0076324D" w:rsidRPr="0076324D">
          <w:rPr>
            <w:b w:val="0"/>
            <w:noProof/>
            <w:webHidden/>
          </w:rPr>
          <w:fldChar w:fldCharType="end"/>
        </w:r>
      </w:hyperlink>
    </w:p>
    <w:p w14:paraId="13162B79" w14:textId="0C009D99" w:rsidR="0076324D" w:rsidRPr="0076324D" w:rsidRDefault="0054432E" w:rsidP="0076324D">
      <w:pPr>
        <w:pStyle w:val="TOC1"/>
        <w:tabs>
          <w:tab w:val="right" w:leader="dot" w:pos="9016"/>
        </w:tabs>
        <w:spacing w:after="240"/>
        <w:rPr>
          <w:rFonts w:asciiTheme="minorHAnsi" w:eastAsiaTheme="minorEastAsia" w:hAnsiTheme="minorHAnsi"/>
          <w:b w:val="0"/>
          <w:bCs w:val="0"/>
          <w:caps w:val="0"/>
          <w:noProof/>
          <w:sz w:val="22"/>
          <w:szCs w:val="22"/>
          <w:lang w:eastAsia="en-AU"/>
        </w:rPr>
      </w:pPr>
      <w:hyperlink w:anchor="_Toc9517091" w:history="1">
        <w:r w:rsidR="0076324D" w:rsidRPr="0076324D">
          <w:rPr>
            <w:rStyle w:val="Hyperlink"/>
            <w:rFonts w:cs="Arial"/>
            <w:b w:val="0"/>
            <w:noProof/>
          </w:rPr>
          <w:t>Effect of multiple ECT Orders</w:t>
        </w:r>
        <w:r w:rsidR="0076324D" w:rsidRPr="0076324D">
          <w:rPr>
            <w:b w:val="0"/>
            <w:noProof/>
            <w:webHidden/>
          </w:rPr>
          <w:tab/>
        </w:r>
        <w:r w:rsidR="0076324D" w:rsidRPr="0076324D">
          <w:rPr>
            <w:b w:val="0"/>
            <w:noProof/>
            <w:webHidden/>
          </w:rPr>
          <w:fldChar w:fldCharType="begin"/>
        </w:r>
        <w:r w:rsidR="0076324D" w:rsidRPr="0076324D">
          <w:rPr>
            <w:b w:val="0"/>
            <w:noProof/>
            <w:webHidden/>
          </w:rPr>
          <w:instrText xml:space="preserve"> PAGEREF _Toc9517091 \h </w:instrText>
        </w:r>
        <w:r w:rsidR="0076324D" w:rsidRPr="0076324D">
          <w:rPr>
            <w:b w:val="0"/>
            <w:noProof/>
            <w:webHidden/>
          </w:rPr>
        </w:r>
        <w:r w:rsidR="0076324D" w:rsidRPr="0076324D">
          <w:rPr>
            <w:b w:val="0"/>
            <w:noProof/>
            <w:webHidden/>
          </w:rPr>
          <w:fldChar w:fldCharType="separate"/>
        </w:r>
        <w:r w:rsidR="00C30AE2">
          <w:rPr>
            <w:b w:val="0"/>
            <w:noProof/>
            <w:webHidden/>
          </w:rPr>
          <w:t>14</w:t>
        </w:r>
        <w:r w:rsidR="0076324D" w:rsidRPr="0076324D">
          <w:rPr>
            <w:b w:val="0"/>
            <w:noProof/>
            <w:webHidden/>
          </w:rPr>
          <w:fldChar w:fldCharType="end"/>
        </w:r>
      </w:hyperlink>
    </w:p>
    <w:p w14:paraId="548E6A8B" w14:textId="46092341" w:rsidR="0076324D" w:rsidRPr="0076324D" w:rsidRDefault="0054432E" w:rsidP="0076324D">
      <w:pPr>
        <w:pStyle w:val="TOC1"/>
        <w:tabs>
          <w:tab w:val="right" w:leader="dot" w:pos="9016"/>
        </w:tabs>
        <w:spacing w:after="240"/>
        <w:rPr>
          <w:rFonts w:asciiTheme="minorHAnsi" w:eastAsiaTheme="minorEastAsia" w:hAnsiTheme="minorHAnsi"/>
          <w:b w:val="0"/>
          <w:bCs w:val="0"/>
          <w:caps w:val="0"/>
          <w:noProof/>
          <w:sz w:val="22"/>
          <w:szCs w:val="22"/>
          <w:lang w:eastAsia="en-AU"/>
        </w:rPr>
      </w:pPr>
      <w:hyperlink w:anchor="_Toc9517092" w:history="1">
        <w:r w:rsidR="0076324D" w:rsidRPr="0076324D">
          <w:rPr>
            <w:rStyle w:val="Hyperlink"/>
            <w:rFonts w:cs="Arial"/>
            <w:b w:val="0"/>
            <w:noProof/>
          </w:rPr>
          <w:t>Application for ECT Order shortly after the refusal of an ECT application</w:t>
        </w:r>
        <w:r w:rsidR="0076324D" w:rsidRPr="0076324D">
          <w:rPr>
            <w:b w:val="0"/>
            <w:noProof/>
            <w:webHidden/>
          </w:rPr>
          <w:tab/>
        </w:r>
        <w:r w:rsidR="0076324D" w:rsidRPr="0076324D">
          <w:rPr>
            <w:b w:val="0"/>
            <w:noProof/>
            <w:webHidden/>
          </w:rPr>
          <w:fldChar w:fldCharType="begin"/>
        </w:r>
        <w:r w:rsidR="0076324D" w:rsidRPr="0076324D">
          <w:rPr>
            <w:b w:val="0"/>
            <w:noProof/>
            <w:webHidden/>
          </w:rPr>
          <w:instrText xml:space="preserve"> PAGEREF _Toc9517092 \h </w:instrText>
        </w:r>
        <w:r w:rsidR="0076324D" w:rsidRPr="0076324D">
          <w:rPr>
            <w:b w:val="0"/>
            <w:noProof/>
            <w:webHidden/>
          </w:rPr>
        </w:r>
        <w:r w:rsidR="0076324D" w:rsidRPr="0076324D">
          <w:rPr>
            <w:b w:val="0"/>
            <w:noProof/>
            <w:webHidden/>
          </w:rPr>
          <w:fldChar w:fldCharType="separate"/>
        </w:r>
        <w:r w:rsidR="00C30AE2">
          <w:rPr>
            <w:b w:val="0"/>
            <w:noProof/>
            <w:webHidden/>
          </w:rPr>
          <w:t>15</w:t>
        </w:r>
        <w:r w:rsidR="0076324D" w:rsidRPr="0076324D">
          <w:rPr>
            <w:b w:val="0"/>
            <w:noProof/>
            <w:webHidden/>
          </w:rPr>
          <w:fldChar w:fldCharType="end"/>
        </w:r>
      </w:hyperlink>
    </w:p>
    <w:p w14:paraId="769A2910" w14:textId="4A7D10E2" w:rsidR="0076324D" w:rsidRDefault="0054432E" w:rsidP="0076324D">
      <w:pPr>
        <w:pStyle w:val="TOC1"/>
        <w:tabs>
          <w:tab w:val="right" w:leader="dot" w:pos="9016"/>
        </w:tabs>
        <w:spacing w:after="240"/>
        <w:rPr>
          <w:rFonts w:asciiTheme="minorHAnsi" w:eastAsiaTheme="minorEastAsia" w:hAnsiTheme="minorHAnsi"/>
          <w:b w:val="0"/>
          <w:bCs w:val="0"/>
          <w:caps w:val="0"/>
          <w:noProof/>
          <w:sz w:val="22"/>
          <w:szCs w:val="22"/>
          <w:lang w:eastAsia="en-AU"/>
        </w:rPr>
      </w:pPr>
      <w:hyperlink w:anchor="_Toc9517093" w:history="1">
        <w:r w:rsidR="0076324D" w:rsidRPr="0076324D">
          <w:rPr>
            <w:rStyle w:val="Hyperlink"/>
            <w:rFonts w:cs="Arial"/>
            <w:b w:val="0"/>
            <w:noProof/>
          </w:rPr>
          <w:t>APPENDIX - Summary of relevant provisions of the Act</w:t>
        </w:r>
        <w:r w:rsidR="0076324D" w:rsidRPr="0076324D">
          <w:rPr>
            <w:b w:val="0"/>
            <w:noProof/>
            <w:webHidden/>
          </w:rPr>
          <w:tab/>
        </w:r>
        <w:r w:rsidR="0076324D" w:rsidRPr="0076324D">
          <w:rPr>
            <w:b w:val="0"/>
            <w:noProof/>
            <w:webHidden/>
          </w:rPr>
          <w:fldChar w:fldCharType="begin"/>
        </w:r>
        <w:r w:rsidR="0076324D" w:rsidRPr="0076324D">
          <w:rPr>
            <w:b w:val="0"/>
            <w:noProof/>
            <w:webHidden/>
          </w:rPr>
          <w:instrText xml:space="preserve"> PAGEREF _Toc9517093 \h </w:instrText>
        </w:r>
        <w:r w:rsidR="0076324D" w:rsidRPr="0076324D">
          <w:rPr>
            <w:b w:val="0"/>
            <w:noProof/>
            <w:webHidden/>
          </w:rPr>
        </w:r>
        <w:r w:rsidR="0076324D" w:rsidRPr="0076324D">
          <w:rPr>
            <w:b w:val="0"/>
            <w:noProof/>
            <w:webHidden/>
          </w:rPr>
          <w:fldChar w:fldCharType="separate"/>
        </w:r>
        <w:r w:rsidR="00C30AE2">
          <w:rPr>
            <w:b w:val="0"/>
            <w:noProof/>
            <w:webHidden/>
          </w:rPr>
          <w:t>16</w:t>
        </w:r>
        <w:r w:rsidR="0076324D" w:rsidRPr="0076324D">
          <w:rPr>
            <w:b w:val="0"/>
            <w:noProof/>
            <w:webHidden/>
          </w:rPr>
          <w:fldChar w:fldCharType="end"/>
        </w:r>
      </w:hyperlink>
    </w:p>
    <w:p w14:paraId="7790E01C" w14:textId="27E7636C" w:rsidR="004405B0" w:rsidRPr="00B45684" w:rsidRDefault="00281D43" w:rsidP="007936B0">
      <w:pPr>
        <w:pStyle w:val="NoSpacing"/>
        <w:spacing w:before="240" w:after="240" w:line="360" w:lineRule="auto"/>
        <w:rPr>
          <w:rFonts w:eastAsiaTheme="majorEastAsia" w:cs="Arial"/>
          <w:bCs/>
          <w:color w:val="31849B" w:themeColor="accent5" w:themeShade="BF"/>
          <w:sz w:val="26"/>
          <w:szCs w:val="28"/>
        </w:rPr>
      </w:pPr>
      <w:r w:rsidRPr="00B45684">
        <w:rPr>
          <w:rFonts w:cs="Arial"/>
        </w:rPr>
        <w:fldChar w:fldCharType="end"/>
      </w:r>
      <w:r w:rsidR="004405B0" w:rsidRPr="00B45684">
        <w:rPr>
          <w:rFonts w:cs="Arial"/>
          <w:b/>
        </w:rPr>
        <w:br w:type="page"/>
      </w:r>
    </w:p>
    <w:p w14:paraId="00D1CDB5" w14:textId="0C1D7408" w:rsidR="00D806A9" w:rsidRPr="00B45684" w:rsidRDefault="004405B0" w:rsidP="00F7619F">
      <w:pPr>
        <w:pStyle w:val="Heading1"/>
        <w:rPr>
          <w:rFonts w:cs="Arial"/>
        </w:rPr>
      </w:pPr>
      <w:bookmarkStart w:id="0" w:name="_Toc9328576"/>
      <w:bookmarkStart w:id="1" w:name="_Toc9328760"/>
      <w:bookmarkStart w:id="2" w:name="_Toc9517086"/>
      <w:r w:rsidRPr="00B45684">
        <w:rPr>
          <w:rFonts w:cs="Arial"/>
        </w:rPr>
        <w:lastRenderedPageBreak/>
        <w:t>Introduction</w:t>
      </w:r>
      <w:bookmarkEnd w:id="0"/>
      <w:bookmarkEnd w:id="1"/>
      <w:bookmarkEnd w:id="2"/>
    </w:p>
    <w:p w14:paraId="2F8DFC7A" w14:textId="0AE6ACF3" w:rsidR="00765AB8" w:rsidRPr="00161861" w:rsidRDefault="00436CDF" w:rsidP="004405B0">
      <w:pPr>
        <w:pStyle w:val="ListParagraph"/>
        <w:spacing w:before="240" w:after="240" w:line="264" w:lineRule="auto"/>
        <w:jc w:val="both"/>
        <w:rPr>
          <w:rFonts w:cs="Arial"/>
          <w:sz w:val="22"/>
        </w:rPr>
      </w:pPr>
      <w:r w:rsidRPr="00161861">
        <w:rPr>
          <w:rFonts w:cs="Arial"/>
          <w:sz w:val="22"/>
        </w:rPr>
        <w:t>T</w:t>
      </w:r>
      <w:r w:rsidR="00296EC6" w:rsidRPr="00161861">
        <w:rPr>
          <w:rFonts w:cs="Arial"/>
          <w:sz w:val="22"/>
        </w:rPr>
        <w:t xml:space="preserve">he </w:t>
      </w:r>
      <w:r w:rsidR="00296EC6" w:rsidRPr="00161861">
        <w:rPr>
          <w:rFonts w:cs="Arial"/>
          <w:i/>
          <w:sz w:val="22"/>
        </w:rPr>
        <w:t xml:space="preserve">Mental Health Act 2014 </w:t>
      </w:r>
      <w:r w:rsidR="00296EC6" w:rsidRPr="00161861">
        <w:rPr>
          <w:rFonts w:cs="Arial"/>
          <w:sz w:val="22"/>
        </w:rPr>
        <w:t>(the Act)</w:t>
      </w:r>
      <w:r w:rsidR="007C1E29" w:rsidRPr="00161861">
        <w:rPr>
          <w:rFonts w:cs="Arial"/>
          <w:sz w:val="22"/>
        </w:rPr>
        <w:t xml:space="preserve"> </w:t>
      </w:r>
      <w:r w:rsidR="008110A0" w:rsidRPr="00161861">
        <w:rPr>
          <w:rFonts w:cs="Arial"/>
          <w:sz w:val="22"/>
        </w:rPr>
        <w:t xml:space="preserve">requires </w:t>
      </w:r>
      <w:r w:rsidR="007C1E29" w:rsidRPr="00161861">
        <w:rPr>
          <w:rFonts w:cs="Arial"/>
          <w:sz w:val="22"/>
        </w:rPr>
        <w:t xml:space="preserve">the </w:t>
      </w:r>
      <w:r w:rsidR="00617B45" w:rsidRPr="00161861">
        <w:rPr>
          <w:rFonts w:cs="Arial"/>
          <w:sz w:val="22"/>
        </w:rPr>
        <w:t>Mental</w:t>
      </w:r>
      <w:r w:rsidR="008110A0" w:rsidRPr="00161861">
        <w:rPr>
          <w:rFonts w:cs="Arial"/>
          <w:sz w:val="22"/>
        </w:rPr>
        <w:t xml:space="preserve"> Health Tribunal (the Tribunal) to</w:t>
      </w:r>
      <w:r w:rsidR="00617B45" w:rsidRPr="00161861">
        <w:rPr>
          <w:rFonts w:cs="Arial"/>
          <w:sz w:val="22"/>
        </w:rPr>
        <w:t xml:space="preserve"> determine </w:t>
      </w:r>
      <w:r w:rsidR="00765AB8" w:rsidRPr="00161861">
        <w:rPr>
          <w:rFonts w:cs="Arial"/>
          <w:sz w:val="22"/>
        </w:rPr>
        <w:t>whether</w:t>
      </w:r>
      <w:r w:rsidRPr="00161861">
        <w:rPr>
          <w:rFonts w:cs="Arial"/>
          <w:sz w:val="22"/>
        </w:rPr>
        <w:t xml:space="preserve"> electroconvulsive treatment</w:t>
      </w:r>
      <w:r w:rsidR="00765AB8" w:rsidRPr="00161861">
        <w:rPr>
          <w:rFonts w:cs="Arial"/>
          <w:sz w:val="22"/>
        </w:rPr>
        <w:t xml:space="preserve"> </w:t>
      </w:r>
      <w:r w:rsidRPr="00161861">
        <w:rPr>
          <w:rFonts w:cs="Arial"/>
          <w:sz w:val="22"/>
        </w:rPr>
        <w:t>(</w:t>
      </w:r>
      <w:r w:rsidR="00765AB8" w:rsidRPr="00161861">
        <w:rPr>
          <w:rFonts w:cs="Arial"/>
          <w:sz w:val="22"/>
        </w:rPr>
        <w:t>ECT</w:t>
      </w:r>
      <w:r w:rsidRPr="00161861">
        <w:rPr>
          <w:rFonts w:cs="Arial"/>
          <w:sz w:val="22"/>
        </w:rPr>
        <w:t>)</w:t>
      </w:r>
      <w:r w:rsidR="00765AB8" w:rsidRPr="00161861">
        <w:rPr>
          <w:rFonts w:cs="Arial"/>
          <w:sz w:val="22"/>
        </w:rPr>
        <w:t xml:space="preserve"> can be performed on:</w:t>
      </w:r>
    </w:p>
    <w:p w14:paraId="10D2EC76" w14:textId="25FD5509" w:rsidR="00065D64" w:rsidRPr="00161861" w:rsidRDefault="00617B45" w:rsidP="004405B0">
      <w:pPr>
        <w:pStyle w:val="ListParagraph"/>
        <w:numPr>
          <w:ilvl w:val="0"/>
          <w:numId w:val="9"/>
        </w:numPr>
        <w:spacing w:before="240" w:after="240" w:line="264" w:lineRule="auto"/>
        <w:jc w:val="both"/>
        <w:rPr>
          <w:rFonts w:cs="Arial"/>
          <w:sz w:val="22"/>
        </w:rPr>
      </w:pPr>
      <w:r w:rsidRPr="00161861">
        <w:rPr>
          <w:rFonts w:cs="Arial"/>
          <w:sz w:val="22"/>
        </w:rPr>
        <w:t>compulsory</w:t>
      </w:r>
      <w:r w:rsidR="00296EC6" w:rsidRPr="00161861">
        <w:rPr>
          <w:rFonts w:cs="Arial"/>
          <w:sz w:val="22"/>
        </w:rPr>
        <w:t>, security or forensic</w:t>
      </w:r>
      <w:r w:rsidRPr="00161861">
        <w:rPr>
          <w:rFonts w:cs="Arial"/>
          <w:sz w:val="22"/>
        </w:rPr>
        <w:t xml:space="preserve"> patients </w:t>
      </w:r>
      <w:r w:rsidR="00296EC6" w:rsidRPr="00161861">
        <w:rPr>
          <w:rFonts w:cs="Arial"/>
          <w:sz w:val="22"/>
        </w:rPr>
        <w:t>(</w:t>
      </w:r>
      <w:r w:rsidR="002B0039" w:rsidRPr="00161861">
        <w:rPr>
          <w:rFonts w:cs="Arial"/>
          <w:sz w:val="22"/>
        </w:rPr>
        <w:t xml:space="preserve">referred to in the Act </w:t>
      </w:r>
      <w:r w:rsidR="001949FE" w:rsidRPr="00161861">
        <w:rPr>
          <w:rFonts w:cs="Arial"/>
          <w:sz w:val="22"/>
        </w:rPr>
        <w:t xml:space="preserve">as </w:t>
      </w:r>
      <w:r w:rsidR="00296EC6" w:rsidRPr="00161861">
        <w:rPr>
          <w:rFonts w:cs="Arial"/>
          <w:sz w:val="22"/>
        </w:rPr>
        <w:t xml:space="preserve">patients) </w:t>
      </w:r>
      <w:r w:rsidRPr="00161861">
        <w:rPr>
          <w:rFonts w:cs="Arial"/>
          <w:sz w:val="22"/>
        </w:rPr>
        <w:t xml:space="preserve">if </w:t>
      </w:r>
      <w:r w:rsidR="00DD6262" w:rsidRPr="00161861">
        <w:rPr>
          <w:rFonts w:cs="Arial"/>
          <w:sz w:val="22"/>
        </w:rPr>
        <w:t>their authorised</w:t>
      </w:r>
      <w:r w:rsidRPr="00161861">
        <w:rPr>
          <w:rFonts w:cs="Arial"/>
          <w:sz w:val="22"/>
        </w:rPr>
        <w:t xml:space="preserve"> psychiatrist considers they do not have capacit</w:t>
      </w:r>
      <w:r w:rsidR="00296EC6" w:rsidRPr="00161861">
        <w:rPr>
          <w:rFonts w:cs="Arial"/>
          <w:sz w:val="22"/>
        </w:rPr>
        <w:t>y to give informed consent</w:t>
      </w:r>
      <w:r w:rsidR="00765AB8" w:rsidRPr="00161861">
        <w:rPr>
          <w:rFonts w:cs="Arial"/>
          <w:sz w:val="22"/>
        </w:rPr>
        <w:t xml:space="preserve"> </w:t>
      </w:r>
    </w:p>
    <w:p w14:paraId="751BAB89" w14:textId="64FCA79A" w:rsidR="00765AB8" w:rsidRPr="00161861" w:rsidRDefault="00065D64" w:rsidP="004405B0">
      <w:pPr>
        <w:pStyle w:val="ListParagraph"/>
        <w:numPr>
          <w:ilvl w:val="0"/>
          <w:numId w:val="9"/>
        </w:numPr>
        <w:spacing w:before="240" w:after="240" w:line="264" w:lineRule="auto"/>
        <w:jc w:val="both"/>
        <w:rPr>
          <w:rFonts w:cs="Arial"/>
          <w:sz w:val="22"/>
        </w:rPr>
      </w:pPr>
      <w:r w:rsidRPr="00161861">
        <w:rPr>
          <w:rFonts w:cs="Arial"/>
          <w:sz w:val="22"/>
        </w:rPr>
        <w:t>voluntary adults if their psychiatrist considers they do not have capacity to give informed consent</w:t>
      </w:r>
    </w:p>
    <w:p w14:paraId="790D96BC" w14:textId="39B6C403" w:rsidR="002F0B0A" w:rsidRPr="00161861" w:rsidRDefault="00296EC6" w:rsidP="004405B0">
      <w:pPr>
        <w:pStyle w:val="ListParagraph"/>
        <w:numPr>
          <w:ilvl w:val="0"/>
          <w:numId w:val="9"/>
        </w:numPr>
        <w:spacing w:before="240" w:after="240" w:line="264" w:lineRule="auto"/>
        <w:jc w:val="both"/>
        <w:rPr>
          <w:rFonts w:cs="Arial"/>
          <w:sz w:val="22"/>
        </w:rPr>
      </w:pPr>
      <w:r w:rsidRPr="00161861">
        <w:rPr>
          <w:rFonts w:cs="Arial"/>
          <w:sz w:val="22"/>
        </w:rPr>
        <w:t>any</w:t>
      </w:r>
      <w:r w:rsidR="00D540F2" w:rsidRPr="00161861">
        <w:rPr>
          <w:rFonts w:cs="Arial"/>
          <w:sz w:val="22"/>
        </w:rPr>
        <w:t xml:space="preserve"> young</w:t>
      </w:r>
      <w:r w:rsidRPr="00161861">
        <w:rPr>
          <w:rFonts w:cs="Arial"/>
          <w:sz w:val="22"/>
        </w:rPr>
        <w:t xml:space="preserve"> person under the age of 18 (whether they are a patient or receiving treatment on a voluntary basis).</w:t>
      </w:r>
    </w:p>
    <w:p w14:paraId="0479BD28" w14:textId="3C6C08B4" w:rsidR="00551CDB" w:rsidRPr="00161861" w:rsidRDefault="00551CDB" w:rsidP="004405B0">
      <w:pPr>
        <w:pStyle w:val="ListParagraph"/>
        <w:spacing w:before="240" w:after="240" w:line="264" w:lineRule="auto"/>
        <w:jc w:val="both"/>
        <w:rPr>
          <w:rFonts w:cs="Arial"/>
          <w:sz w:val="22"/>
        </w:rPr>
      </w:pPr>
      <w:r w:rsidRPr="00161861">
        <w:rPr>
          <w:rFonts w:cs="Arial"/>
          <w:sz w:val="22"/>
        </w:rPr>
        <w:t xml:space="preserve">These guidelines use the term ‘patient’ or ‘person’ to refer to </w:t>
      </w:r>
      <w:r w:rsidR="00654D95" w:rsidRPr="00161861">
        <w:rPr>
          <w:rFonts w:cs="Arial"/>
          <w:sz w:val="22"/>
        </w:rPr>
        <w:t>this group collectively</w:t>
      </w:r>
      <w:r w:rsidR="00D01193" w:rsidRPr="00161861">
        <w:rPr>
          <w:rFonts w:cs="Arial"/>
          <w:sz w:val="22"/>
        </w:rPr>
        <w:t xml:space="preserve"> </w:t>
      </w:r>
      <w:r w:rsidRPr="00161861">
        <w:rPr>
          <w:rFonts w:cs="Arial"/>
          <w:sz w:val="22"/>
        </w:rPr>
        <w:t>and us</w:t>
      </w:r>
      <w:r w:rsidR="009D4C67" w:rsidRPr="00161861">
        <w:rPr>
          <w:rFonts w:cs="Arial"/>
          <w:sz w:val="22"/>
        </w:rPr>
        <w:t>e</w:t>
      </w:r>
      <w:r w:rsidRPr="00161861">
        <w:rPr>
          <w:rFonts w:cs="Arial"/>
          <w:sz w:val="22"/>
        </w:rPr>
        <w:t xml:space="preserve"> specific terms such as ‘voluntary adult’ if referring to only one of them.</w:t>
      </w:r>
      <w:r w:rsidR="00BF4C13" w:rsidRPr="00161861">
        <w:rPr>
          <w:rFonts w:cs="Arial"/>
          <w:sz w:val="22"/>
        </w:rPr>
        <w:t xml:space="preserve">  In addition, the term ‘applicant psychiatrist’ is used to refer to both authorised psychiatrists or psychiatrists</w:t>
      </w:r>
      <w:r w:rsidR="007B5BFC" w:rsidRPr="00161861">
        <w:rPr>
          <w:rFonts w:cs="Arial"/>
          <w:sz w:val="22"/>
        </w:rPr>
        <w:t xml:space="preserve"> and the specific terms are used if the provision under consideration only refers to </w:t>
      </w:r>
      <w:r w:rsidR="00914E5A" w:rsidRPr="00161861">
        <w:rPr>
          <w:rFonts w:cs="Arial"/>
          <w:sz w:val="22"/>
        </w:rPr>
        <w:t>one of the</w:t>
      </w:r>
      <w:r w:rsidR="001C102E" w:rsidRPr="00161861">
        <w:rPr>
          <w:rFonts w:cs="Arial"/>
          <w:sz w:val="22"/>
        </w:rPr>
        <w:t>se</w:t>
      </w:r>
      <w:r w:rsidR="00914E5A" w:rsidRPr="00161861">
        <w:rPr>
          <w:rFonts w:cs="Arial"/>
          <w:sz w:val="22"/>
        </w:rPr>
        <w:t xml:space="preserve"> applicant types. </w:t>
      </w:r>
    </w:p>
    <w:p w14:paraId="2805ED40" w14:textId="6EE339B5" w:rsidR="003C0B44" w:rsidRPr="00161861" w:rsidRDefault="00752F73" w:rsidP="004405B0">
      <w:pPr>
        <w:pStyle w:val="ListParagraph"/>
        <w:spacing w:before="240" w:after="240" w:line="264" w:lineRule="auto"/>
        <w:jc w:val="both"/>
        <w:rPr>
          <w:rFonts w:cs="Arial"/>
          <w:sz w:val="22"/>
        </w:rPr>
      </w:pPr>
      <w:r w:rsidRPr="00161861">
        <w:rPr>
          <w:rFonts w:cs="Arial"/>
          <w:sz w:val="22"/>
        </w:rPr>
        <w:t xml:space="preserve">Since the Act commenced on 1 July 2014, </w:t>
      </w:r>
      <w:proofErr w:type="gramStart"/>
      <w:r w:rsidRPr="00161861">
        <w:rPr>
          <w:rFonts w:cs="Arial"/>
          <w:sz w:val="22"/>
        </w:rPr>
        <w:t>a number of</w:t>
      </w:r>
      <w:proofErr w:type="gramEnd"/>
      <w:r w:rsidRPr="00161861">
        <w:rPr>
          <w:rFonts w:cs="Arial"/>
          <w:sz w:val="22"/>
        </w:rPr>
        <w:t xml:space="preserve"> quest</w:t>
      </w:r>
      <w:r w:rsidR="00CD3F65" w:rsidRPr="00161861">
        <w:rPr>
          <w:rFonts w:cs="Arial"/>
          <w:sz w:val="22"/>
        </w:rPr>
        <w:t>ions have arisen about</w:t>
      </w:r>
      <w:r w:rsidR="001949FE" w:rsidRPr="00161861">
        <w:rPr>
          <w:rFonts w:cs="Arial"/>
          <w:sz w:val="22"/>
        </w:rPr>
        <w:t xml:space="preserve"> the </w:t>
      </w:r>
      <w:r w:rsidR="00436CDF" w:rsidRPr="00161861">
        <w:rPr>
          <w:rFonts w:cs="Arial"/>
          <w:sz w:val="22"/>
        </w:rPr>
        <w:t xml:space="preserve">administrative and substantive </w:t>
      </w:r>
      <w:r w:rsidR="001949FE" w:rsidRPr="00161861">
        <w:rPr>
          <w:rFonts w:cs="Arial"/>
          <w:sz w:val="22"/>
        </w:rPr>
        <w:t xml:space="preserve">provisions </w:t>
      </w:r>
      <w:r w:rsidR="00551CDB" w:rsidRPr="00161861">
        <w:rPr>
          <w:rFonts w:cs="Arial"/>
          <w:sz w:val="22"/>
        </w:rPr>
        <w:t xml:space="preserve">of the Act </w:t>
      </w:r>
      <w:r w:rsidR="001949FE" w:rsidRPr="00161861">
        <w:rPr>
          <w:rFonts w:cs="Arial"/>
          <w:sz w:val="22"/>
        </w:rPr>
        <w:t>relating to ECT</w:t>
      </w:r>
      <w:r w:rsidR="00436CDF" w:rsidRPr="00161861">
        <w:rPr>
          <w:rFonts w:cs="Arial"/>
          <w:sz w:val="22"/>
        </w:rPr>
        <w:t xml:space="preserve">. </w:t>
      </w:r>
      <w:r w:rsidR="003C0B44" w:rsidRPr="00161861">
        <w:rPr>
          <w:rFonts w:cs="Arial"/>
          <w:sz w:val="22"/>
        </w:rPr>
        <w:t xml:space="preserve">In addition, in November 2018 the </w:t>
      </w:r>
      <w:r w:rsidR="00551CDB" w:rsidRPr="00161861">
        <w:rPr>
          <w:rFonts w:cs="Arial"/>
          <w:sz w:val="22"/>
        </w:rPr>
        <w:t xml:space="preserve">Victorian </w:t>
      </w:r>
      <w:r w:rsidR="003C0B44" w:rsidRPr="00161861">
        <w:rPr>
          <w:rFonts w:cs="Arial"/>
          <w:sz w:val="22"/>
        </w:rPr>
        <w:t xml:space="preserve">Supreme Court </w:t>
      </w:r>
      <w:r w:rsidR="005E4BB8" w:rsidRPr="00161861">
        <w:rPr>
          <w:rFonts w:cs="Arial"/>
          <w:sz w:val="22"/>
        </w:rPr>
        <w:t>decided</w:t>
      </w:r>
      <w:r w:rsidR="003C0B44" w:rsidRPr="00161861">
        <w:rPr>
          <w:rFonts w:cs="Arial"/>
          <w:sz w:val="22"/>
        </w:rPr>
        <w:t xml:space="preserve"> the</w:t>
      </w:r>
      <w:r w:rsidR="00431505" w:rsidRPr="00161861">
        <w:rPr>
          <w:rFonts w:cs="Arial"/>
          <w:sz w:val="22"/>
        </w:rPr>
        <w:t xml:space="preserve"> case</w:t>
      </w:r>
      <w:r w:rsidR="00436CDF" w:rsidRPr="00161861">
        <w:rPr>
          <w:rFonts w:cs="Arial"/>
          <w:sz w:val="22"/>
        </w:rPr>
        <w:t>s</w:t>
      </w:r>
      <w:r w:rsidR="003C0B44" w:rsidRPr="00161861">
        <w:rPr>
          <w:rFonts w:cs="Arial"/>
          <w:sz w:val="22"/>
        </w:rPr>
        <w:t xml:space="preserve"> of </w:t>
      </w:r>
      <w:r w:rsidR="003C0B44" w:rsidRPr="00161861">
        <w:rPr>
          <w:rFonts w:cs="Arial"/>
          <w:i/>
          <w:sz w:val="22"/>
        </w:rPr>
        <w:t>PBU</w:t>
      </w:r>
      <w:r w:rsidR="00284E95" w:rsidRPr="00161861">
        <w:rPr>
          <w:rFonts w:cs="Arial"/>
          <w:i/>
          <w:sz w:val="22"/>
        </w:rPr>
        <w:t xml:space="preserve"> v Mental Health Tribunal</w:t>
      </w:r>
      <w:r w:rsidR="003C0B44" w:rsidRPr="00161861">
        <w:rPr>
          <w:rFonts w:cs="Arial"/>
          <w:i/>
          <w:sz w:val="22"/>
        </w:rPr>
        <w:t xml:space="preserve"> </w:t>
      </w:r>
      <w:r w:rsidR="00436CDF" w:rsidRPr="00161861">
        <w:rPr>
          <w:rFonts w:cs="Arial"/>
          <w:sz w:val="22"/>
        </w:rPr>
        <w:t>and</w:t>
      </w:r>
      <w:r w:rsidR="003C0B44" w:rsidRPr="00161861">
        <w:rPr>
          <w:rFonts w:cs="Arial"/>
          <w:i/>
          <w:sz w:val="22"/>
        </w:rPr>
        <w:t xml:space="preserve"> NJE v Mental Health Tribunal</w:t>
      </w:r>
      <w:r w:rsidR="003C0B44" w:rsidRPr="00161861">
        <w:rPr>
          <w:rFonts w:cs="Arial"/>
          <w:sz w:val="22"/>
        </w:rPr>
        <w:t xml:space="preserve"> [2018] VSC 564</w:t>
      </w:r>
      <w:r w:rsidR="008218ED" w:rsidRPr="00161861">
        <w:rPr>
          <w:rFonts w:cs="Arial"/>
          <w:sz w:val="22"/>
        </w:rPr>
        <w:t xml:space="preserve"> (referred to in these guidelines as PBU &amp; NJE)</w:t>
      </w:r>
      <w:r w:rsidR="005E4BB8" w:rsidRPr="00161861">
        <w:rPr>
          <w:rFonts w:cs="Arial"/>
          <w:sz w:val="22"/>
        </w:rPr>
        <w:t xml:space="preserve"> and clarified how the ECT provisions of the Act should be interpreted and applied</w:t>
      </w:r>
      <w:r w:rsidR="003C0B44" w:rsidRPr="00161861">
        <w:rPr>
          <w:rFonts w:cs="Arial"/>
          <w:sz w:val="22"/>
        </w:rPr>
        <w:t>.</w:t>
      </w:r>
    </w:p>
    <w:p w14:paraId="0CA3C095" w14:textId="677B989F" w:rsidR="00752F73" w:rsidRPr="00161861" w:rsidRDefault="00752F73" w:rsidP="004405B0">
      <w:pPr>
        <w:pStyle w:val="ListParagraph"/>
        <w:spacing w:before="240" w:after="240" w:line="264" w:lineRule="auto"/>
        <w:jc w:val="both"/>
        <w:rPr>
          <w:rFonts w:cs="Arial"/>
          <w:sz w:val="22"/>
        </w:rPr>
      </w:pPr>
      <w:r w:rsidRPr="00161861">
        <w:rPr>
          <w:rFonts w:cs="Arial"/>
          <w:sz w:val="22"/>
        </w:rPr>
        <w:t>The</w:t>
      </w:r>
      <w:r w:rsidR="00F6016E" w:rsidRPr="00161861">
        <w:rPr>
          <w:rFonts w:cs="Arial"/>
          <w:sz w:val="22"/>
        </w:rPr>
        <w:t>se guidelines are intended to assist Tribunal users in relation to</w:t>
      </w:r>
      <w:r w:rsidRPr="00161861">
        <w:rPr>
          <w:rFonts w:cs="Arial"/>
          <w:sz w:val="22"/>
        </w:rPr>
        <w:t xml:space="preserve"> </w:t>
      </w:r>
      <w:r w:rsidR="00D81925" w:rsidRPr="00161861">
        <w:rPr>
          <w:rFonts w:cs="Arial"/>
          <w:sz w:val="22"/>
        </w:rPr>
        <w:t>key issues</w:t>
      </w:r>
      <w:r w:rsidRPr="00161861">
        <w:rPr>
          <w:rFonts w:cs="Arial"/>
          <w:sz w:val="22"/>
        </w:rPr>
        <w:t xml:space="preserve"> that arise in practice.</w:t>
      </w:r>
      <w:r w:rsidR="00CD3F65" w:rsidRPr="00161861">
        <w:rPr>
          <w:rFonts w:cs="Arial"/>
          <w:sz w:val="22"/>
        </w:rPr>
        <w:t xml:space="preserve"> </w:t>
      </w:r>
      <w:r w:rsidR="00551CDB" w:rsidRPr="00161861">
        <w:rPr>
          <w:rFonts w:cs="Arial"/>
          <w:sz w:val="22"/>
        </w:rPr>
        <w:t xml:space="preserve">However, </w:t>
      </w:r>
      <w:r w:rsidRPr="00161861">
        <w:rPr>
          <w:rFonts w:cs="Arial"/>
          <w:sz w:val="22"/>
        </w:rPr>
        <w:t>they do not attempt to cover every aspect of ECT hearings. Instead, t</w:t>
      </w:r>
      <w:r w:rsidR="00525060" w:rsidRPr="00161861">
        <w:rPr>
          <w:rFonts w:cs="Arial"/>
          <w:sz w:val="22"/>
        </w:rPr>
        <w:t>he guidelines outline</w:t>
      </w:r>
      <w:r w:rsidRPr="00161861">
        <w:rPr>
          <w:rFonts w:cs="Arial"/>
          <w:sz w:val="22"/>
        </w:rPr>
        <w:t xml:space="preserve"> </w:t>
      </w:r>
      <w:r w:rsidR="00525060" w:rsidRPr="00161861">
        <w:rPr>
          <w:rFonts w:cs="Arial"/>
          <w:sz w:val="22"/>
        </w:rPr>
        <w:t>the</w:t>
      </w:r>
      <w:r w:rsidRPr="00161861">
        <w:rPr>
          <w:rFonts w:cs="Arial"/>
          <w:sz w:val="22"/>
        </w:rPr>
        <w:t xml:space="preserve"> Tribunal’s</w:t>
      </w:r>
      <w:r w:rsidR="00525060" w:rsidRPr="00161861">
        <w:rPr>
          <w:rFonts w:cs="Arial"/>
          <w:sz w:val="22"/>
        </w:rPr>
        <w:t xml:space="preserve"> general</w:t>
      </w:r>
      <w:r w:rsidRPr="00161861">
        <w:rPr>
          <w:rFonts w:cs="Arial"/>
          <w:sz w:val="22"/>
        </w:rPr>
        <w:t xml:space="preserve"> approach to:</w:t>
      </w:r>
    </w:p>
    <w:p w14:paraId="011FBB3F" w14:textId="51AA8C3B" w:rsidR="00752F73" w:rsidRPr="00161861" w:rsidRDefault="00AB10E4" w:rsidP="004405B0">
      <w:pPr>
        <w:pStyle w:val="ListParagraph"/>
        <w:numPr>
          <w:ilvl w:val="0"/>
          <w:numId w:val="5"/>
        </w:numPr>
        <w:spacing w:before="240" w:after="240" w:line="264" w:lineRule="auto"/>
        <w:jc w:val="both"/>
        <w:rPr>
          <w:rFonts w:cs="Arial"/>
          <w:sz w:val="22"/>
        </w:rPr>
      </w:pPr>
      <w:r w:rsidRPr="00161861">
        <w:rPr>
          <w:rFonts w:cs="Arial"/>
          <w:sz w:val="22"/>
        </w:rPr>
        <w:t>scheduling</w:t>
      </w:r>
      <w:r w:rsidR="00752F73" w:rsidRPr="00161861">
        <w:rPr>
          <w:rFonts w:cs="Arial"/>
          <w:sz w:val="22"/>
        </w:rPr>
        <w:t xml:space="preserve"> ECT hearings </w:t>
      </w:r>
    </w:p>
    <w:p w14:paraId="395F0C52" w14:textId="7AD668E4" w:rsidR="00752F73" w:rsidRPr="00161861" w:rsidRDefault="009B1900" w:rsidP="004405B0">
      <w:pPr>
        <w:pStyle w:val="ListParagraph"/>
        <w:numPr>
          <w:ilvl w:val="0"/>
          <w:numId w:val="5"/>
        </w:numPr>
        <w:spacing w:before="240" w:after="240" w:line="264" w:lineRule="auto"/>
        <w:jc w:val="both"/>
        <w:rPr>
          <w:rFonts w:cs="Arial"/>
          <w:sz w:val="22"/>
        </w:rPr>
      </w:pPr>
      <w:r w:rsidRPr="00161861">
        <w:rPr>
          <w:rFonts w:cs="Arial"/>
          <w:sz w:val="22"/>
        </w:rPr>
        <w:t>considering urgent</w:t>
      </w:r>
      <w:r w:rsidR="001949FE" w:rsidRPr="00161861">
        <w:rPr>
          <w:rFonts w:cs="Arial"/>
          <w:sz w:val="22"/>
        </w:rPr>
        <w:t xml:space="preserve"> ECT</w:t>
      </w:r>
      <w:r w:rsidRPr="00161861">
        <w:rPr>
          <w:rFonts w:cs="Arial"/>
          <w:sz w:val="22"/>
        </w:rPr>
        <w:t xml:space="preserve"> applications</w:t>
      </w:r>
      <w:r w:rsidR="00B101C8" w:rsidRPr="00161861">
        <w:rPr>
          <w:rFonts w:cs="Arial"/>
          <w:sz w:val="22"/>
        </w:rPr>
        <w:t xml:space="preserve"> </w:t>
      </w:r>
    </w:p>
    <w:p w14:paraId="27912403" w14:textId="258FE488" w:rsidR="00B101C8" w:rsidRPr="00161861" w:rsidRDefault="00752F73" w:rsidP="004405B0">
      <w:pPr>
        <w:pStyle w:val="ListParagraph"/>
        <w:numPr>
          <w:ilvl w:val="0"/>
          <w:numId w:val="5"/>
        </w:numPr>
        <w:spacing w:before="240" w:after="240" w:line="264" w:lineRule="auto"/>
        <w:jc w:val="both"/>
        <w:rPr>
          <w:rFonts w:cs="Arial"/>
          <w:sz w:val="22"/>
        </w:rPr>
      </w:pPr>
      <w:r w:rsidRPr="00161861">
        <w:rPr>
          <w:rFonts w:cs="Arial"/>
          <w:sz w:val="22"/>
        </w:rPr>
        <w:t xml:space="preserve">determining a person’s capacity to give informed consent </w:t>
      </w:r>
    </w:p>
    <w:p w14:paraId="0E68749E" w14:textId="0794479A" w:rsidR="00752F73" w:rsidRPr="00161861" w:rsidRDefault="00B101C8" w:rsidP="004405B0">
      <w:pPr>
        <w:pStyle w:val="ListParagraph"/>
        <w:numPr>
          <w:ilvl w:val="0"/>
          <w:numId w:val="5"/>
        </w:numPr>
        <w:spacing w:before="240" w:after="240" w:line="264" w:lineRule="auto"/>
        <w:jc w:val="both"/>
        <w:rPr>
          <w:rFonts w:cs="Arial"/>
          <w:sz w:val="22"/>
        </w:rPr>
      </w:pPr>
      <w:r w:rsidRPr="00161861">
        <w:rPr>
          <w:rFonts w:cs="Arial"/>
          <w:sz w:val="22"/>
        </w:rPr>
        <w:t>determining whether there is</w:t>
      </w:r>
      <w:r w:rsidR="001949FE" w:rsidRPr="00161861">
        <w:rPr>
          <w:rFonts w:cs="Arial"/>
          <w:sz w:val="22"/>
        </w:rPr>
        <w:t xml:space="preserve"> no less restrictive way for a</w:t>
      </w:r>
      <w:r w:rsidRPr="00161861">
        <w:rPr>
          <w:rFonts w:cs="Arial"/>
          <w:sz w:val="22"/>
        </w:rPr>
        <w:t xml:space="preserve"> person to be treated</w:t>
      </w:r>
    </w:p>
    <w:p w14:paraId="6E999394" w14:textId="77777777" w:rsidR="00653326" w:rsidRPr="00161861" w:rsidRDefault="00752F73" w:rsidP="004405B0">
      <w:pPr>
        <w:pStyle w:val="ListParagraph"/>
        <w:numPr>
          <w:ilvl w:val="0"/>
          <w:numId w:val="5"/>
        </w:numPr>
        <w:spacing w:before="240" w:after="240" w:line="264" w:lineRule="auto"/>
        <w:jc w:val="both"/>
        <w:rPr>
          <w:rFonts w:cs="Arial"/>
          <w:sz w:val="22"/>
        </w:rPr>
      </w:pPr>
      <w:r w:rsidRPr="00161861">
        <w:rPr>
          <w:rFonts w:cs="Arial"/>
          <w:sz w:val="22"/>
        </w:rPr>
        <w:t>setting the duration of ECT Orders</w:t>
      </w:r>
    </w:p>
    <w:p w14:paraId="2E26F121" w14:textId="0B344076" w:rsidR="00E8603C" w:rsidRPr="00161861" w:rsidRDefault="00752F73" w:rsidP="004405B0">
      <w:pPr>
        <w:pStyle w:val="ListParagraph"/>
        <w:numPr>
          <w:ilvl w:val="0"/>
          <w:numId w:val="5"/>
        </w:numPr>
        <w:spacing w:before="240" w:after="240" w:line="264" w:lineRule="auto"/>
        <w:jc w:val="both"/>
        <w:rPr>
          <w:rFonts w:cs="Arial"/>
          <w:sz w:val="22"/>
        </w:rPr>
      </w:pPr>
      <w:r w:rsidRPr="00161861">
        <w:rPr>
          <w:rFonts w:cs="Arial"/>
          <w:sz w:val="22"/>
        </w:rPr>
        <w:t>determining applications for ECT where the application was received immediately or very soon after the Tribunal refused to grant a previous application for ECT.</w:t>
      </w:r>
    </w:p>
    <w:p w14:paraId="3194257D" w14:textId="77777777" w:rsidR="001F1860" w:rsidRPr="00B45684" w:rsidRDefault="001F1860" w:rsidP="004405B0">
      <w:pPr>
        <w:spacing w:before="240" w:after="240" w:line="264" w:lineRule="auto"/>
        <w:rPr>
          <w:rFonts w:eastAsiaTheme="majorEastAsia" w:cs="Arial"/>
          <w:b/>
          <w:bCs/>
          <w:color w:val="365F91" w:themeColor="accent1" w:themeShade="BF"/>
          <w:sz w:val="26"/>
          <w:szCs w:val="28"/>
        </w:rPr>
      </w:pPr>
      <w:r w:rsidRPr="00B45684">
        <w:rPr>
          <w:rFonts w:cs="Arial"/>
        </w:rPr>
        <w:br w:type="page"/>
      </w:r>
    </w:p>
    <w:p w14:paraId="4CC08075" w14:textId="53E22043" w:rsidR="00281D43" w:rsidRPr="00B45684" w:rsidRDefault="004405B0" w:rsidP="00F7619F">
      <w:pPr>
        <w:pStyle w:val="Heading1"/>
        <w:rPr>
          <w:rFonts w:cs="Arial"/>
        </w:rPr>
      </w:pPr>
      <w:bookmarkStart w:id="3" w:name="_Toc9328577"/>
      <w:bookmarkStart w:id="4" w:name="_Toc9328761"/>
      <w:bookmarkStart w:id="5" w:name="_Toc9517087"/>
      <w:r w:rsidRPr="00B45684">
        <w:rPr>
          <w:rFonts w:cs="Arial"/>
        </w:rPr>
        <w:lastRenderedPageBreak/>
        <w:t>Scheduling ECT hearings</w:t>
      </w:r>
      <w:bookmarkEnd w:id="3"/>
      <w:bookmarkEnd w:id="4"/>
      <w:bookmarkEnd w:id="5"/>
    </w:p>
    <w:p w14:paraId="2B624A17" w14:textId="10391095" w:rsidR="007179B2" w:rsidRPr="00161861" w:rsidRDefault="007179B2" w:rsidP="004405B0">
      <w:pPr>
        <w:pStyle w:val="ListParagraph"/>
        <w:spacing w:before="240" w:after="240" w:line="264" w:lineRule="auto"/>
        <w:jc w:val="both"/>
        <w:rPr>
          <w:rFonts w:cs="Arial"/>
          <w:sz w:val="22"/>
        </w:rPr>
      </w:pPr>
      <w:r w:rsidRPr="00161861">
        <w:rPr>
          <w:rFonts w:cs="Arial"/>
          <w:sz w:val="22"/>
        </w:rPr>
        <w:t>The Act require</w:t>
      </w:r>
      <w:r w:rsidR="009E46DE" w:rsidRPr="00161861">
        <w:rPr>
          <w:rFonts w:cs="Arial"/>
          <w:sz w:val="22"/>
        </w:rPr>
        <w:t>s</w:t>
      </w:r>
      <w:r w:rsidRPr="00161861">
        <w:rPr>
          <w:rFonts w:cs="Arial"/>
          <w:sz w:val="22"/>
        </w:rPr>
        <w:t xml:space="preserve"> the Tribunal to list and complete the hearing </w:t>
      </w:r>
      <w:r w:rsidR="00D01193" w:rsidRPr="00161861">
        <w:rPr>
          <w:rFonts w:cs="Arial"/>
          <w:sz w:val="22"/>
        </w:rPr>
        <w:t>of</w:t>
      </w:r>
      <w:r w:rsidRPr="00161861">
        <w:rPr>
          <w:rFonts w:cs="Arial"/>
          <w:sz w:val="22"/>
        </w:rPr>
        <w:t xml:space="preserve"> an application for the performance of a course of ECT as soon as practicable and within 5 business days after receiving the application.</w:t>
      </w:r>
    </w:p>
    <w:p w14:paraId="070D58D3" w14:textId="7EF5701F" w:rsidR="007179B2" w:rsidRPr="00161861" w:rsidRDefault="007179B2" w:rsidP="004405B0">
      <w:pPr>
        <w:pStyle w:val="ListParagraph"/>
        <w:spacing w:before="240" w:after="240" w:line="264" w:lineRule="auto"/>
        <w:jc w:val="both"/>
        <w:rPr>
          <w:rFonts w:cs="Arial"/>
          <w:sz w:val="22"/>
        </w:rPr>
      </w:pPr>
      <w:r w:rsidRPr="00161861">
        <w:rPr>
          <w:rFonts w:cs="Arial"/>
          <w:sz w:val="22"/>
        </w:rPr>
        <w:t>An a</w:t>
      </w:r>
      <w:r w:rsidR="00C35652" w:rsidRPr="00161861">
        <w:rPr>
          <w:rFonts w:cs="Arial"/>
          <w:sz w:val="22"/>
        </w:rPr>
        <w:t>pplicant</w:t>
      </w:r>
      <w:r w:rsidRPr="00161861">
        <w:rPr>
          <w:rFonts w:cs="Arial"/>
          <w:sz w:val="22"/>
        </w:rPr>
        <w:t xml:space="preserve"> psychiatrist may request an urgent hearing of the application if they are satisfied that the course of ECT is necessary as a matter of urgency:</w:t>
      </w:r>
    </w:p>
    <w:p w14:paraId="3C8183C2" w14:textId="28DB6174" w:rsidR="007179B2" w:rsidRPr="00161861" w:rsidRDefault="00B4318D" w:rsidP="004405B0">
      <w:pPr>
        <w:pStyle w:val="ListParagraph"/>
        <w:numPr>
          <w:ilvl w:val="0"/>
          <w:numId w:val="27"/>
        </w:numPr>
        <w:spacing w:before="240" w:after="240" w:line="264" w:lineRule="auto"/>
        <w:jc w:val="both"/>
        <w:rPr>
          <w:rFonts w:cs="Arial"/>
          <w:sz w:val="22"/>
        </w:rPr>
      </w:pPr>
      <w:r w:rsidRPr="00161861">
        <w:rPr>
          <w:rFonts w:cs="Arial"/>
          <w:sz w:val="22"/>
        </w:rPr>
        <w:t>t</w:t>
      </w:r>
      <w:r w:rsidR="007179B2" w:rsidRPr="00161861">
        <w:rPr>
          <w:rFonts w:cs="Arial"/>
          <w:sz w:val="22"/>
        </w:rPr>
        <w:t>o save the life of a person</w:t>
      </w:r>
    </w:p>
    <w:p w14:paraId="656B648E" w14:textId="0BA952B3" w:rsidR="007179B2" w:rsidRPr="00161861" w:rsidRDefault="00B4318D" w:rsidP="004405B0">
      <w:pPr>
        <w:pStyle w:val="ListParagraph"/>
        <w:numPr>
          <w:ilvl w:val="0"/>
          <w:numId w:val="27"/>
        </w:numPr>
        <w:spacing w:before="240" w:after="240" w:line="264" w:lineRule="auto"/>
        <w:jc w:val="both"/>
        <w:rPr>
          <w:rFonts w:cs="Arial"/>
          <w:sz w:val="22"/>
        </w:rPr>
      </w:pPr>
      <w:r w:rsidRPr="00161861">
        <w:rPr>
          <w:rFonts w:cs="Arial"/>
          <w:sz w:val="22"/>
        </w:rPr>
        <w:t>to</w:t>
      </w:r>
      <w:r w:rsidR="007179B2" w:rsidRPr="00161861">
        <w:rPr>
          <w:rFonts w:cs="Arial"/>
          <w:sz w:val="22"/>
        </w:rPr>
        <w:t xml:space="preserve"> prevent serious damage to the health of a person or</w:t>
      </w:r>
    </w:p>
    <w:p w14:paraId="661FDD62" w14:textId="0DD7AB1B" w:rsidR="007179B2" w:rsidRPr="00161861" w:rsidRDefault="00B4318D" w:rsidP="004405B0">
      <w:pPr>
        <w:pStyle w:val="ListParagraph"/>
        <w:numPr>
          <w:ilvl w:val="0"/>
          <w:numId w:val="27"/>
        </w:numPr>
        <w:spacing w:before="240" w:after="240" w:line="264" w:lineRule="auto"/>
        <w:jc w:val="both"/>
        <w:rPr>
          <w:rFonts w:cs="Arial"/>
          <w:sz w:val="22"/>
        </w:rPr>
      </w:pPr>
      <w:r w:rsidRPr="00161861">
        <w:rPr>
          <w:rFonts w:cs="Arial"/>
          <w:sz w:val="22"/>
        </w:rPr>
        <w:t>t</w:t>
      </w:r>
      <w:r w:rsidR="007179B2" w:rsidRPr="00161861">
        <w:rPr>
          <w:rFonts w:cs="Arial"/>
          <w:sz w:val="22"/>
        </w:rPr>
        <w:t>o prevent a person from suffering or continuing to suffer significant pain or distress.</w:t>
      </w:r>
      <w:r w:rsidR="00DA40D7" w:rsidRPr="00161861">
        <w:rPr>
          <w:rStyle w:val="EndnoteReference"/>
          <w:rFonts w:cs="Arial"/>
          <w:sz w:val="22"/>
        </w:rPr>
        <w:endnoteReference w:id="1"/>
      </w:r>
    </w:p>
    <w:p w14:paraId="7C9025C7" w14:textId="40356237" w:rsidR="00104B10" w:rsidRPr="00161861" w:rsidRDefault="00AC44C4" w:rsidP="004405B0">
      <w:pPr>
        <w:pStyle w:val="ListParagraph"/>
        <w:spacing w:before="240" w:after="240" w:line="264" w:lineRule="auto"/>
        <w:jc w:val="both"/>
        <w:rPr>
          <w:rFonts w:cs="Arial"/>
          <w:sz w:val="22"/>
        </w:rPr>
      </w:pPr>
      <w:r w:rsidRPr="00161861">
        <w:rPr>
          <w:rFonts w:cs="Arial"/>
          <w:sz w:val="22"/>
        </w:rPr>
        <w:t>When</w:t>
      </w:r>
      <w:r w:rsidR="007E6352" w:rsidRPr="00161861">
        <w:rPr>
          <w:rFonts w:cs="Arial"/>
          <w:sz w:val="22"/>
        </w:rPr>
        <w:t xml:space="preserve"> listing and hearing ECT applications, the Tribunal must strike</w:t>
      </w:r>
      <w:bookmarkStart w:id="6" w:name="_GoBack"/>
      <w:bookmarkEnd w:id="6"/>
      <w:r w:rsidR="007E6352" w:rsidRPr="00161861">
        <w:rPr>
          <w:rFonts w:cs="Arial"/>
          <w:sz w:val="22"/>
        </w:rPr>
        <w:t xml:space="preserve"> a compl</w:t>
      </w:r>
      <w:r w:rsidR="00CD02C8" w:rsidRPr="00161861">
        <w:rPr>
          <w:rFonts w:cs="Arial"/>
          <w:sz w:val="22"/>
        </w:rPr>
        <w:t>ex balance</w:t>
      </w:r>
      <w:r w:rsidR="00B07BD0" w:rsidRPr="00161861">
        <w:rPr>
          <w:rFonts w:cs="Arial"/>
          <w:sz w:val="22"/>
        </w:rPr>
        <w:t xml:space="preserve">. </w:t>
      </w:r>
      <w:r w:rsidR="007E6352" w:rsidRPr="00161861">
        <w:rPr>
          <w:rFonts w:cs="Arial"/>
          <w:sz w:val="22"/>
        </w:rPr>
        <w:t>Tribunal processes must be as accessible and respons</w:t>
      </w:r>
      <w:r w:rsidR="00CD02C8" w:rsidRPr="00161861">
        <w:rPr>
          <w:rFonts w:cs="Arial"/>
          <w:sz w:val="22"/>
        </w:rPr>
        <w:t>ive as possible</w:t>
      </w:r>
      <w:r w:rsidR="00DB7067" w:rsidRPr="00161861">
        <w:rPr>
          <w:rFonts w:cs="Arial"/>
          <w:sz w:val="22"/>
        </w:rPr>
        <w:t xml:space="preserve">. For example, </w:t>
      </w:r>
      <w:r w:rsidR="007E6352" w:rsidRPr="00161861">
        <w:rPr>
          <w:rFonts w:cs="Arial"/>
          <w:sz w:val="22"/>
        </w:rPr>
        <w:t xml:space="preserve">the requirement to seek an </w:t>
      </w:r>
      <w:r w:rsidR="00B07BD0" w:rsidRPr="00161861">
        <w:rPr>
          <w:rFonts w:cs="Arial"/>
          <w:sz w:val="22"/>
        </w:rPr>
        <w:t xml:space="preserve">ECT </w:t>
      </w:r>
      <w:r w:rsidR="007E6352" w:rsidRPr="00161861">
        <w:rPr>
          <w:rFonts w:cs="Arial"/>
          <w:sz w:val="22"/>
        </w:rPr>
        <w:t xml:space="preserve">Order </w:t>
      </w:r>
      <w:r w:rsidR="00DB7067" w:rsidRPr="00161861">
        <w:rPr>
          <w:rFonts w:cs="Arial"/>
          <w:sz w:val="22"/>
        </w:rPr>
        <w:t xml:space="preserve">should </w:t>
      </w:r>
      <w:r w:rsidR="007E6352" w:rsidRPr="00161861">
        <w:rPr>
          <w:rFonts w:cs="Arial"/>
          <w:sz w:val="22"/>
        </w:rPr>
        <w:t>not unreasonably delay treatment. However, to define the Tribunal’s role as simply to handle ECT applications rapidly is not correct. The hearing process must be rigorous rather than</w:t>
      </w:r>
      <w:r w:rsidR="0054129B" w:rsidRPr="00161861">
        <w:rPr>
          <w:rFonts w:cs="Arial"/>
          <w:sz w:val="22"/>
        </w:rPr>
        <w:t xml:space="preserve"> </w:t>
      </w:r>
      <w:r w:rsidR="007E6352" w:rsidRPr="00161861">
        <w:rPr>
          <w:rFonts w:cs="Arial"/>
          <w:sz w:val="22"/>
        </w:rPr>
        <w:t>instantaneous</w:t>
      </w:r>
      <w:r w:rsidR="00551CDB" w:rsidRPr="00161861">
        <w:rPr>
          <w:rFonts w:cs="Arial"/>
          <w:sz w:val="22"/>
        </w:rPr>
        <w:t>. T</w:t>
      </w:r>
      <w:r w:rsidR="007E6352" w:rsidRPr="00161861">
        <w:rPr>
          <w:rFonts w:cs="Arial"/>
          <w:sz w:val="22"/>
        </w:rPr>
        <w:t>he Act clearly obliges the Tribunal to</w:t>
      </w:r>
      <w:r w:rsidR="00B07BD0" w:rsidRPr="00161861">
        <w:rPr>
          <w:rFonts w:cs="Arial"/>
          <w:sz w:val="22"/>
        </w:rPr>
        <w:t xml:space="preserve"> </w:t>
      </w:r>
      <w:r w:rsidR="007E6352" w:rsidRPr="00161861">
        <w:rPr>
          <w:rFonts w:cs="Arial"/>
          <w:sz w:val="22"/>
        </w:rPr>
        <w:t>handle ECT applica</w:t>
      </w:r>
      <w:r w:rsidR="00DB7067" w:rsidRPr="00161861">
        <w:rPr>
          <w:rFonts w:cs="Arial"/>
          <w:sz w:val="22"/>
        </w:rPr>
        <w:t>tions in accordance with the principles of procedural fairness</w:t>
      </w:r>
      <w:r w:rsidR="00793A69" w:rsidRPr="00161861">
        <w:rPr>
          <w:rFonts w:cs="Arial"/>
          <w:sz w:val="22"/>
        </w:rPr>
        <w:t>.</w:t>
      </w:r>
      <w:r w:rsidR="002522BA" w:rsidRPr="00161861">
        <w:rPr>
          <w:rStyle w:val="EndnoteReference"/>
          <w:rFonts w:cs="Arial"/>
          <w:sz w:val="22"/>
        </w:rPr>
        <w:endnoteReference w:id="2"/>
      </w:r>
      <w:r w:rsidR="00793A69" w:rsidRPr="00161861">
        <w:rPr>
          <w:rFonts w:cs="Arial"/>
          <w:sz w:val="22"/>
        </w:rPr>
        <w:t xml:space="preserve"> This</w:t>
      </w:r>
      <w:r w:rsidR="007E6352" w:rsidRPr="00161861">
        <w:rPr>
          <w:rFonts w:cs="Arial"/>
          <w:sz w:val="22"/>
        </w:rPr>
        <w:t xml:space="preserve"> includes allowing</w:t>
      </w:r>
      <w:r w:rsidR="0050357A" w:rsidRPr="00161861">
        <w:rPr>
          <w:rFonts w:cs="Arial"/>
          <w:sz w:val="22"/>
        </w:rPr>
        <w:t xml:space="preserve"> reasonable</w:t>
      </w:r>
      <w:r w:rsidR="007E6352" w:rsidRPr="00161861">
        <w:rPr>
          <w:rFonts w:cs="Arial"/>
          <w:sz w:val="22"/>
        </w:rPr>
        <w:t xml:space="preserve"> time for a patient and those who support them to be properly notified of a hearing, consider the report that </w:t>
      </w:r>
      <w:r w:rsidR="00454692" w:rsidRPr="00161861">
        <w:rPr>
          <w:rFonts w:cs="Arial"/>
          <w:sz w:val="22"/>
        </w:rPr>
        <w:t xml:space="preserve">the treating team </w:t>
      </w:r>
      <w:r w:rsidR="007E6352" w:rsidRPr="00161861">
        <w:rPr>
          <w:rFonts w:cs="Arial"/>
          <w:sz w:val="22"/>
        </w:rPr>
        <w:t>pr</w:t>
      </w:r>
      <w:r w:rsidR="00793A69" w:rsidRPr="00161861">
        <w:rPr>
          <w:rFonts w:cs="Arial"/>
          <w:sz w:val="22"/>
        </w:rPr>
        <w:t>epared</w:t>
      </w:r>
      <w:r w:rsidR="007E6352" w:rsidRPr="00161861">
        <w:rPr>
          <w:rFonts w:cs="Arial"/>
          <w:sz w:val="22"/>
        </w:rPr>
        <w:t xml:space="preserve"> to support the application and</w:t>
      </w:r>
      <w:r w:rsidR="00454692" w:rsidRPr="00161861">
        <w:rPr>
          <w:rFonts w:cs="Arial"/>
          <w:sz w:val="22"/>
        </w:rPr>
        <w:t xml:space="preserve"> to</w:t>
      </w:r>
      <w:r w:rsidR="007E6352" w:rsidRPr="00161861">
        <w:rPr>
          <w:rFonts w:cs="Arial"/>
          <w:sz w:val="22"/>
        </w:rPr>
        <w:t xml:space="preserve"> se</w:t>
      </w:r>
      <w:r w:rsidR="00DB7067" w:rsidRPr="00161861">
        <w:rPr>
          <w:rFonts w:cs="Arial"/>
          <w:sz w:val="22"/>
        </w:rPr>
        <w:t>ek legal advice if they wish.</w:t>
      </w:r>
      <w:r w:rsidR="006718FF" w:rsidRPr="00161861">
        <w:rPr>
          <w:rFonts w:cs="Arial"/>
          <w:sz w:val="22"/>
        </w:rPr>
        <w:t xml:space="preserve"> </w:t>
      </w:r>
      <w:r w:rsidR="0050357A" w:rsidRPr="00161861">
        <w:rPr>
          <w:rFonts w:cs="Arial"/>
          <w:sz w:val="22"/>
        </w:rPr>
        <w:t>What is reasonable depends on the circumstances of the individual case.</w:t>
      </w:r>
    </w:p>
    <w:p w14:paraId="3D2039A4" w14:textId="430004A9" w:rsidR="00C34A69" w:rsidRPr="00B45684" w:rsidRDefault="00C34A69" w:rsidP="004405B0">
      <w:pPr>
        <w:pStyle w:val="Heading2"/>
        <w:rPr>
          <w:rFonts w:cs="Arial"/>
        </w:rPr>
      </w:pPr>
      <w:bookmarkStart w:id="7" w:name="_Toc9328578"/>
      <w:bookmarkStart w:id="8" w:name="_Toc9328762"/>
      <w:r w:rsidRPr="00B45684">
        <w:rPr>
          <w:rFonts w:cs="Arial"/>
        </w:rPr>
        <w:t xml:space="preserve">How </w:t>
      </w:r>
      <w:r w:rsidR="004720E5" w:rsidRPr="00B45684">
        <w:rPr>
          <w:rFonts w:cs="Arial"/>
        </w:rPr>
        <w:t xml:space="preserve">does </w:t>
      </w:r>
      <w:r w:rsidRPr="00B45684">
        <w:rPr>
          <w:rFonts w:cs="Arial"/>
        </w:rPr>
        <w:t>the Tribunal’s registry list ECT app</w:t>
      </w:r>
      <w:r w:rsidR="004720E5" w:rsidRPr="00B45684">
        <w:rPr>
          <w:rFonts w:cs="Arial"/>
        </w:rPr>
        <w:t>lications?</w:t>
      </w:r>
      <w:bookmarkEnd w:id="7"/>
      <w:bookmarkEnd w:id="8"/>
    </w:p>
    <w:p w14:paraId="55E62D4D" w14:textId="60D3D3DA" w:rsidR="00C34A69" w:rsidRPr="00161861" w:rsidRDefault="00C34A69" w:rsidP="004405B0">
      <w:pPr>
        <w:pStyle w:val="ListParagraph"/>
        <w:spacing w:before="240" w:after="240" w:line="264" w:lineRule="auto"/>
        <w:jc w:val="both"/>
        <w:rPr>
          <w:rFonts w:cs="Arial"/>
          <w:sz w:val="22"/>
        </w:rPr>
      </w:pPr>
      <w:r w:rsidRPr="00161861">
        <w:rPr>
          <w:rFonts w:cs="Arial"/>
          <w:sz w:val="22"/>
        </w:rPr>
        <w:t>When an E</w:t>
      </w:r>
      <w:r w:rsidR="001949FE" w:rsidRPr="00161861">
        <w:rPr>
          <w:rFonts w:cs="Arial"/>
          <w:sz w:val="22"/>
        </w:rPr>
        <w:t xml:space="preserve">CT application is received, </w:t>
      </w:r>
      <w:r w:rsidRPr="00161861">
        <w:rPr>
          <w:rFonts w:cs="Arial"/>
          <w:sz w:val="22"/>
        </w:rPr>
        <w:t xml:space="preserve">registry </w:t>
      </w:r>
      <w:r w:rsidR="001949FE" w:rsidRPr="00161861">
        <w:rPr>
          <w:rFonts w:cs="Arial"/>
          <w:sz w:val="22"/>
        </w:rPr>
        <w:t>staff</w:t>
      </w:r>
      <w:r w:rsidRPr="00161861">
        <w:rPr>
          <w:rFonts w:cs="Arial"/>
          <w:sz w:val="22"/>
        </w:rPr>
        <w:t xml:space="preserve"> ask the</w:t>
      </w:r>
      <w:r w:rsidR="00551CDB" w:rsidRPr="00161861">
        <w:rPr>
          <w:rFonts w:cs="Arial"/>
          <w:sz w:val="22"/>
        </w:rPr>
        <w:t xml:space="preserve"> mental</w:t>
      </w:r>
      <w:r w:rsidRPr="00161861">
        <w:rPr>
          <w:rFonts w:cs="Arial"/>
          <w:sz w:val="22"/>
        </w:rPr>
        <w:t xml:space="preserve"> health service a ser</w:t>
      </w:r>
      <w:r w:rsidR="001949FE" w:rsidRPr="00161861">
        <w:rPr>
          <w:rFonts w:cs="Arial"/>
          <w:sz w:val="22"/>
        </w:rPr>
        <w:t xml:space="preserve">ies of questions </w:t>
      </w:r>
      <w:r w:rsidR="00104DB2" w:rsidRPr="00161861">
        <w:rPr>
          <w:rFonts w:cs="Arial"/>
          <w:sz w:val="22"/>
        </w:rPr>
        <w:t xml:space="preserve">about the circumstances involved </w:t>
      </w:r>
      <w:r w:rsidR="001949FE" w:rsidRPr="00161861">
        <w:rPr>
          <w:rFonts w:cs="Arial"/>
          <w:sz w:val="22"/>
        </w:rPr>
        <w:t>so that they</w:t>
      </w:r>
      <w:r w:rsidRPr="00161861">
        <w:rPr>
          <w:rFonts w:cs="Arial"/>
          <w:sz w:val="22"/>
        </w:rPr>
        <w:t xml:space="preserve"> can consider what is ‘as soon as practicable’. These questions are: </w:t>
      </w:r>
    </w:p>
    <w:p w14:paraId="35A891B8" w14:textId="39733B52" w:rsidR="00C34A69" w:rsidRPr="00161861" w:rsidRDefault="00C34A69" w:rsidP="004405B0">
      <w:pPr>
        <w:pStyle w:val="ListParagraph"/>
        <w:numPr>
          <w:ilvl w:val="0"/>
          <w:numId w:val="12"/>
        </w:numPr>
        <w:spacing w:before="240" w:after="240" w:line="264" w:lineRule="auto"/>
        <w:jc w:val="both"/>
        <w:rPr>
          <w:rFonts w:cs="Arial"/>
          <w:sz w:val="22"/>
        </w:rPr>
      </w:pPr>
      <w:r w:rsidRPr="00161861">
        <w:rPr>
          <w:rFonts w:cs="Arial"/>
          <w:sz w:val="22"/>
        </w:rPr>
        <w:t>Does the patient want</w:t>
      </w:r>
      <w:r w:rsidR="00EC7112" w:rsidRPr="00161861">
        <w:rPr>
          <w:rFonts w:cs="Arial"/>
          <w:sz w:val="22"/>
        </w:rPr>
        <w:t>,</w:t>
      </w:r>
      <w:r w:rsidRPr="00161861">
        <w:rPr>
          <w:rFonts w:cs="Arial"/>
          <w:sz w:val="22"/>
        </w:rPr>
        <w:t xml:space="preserve"> </w:t>
      </w:r>
      <w:r w:rsidR="00CC3EDB" w:rsidRPr="00161861">
        <w:rPr>
          <w:rFonts w:cs="Arial"/>
          <w:sz w:val="22"/>
        </w:rPr>
        <w:t>and are they able</w:t>
      </w:r>
      <w:r w:rsidR="00EC7112" w:rsidRPr="00161861">
        <w:rPr>
          <w:rFonts w:cs="Arial"/>
          <w:sz w:val="22"/>
        </w:rPr>
        <w:t>,</w:t>
      </w:r>
      <w:r w:rsidR="00CC3EDB" w:rsidRPr="00161861">
        <w:rPr>
          <w:rFonts w:cs="Arial"/>
          <w:sz w:val="22"/>
        </w:rPr>
        <w:t xml:space="preserve"> </w:t>
      </w:r>
      <w:r w:rsidRPr="00161861">
        <w:rPr>
          <w:rFonts w:cs="Arial"/>
          <w:sz w:val="22"/>
        </w:rPr>
        <w:t xml:space="preserve">to </w:t>
      </w:r>
      <w:r w:rsidR="000E3174" w:rsidRPr="00161861">
        <w:rPr>
          <w:rFonts w:cs="Arial"/>
          <w:sz w:val="22"/>
        </w:rPr>
        <w:t xml:space="preserve">attend </w:t>
      </w:r>
      <w:r w:rsidRPr="00161861">
        <w:rPr>
          <w:rFonts w:cs="Arial"/>
          <w:sz w:val="22"/>
        </w:rPr>
        <w:t>the hearing?</w:t>
      </w:r>
    </w:p>
    <w:p w14:paraId="1EEB08D4" w14:textId="7AD560E8" w:rsidR="00C34A69" w:rsidRPr="00161861" w:rsidRDefault="00C34A69" w:rsidP="004405B0">
      <w:pPr>
        <w:pStyle w:val="ListParagraph"/>
        <w:numPr>
          <w:ilvl w:val="0"/>
          <w:numId w:val="12"/>
        </w:numPr>
        <w:spacing w:before="240" w:after="240" w:line="264" w:lineRule="auto"/>
        <w:jc w:val="both"/>
        <w:rPr>
          <w:rFonts w:cs="Arial"/>
          <w:sz w:val="22"/>
        </w:rPr>
      </w:pPr>
      <w:r w:rsidRPr="00161861">
        <w:rPr>
          <w:rFonts w:cs="Arial"/>
          <w:sz w:val="22"/>
        </w:rPr>
        <w:t>Does the patient want their carer, nominated person or other support</w:t>
      </w:r>
      <w:r w:rsidR="00104DB2" w:rsidRPr="00161861">
        <w:rPr>
          <w:rFonts w:cs="Arial"/>
          <w:sz w:val="22"/>
        </w:rPr>
        <w:t xml:space="preserve"> person</w:t>
      </w:r>
      <w:r w:rsidRPr="00161861">
        <w:rPr>
          <w:rFonts w:cs="Arial"/>
          <w:sz w:val="22"/>
        </w:rPr>
        <w:t xml:space="preserve"> to attend the hearing?</w:t>
      </w:r>
    </w:p>
    <w:p w14:paraId="39BE5D58" w14:textId="4473129D" w:rsidR="00C34A69" w:rsidRPr="00161861" w:rsidRDefault="00C34A69" w:rsidP="004405B0">
      <w:pPr>
        <w:pStyle w:val="ListParagraph"/>
        <w:numPr>
          <w:ilvl w:val="0"/>
          <w:numId w:val="12"/>
        </w:numPr>
        <w:spacing w:before="240" w:after="240" w:line="264" w:lineRule="auto"/>
        <w:jc w:val="both"/>
        <w:rPr>
          <w:rFonts w:cs="Arial"/>
          <w:sz w:val="22"/>
        </w:rPr>
      </w:pPr>
      <w:r w:rsidRPr="00161861">
        <w:rPr>
          <w:rFonts w:cs="Arial"/>
          <w:sz w:val="22"/>
        </w:rPr>
        <w:t>Does the patient want</w:t>
      </w:r>
      <w:r w:rsidR="00220378">
        <w:rPr>
          <w:rFonts w:cs="Arial"/>
          <w:sz w:val="22"/>
        </w:rPr>
        <w:t xml:space="preserve"> a lawyer to represent them</w:t>
      </w:r>
      <w:r w:rsidRPr="00161861">
        <w:rPr>
          <w:rFonts w:cs="Arial"/>
          <w:sz w:val="22"/>
        </w:rPr>
        <w:t xml:space="preserve"> at the hearing</w:t>
      </w:r>
      <w:r w:rsidR="00BF4C13" w:rsidRPr="00161861">
        <w:rPr>
          <w:rFonts w:cs="Arial"/>
          <w:sz w:val="22"/>
        </w:rPr>
        <w:t xml:space="preserve"> or</w:t>
      </w:r>
      <w:r w:rsidR="00220378">
        <w:rPr>
          <w:rFonts w:cs="Arial"/>
          <w:sz w:val="22"/>
        </w:rPr>
        <w:t xml:space="preserve"> to obtain information, non-legal advocacy or a referral</w:t>
      </w:r>
      <w:r w:rsidR="00BF4C13" w:rsidRPr="00161861">
        <w:rPr>
          <w:rFonts w:cs="Arial"/>
          <w:sz w:val="22"/>
        </w:rPr>
        <w:t xml:space="preserve"> from an </w:t>
      </w:r>
      <w:r w:rsidR="007B5BFC" w:rsidRPr="00161861">
        <w:rPr>
          <w:rFonts w:cs="Arial"/>
          <w:sz w:val="22"/>
        </w:rPr>
        <w:t xml:space="preserve">independent mental health </w:t>
      </w:r>
      <w:r w:rsidR="00BF4C13" w:rsidRPr="00161861">
        <w:rPr>
          <w:rFonts w:cs="Arial"/>
          <w:sz w:val="22"/>
        </w:rPr>
        <w:t>advocate</w:t>
      </w:r>
      <w:r w:rsidR="007B5BFC" w:rsidRPr="00161861">
        <w:rPr>
          <w:rFonts w:cs="Arial"/>
          <w:sz w:val="22"/>
        </w:rPr>
        <w:t xml:space="preserve"> before the hearing</w:t>
      </w:r>
      <w:r w:rsidRPr="00161861">
        <w:rPr>
          <w:rFonts w:cs="Arial"/>
          <w:sz w:val="22"/>
        </w:rPr>
        <w:t>?</w:t>
      </w:r>
    </w:p>
    <w:p w14:paraId="570FD8E0" w14:textId="77777777" w:rsidR="00C34A69" w:rsidRPr="00161861" w:rsidRDefault="00C34A69" w:rsidP="004405B0">
      <w:pPr>
        <w:pStyle w:val="ListParagraph"/>
        <w:numPr>
          <w:ilvl w:val="0"/>
          <w:numId w:val="12"/>
        </w:numPr>
        <w:spacing w:before="240" w:after="240" w:line="264" w:lineRule="auto"/>
        <w:jc w:val="both"/>
        <w:rPr>
          <w:rFonts w:cs="Arial"/>
          <w:sz w:val="22"/>
        </w:rPr>
      </w:pPr>
      <w:r w:rsidRPr="00161861">
        <w:rPr>
          <w:rFonts w:cs="Arial"/>
          <w:sz w:val="22"/>
        </w:rPr>
        <w:t>When will the report be prepared and explained to the patient?</w:t>
      </w:r>
    </w:p>
    <w:p w14:paraId="15FFF666" w14:textId="53E3B317" w:rsidR="00C34A69" w:rsidRPr="00161861" w:rsidRDefault="001949FE" w:rsidP="004405B0">
      <w:pPr>
        <w:pStyle w:val="ListParagraph"/>
        <w:numPr>
          <w:ilvl w:val="0"/>
          <w:numId w:val="12"/>
        </w:numPr>
        <w:spacing w:before="240" w:after="240" w:line="264" w:lineRule="auto"/>
        <w:jc w:val="both"/>
        <w:rPr>
          <w:rFonts w:cs="Arial"/>
          <w:sz w:val="22"/>
        </w:rPr>
      </w:pPr>
      <w:r w:rsidRPr="00161861">
        <w:rPr>
          <w:rFonts w:cs="Arial"/>
          <w:sz w:val="22"/>
        </w:rPr>
        <w:t xml:space="preserve">What is </w:t>
      </w:r>
      <w:r w:rsidR="00EC7112" w:rsidRPr="00161861">
        <w:rPr>
          <w:rFonts w:cs="Arial"/>
          <w:sz w:val="22"/>
        </w:rPr>
        <w:t>the</w:t>
      </w:r>
      <w:r w:rsidR="00C34A69" w:rsidRPr="00161861">
        <w:rPr>
          <w:rFonts w:cs="Arial"/>
          <w:sz w:val="22"/>
        </w:rPr>
        <w:t xml:space="preserve"> proposed hearing date</w:t>
      </w:r>
      <w:r w:rsidR="00D5093C" w:rsidRPr="00161861">
        <w:rPr>
          <w:rFonts w:cs="Arial"/>
          <w:sz w:val="22"/>
        </w:rPr>
        <w:t>?</w:t>
      </w:r>
      <w:r w:rsidR="00104DB2" w:rsidRPr="00161861">
        <w:rPr>
          <w:rFonts w:cs="Arial"/>
          <w:sz w:val="22"/>
        </w:rPr>
        <w:t xml:space="preserve"> </w:t>
      </w:r>
      <w:r w:rsidR="00C34A69" w:rsidRPr="00161861">
        <w:rPr>
          <w:rFonts w:cs="Arial"/>
          <w:sz w:val="22"/>
        </w:rPr>
        <w:t>(</w:t>
      </w:r>
      <w:r w:rsidR="00104DB2" w:rsidRPr="00161861">
        <w:rPr>
          <w:rFonts w:cs="Arial"/>
          <w:sz w:val="22"/>
        </w:rPr>
        <w:t xml:space="preserve">wherever possible </w:t>
      </w:r>
      <w:r w:rsidR="00EC7112" w:rsidRPr="00161861">
        <w:rPr>
          <w:rFonts w:cs="Arial"/>
          <w:sz w:val="22"/>
        </w:rPr>
        <w:t xml:space="preserve">the registry </w:t>
      </w:r>
      <w:r w:rsidR="00104DB2" w:rsidRPr="00161861">
        <w:rPr>
          <w:rFonts w:cs="Arial"/>
          <w:sz w:val="22"/>
        </w:rPr>
        <w:t xml:space="preserve">will list an application for an </w:t>
      </w:r>
      <w:r w:rsidR="00C34A69" w:rsidRPr="00161861">
        <w:rPr>
          <w:rFonts w:cs="Arial"/>
          <w:sz w:val="22"/>
        </w:rPr>
        <w:t xml:space="preserve">in-person </w:t>
      </w:r>
      <w:r w:rsidR="00104DB2" w:rsidRPr="00161861">
        <w:rPr>
          <w:rFonts w:cs="Arial"/>
          <w:sz w:val="22"/>
        </w:rPr>
        <w:t>hear</w:t>
      </w:r>
      <w:r w:rsidR="00C34A69" w:rsidRPr="00161861">
        <w:rPr>
          <w:rFonts w:cs="Arial"/>
          <w:sz w:val="22"/>
        </w:rPr>
        <w:t>ing)</w:t>
      </w:r>
    </w:p>
    <w:p w14:paraId="179C658C" w14:textId="25916DE7" w:rsidR="00C34A69" w:rsidRPr="00161861" w:rsidRDefault="00FC453A" w:rsidP="004405B0">
      <w:pPr>
        <w:pStyle w:val="ListParagraph"/>
        <w:numPr>
          <w:ilvl w:val="0"/>
          <w:numId w:val="12"/>
        </w:numPr>
        <w:spacing w:before="240" w:after="240" w:line="264" w:lineRule="auto"/>
        <w:jc w:val="both"/>
        <w:rPr>
          <w:rFonts w:cs="Arial"/>
          <w:sz w:val="22"/>
        </w:rPr>
      </w:pPr>
      <w:r w:rsidRPr="00161861">
        <w:rPr>
          <w:rFonts w:cs="Arial"/>
          <w:sz w:val="22"/>
        </w:rPr>
        <w:t>What is the</w:t>
      </w:r>
      <w:r w:rsidR="00C34A69" w:rsidRPr="00161861">
        <w:rPr>
          <w:rFonts w:cs="Arial"/>
          <w:sz w:val="22"/>
        </w:rPr>
        <w:t xml:space="preserve"> proposed date of</w:t>
      </w:r>
      <w:r w:rsidRPr="00161861">
        <w:rPr>
          <w:rFonts w:cs="Arial"/>
          <w:sz w:val="22"/>
        </w:rPr>
        <w:t xml:space="preserve"> first</w:t>
      </w:r>
      <w:r w:rsidR="00C34A69" w:rsidRPr="00161861">
        <w:rPr>
          <w:rFonts w:cs="Arial"/>
          <w:sz w:val="22"/>
        </w:rPr>
        <w:t xml:space="preserve"> treatment?</w:t>
      </w:r>
      <w:r w:rsidR="00551CDB" w:rsidRPr="00161861">
        <w:rPr>
          <w:rFonts w:cs="Arial"/>
          <w:sz w:val="22"/>
        </w:rPr>
        <w:t xml:space="preserve"> </w:t>
      </w:r>
    </w:p>
    <w:p w14:paraId="004B78D7" w14:textId="77777777" w:rsidR="00EC7112" w:rsidRPr="00161861" w:rsidRDefault="00C106FE" w:rsidP="004405B0">
      <w:pPr>
        <w:pStyle w:val="ListParagraph"/>
        <w:numPr>
          <w:ilvl w:val="0"/>
          <w:numId w:val="12"/>
        </w:numPr>
        <w:spacing w:before="240" w:after="240" w:line="264" w:lineRule="auto"/>
        <w:jc w:val="both"/>
        <w:rPr>
          <w:rFonts w:cs="Arial"/>
          <w:sz w:val="22"/>
        </w:rPr>
      </w:pPr>
      <w:r w:rsidRPr="00161861">
        <w:rPr>
          <w:rFonts w:cs="Arial"/>
          <w:sz w:val="22"/>
        </w:rPr>
        <w:t xml:space="preserve">If the application is lodged as urgent what are the reasons, </w:t>
      </w:r>
      <w:proofErr w:type="gramStart"/>
      <w:r w:rsidRPr="00161861">
        <w:rPr>
          <w:rFonts w:cs="Arial"/>
          <w:sz w:val="22"/>
        </w:rPr>
        <w:t>and in particular</w:t>
      </w:r>
      <w:r w:rsidR="00DC0C7F" w:rsidRPr="00161861">
        <w:rPr>
          <w:rFonts w:cs="Arial"/>
          <w:sz w:val="22"/>
        </w:rPr>
        <w:t>,</w:t>
      </w:r>
      <w:r w:rsidRPr="00161861">
        <w:rPr>
          <w:rFonts w:cs="Arial"/>
          <w:sz w:val="22"/>
        </w:rPr>
        <w:t xml:space="preserve"> is</w:t>
      </w:r>
      <w:proofErr w:type="gramEnd"/>
      <w:r w:rsidRPr="00161861">
        <w:rPr>
          <w:rFonts w:cs="Arial"/>
          <w:sz w:val="22"/>
        </w:rPr>
        <w:t xml:space="preserve"> it necessary to</w:t>
      </w:r>
      <w:r w:rsidR="00EC7112" w:rsidRPr="00161861">
        <w:rPr>
          <w:rFonts w:cs="Arial"/>
          <w:sz w:val="22"/>
        </w:rPr>
        <w:t>:</w:t>
      </w:r>
      <w:r w:rsidRPr="00161861">
        <w:rPr>
          <w:rFonts w:cs="Arial"/>
          <w:sz w:val="22"/>
        </w:rPr>
        <w:t xml:space="preserve"> </w:t>
      </w:r>
    </w:p>
    <w:p w14:paraId="38C613C0" w14:textId="5C96B7B5" w:rsidR="009F6436" w:rsidRPr="00161861" w:rsidRDefault="00C106FE" w:rsidP="004405B0">
      <w:pPr>
        <w:spacing w:before="240" w:after="240" w:line="264" w:lineRule="auto"/>
        <w:ind w:left="720" w:firstLine="720"/>
        <w:jc w:val="both"/>
        <w:rPr>
          <w:rFonts w:cs="Arial"/>
        </w:rPr>
      </w:pPr>
      <w:r w:rsidRPr="00161861">
        <w:rPr>
          <w:rFonts w:cs="Arial"/>
        </w:rPr>
        <w:t xml:space="preserve">(a) save the life of the patient or </w:t>
      </w:r>
    </w:p>
    <w:p w14:paraId="41A2FF8F" w14:textId="50209592" w:rsidR="009F6436" w:rsidRPr="00161861" w:rsidRDefault="00C106FE" w:rsidP="004405B0">
      <w:pPr>
        <w:spacing w:before="240" w:after="240" w:line="264" w:lineRule="auto"/>
        <w:ind w:left="1069" w:firstLine="371"/>
        <w:jc w:val="both"/>
        <w:rPr>
          <w:rFonts w:cs="Arial"/>
        </w:rPr>
      </w:pPr>
      <w:r w:rsidRPr="00161861">
        <w:rPr>
          <w:rFonts w:cs="Arial"/>
        </w:rPr>
        <w:t>(b) prevent serious damage to the</w:t>
      </w:r>
      <w:r w:rsidR="00220378">
        <w:rPr>
          <w:rFonts w:cs="Arial"/>
        </w:rPr>
        <w:t xml:space="preserve"> health of the</w:t>
      </w:r>
      <w:r w:rsidRPr="00161861">
        <w:rPr>
          <w:rFonts w:cs="Arial"/>
        </w:rPr>
        <w:t xml:space="preserve"> patient or </w:t>
      </w:r>
    </w:p>
    <w:p w14:paraId="3E86DD3C" w14:textId="2AF9EE8A" w:rsidR="00C106FE" w:rsidRPr="00161861" w:rsidRDefault="00C106FE" w:rsidP="004405B0">
      <w:pPr>
        <w:spacing w:before="240" w:after="240" w:line="264" w:lineRule="auto"/>
        <w:ind w:left="1069" w:firstLine="371"/>
        <w:jc w:val="both"/>
        <w:rPr>
          <w:rFonts w:cs="Arial"/>
        </w:rPr>
      </w:pPr>
      <w:r w:rsidRPr="00161861">
        <w:rPr>
          <w:rFonts w:cs="Arial"/>
        </w:rPr>
        <w:t>(c) prevent the patient from suffering significant pain or distress?</w:t>
      </w:r>
    </w:p>
    <w:p w14:paraId="65F07211" w14:textId="434C7F61" w:rsidR="00C34A69" w:rsidRPr="00161861" w:rsidRDefault="00C34A69" w:rsidP="004405B0">
      <w:pPr>
        <w:pStyle w:val="ListParagraph"/>
        <w:spacing w:before="240" w:after="240" w:line="264" w:lineRule="auto"/>
        <w:jc w:val="both"/>
        <w:rPr>
          <w:rFonts w:cs="Arial"/>
          <w:sz w:val="22"/>
        </w:rPr>
      </w:pPr>
      <w:r w:rsidRPr="00161861">
        <w:rPr>
          <w:rFonts w:cs="Arial"/>
          <w:sz w:val="22"/>
        </w:rPr>
        <w:t>For all applications, the registry will seek to maximise the notice period to allow as much time as p</w:t>
      </w:r>
      <w:r w:rsidR="006239E3" w:rsidRPr="00161861">
        <w:rPr>
          <w:rFonts w:cs="Arial"/>
          <w:sz w:val="22"/>
        </w:rPr>
        <w:t>racticable</w:t>
      </w:r>
      <w:r w:rsidRPr="00161861">
        <w:rPr>
          <w:rFonts w:cs="Arial"/>
          <w:sz w:val="22"/>
        </w:rPr>
        <w:t xml:space="preserve"> for the patient, </w:t>
      </w:r>
      <w:r w:rsidR="00654D95" w:rsidRPr="00161861">
        <w:rPr>
          <w:rFonts w:cs="Arial"/>
          <w:sz w:val="22"/>
        </w:rPr>
        <w:t xml:space="preserve">and any support person or </w:t>
      </w:r>
      <w:r w:rsidRPr="00161861">
        <w:rPr>
          <w:rFonts w:cs="Arial"/>
          <w:sz w:val="22"/>
        </w:rPr>
        <w:t>legal representative</w:t>
      </w:r>
      <w:r w:rsidR="00D01193" w:rsidRPr="00161861">
        <w:rPr>
          <w:rFonts w:cs="Arial"/>
          <w:sz w:val="22"/>
        </w:rPr>
        <w:t xml:space="preserve"> (if they have one)</w:t>
      </w:r>
      <w:r w:rsidR="00AB10E4" w:rsidRPr="00161861">
        <w:rPr>
          <w:rFonts w:cs="Arial"/>
          <w:sz w:val="22"/>
        </w:rPr>
        <w:t>,</w:t>
      </w:r>
      <w:r w:rsidRPr="00161861">
        <w:rPr>
          <w:rFonts w:cs="Arial"/>
          <w:sz w:val="22"/>
        </w:rPr>
        <w:t xml:space="preserve"> to prepare for the hearing.</w:t>
      </w:r>
    </w:p>
    <w:p w14:paraId="5454D795" w14:textId="68BF95A9" w:rsidR="00C34A69" w:rsidRPr="00161861" w:rsidRDefault="00C34A69" w:rsidP="004405B0">
      <w:pPr>
        <w:pStyle w:val="ListParagraph"/>
        <w:spacing w:before="240" w:after="240" w:line="264" w:lineRule="auto"/>
        <w:jc w:val="both"/>
        <w:rPr>
          <w:rFonts w:cs="Arial"/>
          <w:sz w:val="22"/>
        </w:rPr>
      </w:pPr>
      <w:r w:rsidRPr="00161861">
        <w:rPr>
          <w:rFonts w:cs="Arial"/>
          <w:sz w:val="22"/>
        </w:rPr>
        <w:t>The registry will also consider the Tribunal’s hearing schedule and availability of a Tribunal division, the availability of the treating team, and the availability of the patient, their support persons or legal representative</w:t>
      </w:r>
      <w:r w:rsidR="00AB10E4" w:rsidRPr="00161861">
        <w:rPr>
          <w:rFonts w:cs="Arial"/>
          <w:sz w:val="22"/>
        </w:rPr>
        <w:t>,</w:t>
      </w:r>
      <w:r w:rsidRPr="00161861">
        <w:rPr>
          <w:rFonts w:cs="Arial"/>
          <w:sz w:val="22"/>
        </w:rPr>
        <w:t xml:space="preserve"> to attend the hearing.</w:t>
      </w:r>
    </w:p>
    <w:p w14:paraId="33219FD3" w14:textId="444289CD" w:rsidR="00C106FE" w:rsidRPr="00B45684" w:rsidRDefault="00C106FE" w:rsidP="004405B0">
      <w:pPr>
        <w:pStyle w:val="Heading2"/>
        <w:rPr>
          <w:rFonts w:cs="Arial"/>
        </w:rPr>
      </w:pPr>
      <w:bookmarkStart w:id="9" w:name="_Toc9328579"/>
      <w:bookmarkStart w:id="10" w:name="_Toc9328763"/>
      <w:r w:rsidRPr="00B45684">
        <w:rPr>
          <w:rFonts w:cs="Arial"/>
        </w:rPr>
        <w:t>Urgent applications</w:t>
      </w:r>
      <w:bookmarkEnd w:id="9"/>
      <w:bookmarkEnd w:id="10"/>
    </w:p>
    <w:p w14:paraId="0830FF04" w14:textId="03323636" w:rsidR="00C106FE" w:rsidRPr="00161861" w:rsidRDefault="00C106FE" w:rsidP="004405B0">
      <w:pPr>
        <w:pStyle w:val="ListParagraph"/>
        <w:spacing w:before="240" w:after="240" w:line="264" w:lineRule="auto"/>
        <w:jc w:val="both"/>
        <w:rPr>
          <w:rFonts w:cs="Arial"/>
          <w:sz w:val="22"/>
        </w:rPr>
      </w:pPr>
      <w:r w:rsidRPr="00161861">
        <w:rPr>
          <w:rFonts w:cs="Arial"/>
          <w:sz w:val="22"/>
        </w:rPr>
        <w:t>It is the a</w:t>
      </w:r>
      <w:r w:rsidR="00C35652" w:rsidRPr="00161861">
        <w:rPr>
          <w:rFonts w:cs="Arial"/>
          <w:sz w:val="22"/>
        </w:rPr>
        <w:t>pplicant</w:t>
      </w:r>
      <w:r w:rsidRPr="00161861">
        <w:rPr>
          <w:rFonts w:cs="Arial"/>
          <w:sz w:val="22"/>
        </w:rPr>
        <w:t xml:space="preserve"> psychiatrist, and not the Tribunal, who must be satisfied of the existence of one or more of the</w:t>
      </w:r>
      <w:r w:rsidR="009E3E9B" w:rsidRPr="00161861">
        <w:rPr>
          <w:rFonts w:cs="Arial"/>
          <w:sz w:val="22"/>
        </w:rPr>
        <w:t xml:space="preserve"> relevant</w:t>
      </w:r>
      <w:r w:rsidRPr="00161861">
        <w:rPr>
          <w:rFonts w:cs="Arial"/>
          <w:sz w:val="22"/>
        </w:rPr>
        <w:t xml:space="preserve"> grounds </w:t>
      </w:r>
      <w:r w:rsidR="00D01193" w:rsidRPr="00161861">
        <w:rPr>
          <w:rFonts w:cs="Arial"/>
          <w:sz w:val="22"/>
        </w:rPr>
        <w:t xml:space="preserve">of urgency </w:t>
      </w:r>
      <w:r w:rsidRPr="00161861">
        <w:rPr>
          <w:rFonts w:cs="Arial"/>
          <w:sz w:val="22"/>
        </w:rPr>
        <w:t xml:space="preserve">before requesting an urgent hearing of an ECT application. This means neither the </w:t>
      </w:r>
      <w:r w:rsidR="009E42DB" w:rsidRPr="00161861">
        <w:rPr>
          <w:rFonts w:cs="Arial"/>
          <w:sz w:val="22"/>
        </w:rPr>
        <w:t>r</w:t>
      </w:r>
      <w:r w:rsidRPr="00161861">
        <w:rPr>
          <w:rFonts w:cs="Arial"/>
          <w:sz w:val="22"/>
        </w:rPr>
        <w:t xml:space="preserve">egistry nor the division hearing the application </w:t>
      </w:r>
      <w:r w:rsidR="00DC0C7F" w:rsidRPr="00161861">
        <w:rPr>
          <w:rFonts w:cs="Arial"/>
          <w:sz w:val="22"/>
        </w:rPr>
        <w:t>determine</w:t>
      </w:r>
      <w:r w:rsidR="005C10D3" w:rsidRPr="00161861">
        <w:rPr>
          <w:rFonts w:cs="Arial"/>
          <w:sz w:val="22"/>
        </w:rPr>
        <w:t>s</w:t>
      </w:r>
      <w:r w:rsidRPr="00161861">
        <w:rPr>
          <w:rFonts w:cs="Arial"/>
          <w:sz w:val="22"/>
        </w:rPr>
        <w:t xml:space="preserve"> that a matter is urgent. </w:t>
      </w:r>
    </w:p>
    <w:p w14:paraId="7D34509F" w14:textId="5875D7B9" w:rsidR="00A72401" w:rsidRPr="00B45684" w:rsidRDefault="004405B0" w:rsidP="004405B0">
      <w:pPr>
        <w:pStyle w:val="Heading3"/>
        <w:spacing w:before="240" w:after="240" w:line="264" w:lineRule="auto"/>
        <w:rPr>
          <w:rFonts w:cs="Arial"/>
        </w:rPr>
      </w:pPr>
      <w:bookmarkStart w:id="11" w:name="_Toc9328580"/>
      <w:bookmarkStart w:id="12" w:name="_Toc9328764"/>
      <w:r w:rsidRPr="00B45684">
        <w:rPr>
          <w:rFonts w:cs="Arial"/>
        </w:rPr>
        <w:t>The role of the Tribunal registry</w:t>
      </w:r>
      <w:bookmarkEnd w:id="11"/>
      <w:bookmarkEnd w:id="12"/>
    </w:p>
    <w:p w14:paraId="0815BDA6" w14:textId="5ADE9D2C" w:rsidR="006E05F0" w:rsidRPr="00161861" w:rsidRDefault="00BE778A" w:rsidP="004405B0">
      <w:pPr>
        <w:pStyle w:val="ListParagraph"/>
        <w:spacing w:before="240" w:after="240" w:line="264" w:lineRule="auto"/>
        <w:jc w:val="both"/>
        <w:rPr>
          <w:rFonts w:cs="Arial"/>
          <w:sz w:val="22"/>
        </w:rPr>
      </w:pPr>
      <w:r w:rsidRPr="00161861">
        <w:rPr>
          <w:rFonts w:cs="Arial"/>
          <w:sz w:val="22"/>
        </w:rPr>
        <w:t>T</w:t>
      </w:r>
      <w:r w:rsidR="00A72401" w:rsidRPr="00161861">
        <w:rPr>
          <w:rFonts w:cs="Arial"/>
          <w:sz w:val="22"/>
        </w:rPr>
        <w:t xml:space="preserve">he </w:t>
      </w:r>
      <w:r w:rsidR="009E42DB" w:rsidRPr="00161861">
        <w:rPr>
          <w:rFonts w:cs="Arial"/>
          <w:sz w:val="22"/>
        </w:rPr>
        <w:t>r</w:t>
      </w:r>
      <w:r w:rsidR="00A72401" w:rsidRPr="00161861">
        <w:rPr>
          <w:rFonts w:cs="Arial"/>
          <w:sz w:val="22"/>
        </w:rPr>
        <w:t>egistry has strict processing requirements to</w:t>
      </w:r>
      <w:r w:rsidR="00AA28D3" w:rsidRPr="00161861">
        <w:rPr>
          <w:rFonts w:cs="Arial"/>
          <w:sz w:val="22"/>
        </w:rPr>
        <w:t xml:space="preserve"> assist it to</w:t>
      </w:r>
      <w:r w:rsidR="00A72401" w:rsidRPr="00161861">
        <w:rPr>
          <w:rFonts w:cs="Arial"/>
          <w:sz w:val="22"/>
        </w:rPr>
        <w:t xml:space="preserve"> decide</w:t>
      </w:r>
      <w:r w:rsidR="006F2606" w:rsidRPr="00161861">
        <w:rPr>
          <w:rFonts w:cs="Arial"/>
          <w:sz w:val="22"/>
        </w:rPr>
        <w:t xml:space="preserve"> </w:t>
      </w:r>
      <w:r w:rsidR="001D36A0" w:rsidRPr="00161861">
        <w:rPr>
          <w:rFonts w:cs="Arial"/>
          <w:sz w:val="22"/>
        </w:rPr>
        <w:t>when</w:t>
      </w:r>
      <w:r w:rsidR="00AA28D3" w:rsidRPr="00161861">
        <w:rPr>
          <w:rFonts w:cs="Arial"/>
          <w:sz w:val="22"/>
        </w:rPr>
        <w:t xml:space="preserve"> to list</w:t>
      </w:r>
      <w:r w:rsidR="001D36A0" w:rsidRPr="00161861">
        <w:rPr>
          <w:rFonts w:cs="Arial"/>
          <w:sz w:val="22"/>
        </w:rPr>
        <w:t xml:space="preserve"> ECT application</w:t>
      </w:r>
      <w:r w:rsidR="009F6436" w:rsidRPr="00161861">
        <w:rPr>
          <w:rFonts w:cs="Arial"/>
          <w:sz w:val="22"/>
        </w:rPr>
        <w:t>s including urgent applications</w:t>
      </w:r>
      <w:r w:rsidR="001D36A0" w:rsidRPr="00161861">
        <w:rPr>
          <w:rFonts w:cs="Arial"/>
          <w:sz w:val="22"/>
        </w:rPr>
        <w:t xml:space="preserve">. </w:t>
      </w:r>
      <w:r w:rsidR="002651CF" w:rsidRPr="00161861">
        <w:rPr>
          <w:rFonts w:cs="Arial"/>
          <w:sz w:val="22"/>
        </w:rPr>
        <w:t>The</w:t>
      </w:r>
      <w:r w:rsidR="00AF6617" w:rsidRPr="00161861">
        <w:rPr>
          <w:rFonts w:cs="Arial"/>
          <w:sz w:val="22"/>
        </w:rPr>
        <w:t xml:space="preserve">se </w:t>
      </w:r>
      <w:r w:rsidR="002651CF" w:rsidRPr="00161861">
        <w:rPr>
          <w:rFonts w:cs="Arial"/>
          <w:sz w:val="22"/>
        </w:rPr>
        <w:t>processing requirements were revised following the PBU &amp; NJE decision</w:t>
      </w:r>
      <w:r w:rsidR="00AF6617" w:rsidRPr="00161861">
        <w:rPr>
          <w:rFonts w:cs="Arial"/>
          <w:sz w:val="22"/>
        </w:rPr>
        <w:t xml:space="preserve">. </w:t>
      </w:r>
      <w:r w:rsidR="004230D9" w:rsidRPr="00161861">
        <w:rPr>
          <w:rFonts w:cs="Arial"/>
          <w:sz w:val="22"/>
        </w:rPr>
        <w:t xml:space="preserve">The judgment </w:t>
      </w:r>
      <w:r w:rsidR="006E05F0" w:rsidRPr="00161861">
        <w:rPr>
          <w:rFonts w:cs="Arial"/>
          <w:sz w:val="22"/>
        </w:rPr>
        <w:t xml:space="preserve">emphasises patients’ rights and </w:t>
      </w:r>
      <w:r w:rsidR="004D2844" w:rsidRPr="00161861">
        <w:rPr>
          <w:rFonts w:cs="Arial"/>
          <w:sz w:val="22"/>
        </w:rPr>
        <w:t>the</w:t>
      </w:r>
      <w:r w:rsidR="00CE3E1A" w:rsidRPr="00161861">
        <w:rPr>
          <w:rFonts w:cs="Arial"/>
          <w:sz w:val="22"/>
        </w:rPr>
        <w:t xml:space="preserve"> objectives and principles in the Act </w:t>
      </w:r>
      <w:r w:rsidR="004230D9" w:rsidRPr="00161861">
        <w:rPr>
          <w:rFonts w:cs="Arial"/>
          <w:sz w:val="22"/>
        </w:rPr>
        <w:t xml:space="preserve">that </w:t>
      </w:r>
      <w:r w:rsidR="006E05F0" w:rsidRPr="00161861">
        <w:rPr>
          <w:rFonts w:cs="Arial"/>
          <w:sz w:val="22"/>
        </w:rPr>
        <w:t>promot</w:t>
      </w:r>
      <w:r w:rsidR="004230D9" w:rsidRPr="00161861">
        <w:rPr>
          <w:rFonts w:cs="Arial"/>
          <w:sz w:val="22"/>
        </w:rPr>
        <w:t>e participation in decision making</w:t>
      </w:r>
      <w:r w:rsidR="00CE3E1A" w:rsidRPr="00161861">
        <w:rPr>
          <w:rFonts w:cs="Arial"/>
          <w:sz w:val="22"/>
        </w:rPr>
        <w:t>.</w:t>
      </w:r>
      <w:r w:rsidR="005C10D3" w:rsidRPr="00161861">
        <w:rPr>
          <w:rStyle w:val="EndnoteReference"/>
          <w:rFonts w:cs="Arial"/>
          <w:sz w:val="22"/>
        </w:rPr>
        <w:endnoteReference w:id="3"/>
      </w:r>
    </w:p>
    <w:p w14:paraId="4D5D1EFF" w14:textId="21A5D088" w:rsidR="004D2844" w:rsidRPr="00161861" w:rsidRDefault="006E05F0" w:rsidP="004405B0">
      <w:pPr>
        <w:pStyle w:val="ListParagraph"/>
        <w:spacing w:before="240" w:after="240" w:line="264" w:lineRule="auto"/>
        <w:jc w:val="both"/>
        <w:rPr>
          <w:rFonts w:cs="Arial"/>
          <w:sz w:val="22"/>
        </w:rPr>
      </w:pPr>
      <w:r w:rsidRPr="00161861">
        <w:rPr>
          <w:rFonts w:cs="Arial"/>
          <w:sz w:val="22"/>
        </w:rPr>
        <w:t>In this context the Tribunal’s listing processes need to consider patient participation in hearings as well as</w:t>
      </w:r>
      <w:r w:rsidR="004D2844" w:rsidRPr="00161861">
        <w:rPr>
          <w:rFonts w:cs="Arial"/>
          <w:sz w:val="22"/>
        </w:rPr>
        <w:t xml:space="preserve"> </w:t>
      </w:r>
      <w:r w:rsidR="005C10D3" w:rsidRPr="00161861">
        <w:rPr>
          <w:rFonts w:cs="Arial"/>
          <w:sz w:val="22"/>
        </w:rPr>
        <w:t>the urgency of the application</w:t>
      </w:r>
      <w:r w:rsidR="004D2844" w:rsidRPr="00161861">
        <w:rPr>
          <w:rFonts w:cs="Arial"/>
          <w:sz w:val="22"/>
        </w:rPr>
        <w:t>.</w:t>
      </w:r>
      <w:r w:rsidRPr="00161861">
        <w:rPr>
          <w:rFonts w:cs="Arial"/>
          <w:sz w:val="22"/>
        </w:rPr>
        <w:t xml:space="preserve"> </w:t>
      </w:r>
      <w:proofErr w:type="gramStart"/>
      <w:r w:rsidRPr="00161861">
        <w:rPr>
          <w:rFonts w:cs="Arial"/>
          <w:sz w:val="22"/>
        </w:rPr>
        <w:t>Particular caution</w:t>
      </w:r>
      <w:proofErr w:type="gramEnd"/>
      <w:r w:rsidRPr="00161861">
        <w:rPr>
          <w:rFonts w:cs="Arial"/>
          <w:sz w:val="22"/>
        </w:rPr>
        <w:t xml:space="preserve"> is taken in relation to listing hearings on the same day or the day after an application is received.</w:t>
      </w:r>
    </w:p>
    <w:p w14:paraId="63AB140D" w14:textId="479256D1" w:rsidR="00A72401" w:rsidRPr="00B45684" w:rsidRDefault="00A72401" w:rsidP="004405B0">
      <w:pPr>
        <w:pStyle w:val="Heading3"/>
        <w:spacing w:before="240" w:after="240" w:line="264" w:lineRule="auto"/>
        <w:rPr>
          <w:rFonts w:cs="Arial"/>
        </w:rPr>
      </w:pPr>
      <w:bookmarkStart w:id="13" w:name="_Toc9328581"/>
      <w:bookmarkStart w:id="14" w:name="_Toc9328765"/>
      <w:r w:rsidRPr="00B45684">
        <w:rPr>
          <w:rFonts w:cs="Arial"/>
        </w:rPr>
        <w:t xml:space="preserve">The </w:t>
      </w:r>
      <w:r w:rsidR="006E05F0" w:rsidRPr="00B45684">
        <w:rPr>
          <w:rFonts w:cs="Arial"/>
        </w:rPr>
        <w:t xml:space="preserve">role of the </w:t>
      </w:r>
      <w:r w:rsidRPr="00B45684">
        <w:rPr>
          <w:rFonts w:cs="Arial"/>
        </w:rPr>
        <w:t>Tribunal division</w:t>
      </w:r>
      <w:bookmarkEnd w:id="13"/>
      <w:bookmarkEnd w:id="14"/>
    </w:p>
    <w:p w14:paraId="3B69CAB9" w14:textId="7A3054E1" w:rsidR="00BE778A" w:rsidRPr="00161861" w:rsidRDefault="00DE6C25" w:rsidP="004405B0">
      <w:pPr>
        <w:pStyle w:val="ListParagraph"/>
        <w:spacing w:before="240" w:after="240" w:line="264" w:lineRule="auto"/>
        <w:jc w:val="both"/>
        <w:rPr>
          <w:rFonts w:cs="Arial"/>
          <w:sz w:val="22"/>
        </w:rPr>
      </w:pPr>
      <w:r w:rsidRPr="00161861">
        <w:rPr>
          <w:rFonts w:cs="Arial"/>
          <w:sz w:val="22"/>
        </w:rPr>
        <w:t>T</w:t>
      </w:r>
      <w:r w:rsidR="00C106FE" w:rsidRPr="00161861">
        <w:rPr>
          <w:rFonts w:cs="Arial"/>
          <w:sz w:val="22"/>
        </w:rPr>
        <w:t>he fact an application has been lodged as urgent does not limit the Tribunal’s inherent power to adjourn an ECT hearing, provided the matter is heard within five business days. For this reason</w:t>
      </w:r>
      <w:r w:rsidR="00DC0C7F" w:rsidRPr="00161861">
        <w:rPr>
          <w:rFonts w:cs="Arial"/>
          <w:sz w:val="22"/>
        </w:rPr>
        <w:t>,</w:t>
      </w:r>
      <w:r w:rsidR="00C106FE" w:rsidRPr="00161861">
        <w:rPr>
          <w:rFonts w:cs="Arial"/>
          <w:sz w:val="22"/>
        </w:rPr>
        <w:t xml:space="preserve"> when hearing an urgent application, </w:t>
      </w:r>
      <w:r w:rsidR="00DC0C7F" w:rsidRPr="00161861">
        <w:rPr>
          <w:rFonts w:cs="Arial"/>
          <w:sz w:val="22"/>
        </w:rPr>
        <w:t xml:space="preserve">if </w:t>
      </w:r>
      <w:r w:rsidR="00C106FE" w:rsidRPr="00161861">
        <w:rPr>
          <w:rFonts w:cs="Arial"/>
          <w:sz w:val="22"/>
        </w:rPr>
        <w:t xml:space="preserve">the Tribunal is concerned that the patient has not had enough time to prepare, it is open to the Tribunal to grant a short adjournment. </w:t>
      </w:r>
    </w:p>
    <w:p w14:paraId="0349AC30" w14:textId="6865F902" w:rsidR="00C106FE" w:rsidRPr="00161861" w:rsidRDefault="00C106FE" w:rsidP="004405B0">
      <w:pPr>
        <w:pStyle w:val="ListParagraph"/>
        <w:spacing w:before="240" w:after="240" w:line="264" w:lineRule="auto"/>
        <w:jc w:val="both"/>
        <w:rPr>
          <w:rFonts w:cs="Arial"/>
          <w:sz w:val="22"/>
        </w:rPr>
      </w:pPr>
      <w:r w:rsidRPr="00161861">
        <w:rPr>
          <w:rFonts w:cs="Arial"/>
          <w:sz w:val="22"/>
        </w:rPr>
        <w:t>In deciding whether to adjourn</w:t>
      </w:r>
      <w:r w:rsidR="00A35ABF" w:rsidRPr="00161861">
        <w:rPr>
          <w:rFonts w:cs="Arial"/>
          <w:sz w:val="22"/>
        </w:rPr>
        <w:t xml:space="preserve"> the hearing</w:t>
      </w:r>
      <w:r w:rsidRPr="00161861">
        <w:rPr>
          <w:rFonts w:cs="Arial"/>
          <w:sz w:val="22"/>
        </w:rPr>
        <w:t xml:space="preserve">, the Tribunal will consider the urgency of the situation as explained by the treating team, and what further preparation the patient intends to undertake during the period of </w:t>
      </w:r>
      <w:r w:rsidR="00AB10E4" w:rsidRPr="00161861">
        <w:rPr>
          <w:rFonts w:cs="Arial"/>
          <w:sz w:val="22"/>
        </w:rPr>
        <w:t>the</w:t>
      </w:r>
      <w:r w:rsidRPr="00161861">
        <w:rPr>
          <w:rFonts w:cs="Arial"/>
          <w:sz w:val="22"/>
        </w:rPr>
        <w:t xml:space="preserve"> adjournment.</w:t>
      </w:r>
    </w:p>
    <w:p w14:paraId="2D05EE94" w14:textId="77777777" w:rsidR="00161861" w:rsidRDefault="00161861">
      <w:pPr>
        <w:rPr>
          <w:rFonts w:eastAsiaTheme="majorEastAsia" w:cs="Arial"/>
          <w:bCs/>
          <w:color w:val="31849B" w:themeColor="accent5" w:themeShade="BF"/>
          <w:sz w:val="28"/>
          <w:szCs w:val="26"/>
        </w:rPr>
      </w:pPr>
      <w:bookmarkStart w:id="15" w:name="_Toc9328582"/>
      <w:bookmarkStart w:id="16" w:name="_Toc9328766"/>
      <w:r>
        <w:rPr>
          <w:rFonts w:cs="Arial"/>
        </w:rPr>
        <w:br w:type="page"/>
      </w:r>
    </w:p>
    <w:p w14:paraId="55DF4E10" w14:textId="12B7B776" w:rsidR="00C34A69" w:rsidRPr="00B45684" w:rsidRDefault="00C34A69" w:rsidP="004405B0">
      <w:pPr>
        <w:pStyle w:val="Heading2"/>
        <w:rPr>
          <w:rFonts w:cs="Arial"/>
        </w:rPr>
      </w:pPr>
      <w:r w:rsidRPr="00B45684">
        <w:rPr>
          <w:rFonts w:cs="Arial"/>
        </w:rPr>
        <w:t>Listing an ECT application with a Treatment Order hearing</w:t>
      </w:r>
      <w:bookmarkEnd w:id="15"/>
      <w:bookmarkEnd w:id="16"/>
    </w:p>
    <w:p w14:paraId="4FC10BE8" w14:textId="023FFDDC" w:rsidR="009E3E9B" w:rsidRPr="00161861" w:rsidRDefault="009E3E9B" w:rsidP="004405B0">
      <w:pPr>
        <w:pStyle w:val="ListParagraph"/>
        <w:spacing w:before="240" w:after="240" w:line="264" w:lineRule="auto"/>
        <w:jc w:val="both"/>
        <w:rPr>
          <w:rFonts w:cs="Arial"/>
          <w:sz w:val="22"/>
        </w:rPr>
      </w:pPr>
      <w:r w:rsidRPr="00161861">
        <w:rPr>
          <w:rFonts w:cs="Arial"/>
          <w:sz w:val="22"/>
        </w:rPr>
        <w:t xml:space="preserve">When an ECT application concerns a person who </w:t>
      </w:r>
      <w:r w:rsidR="00DC0C7F" w:rsidRPr="00161861">
        <w:rPr>
          <w:rFonts w:cs="Arial"/>
          <w:sz w:val="22"/>
        </w:rPr>
        <w:t>also requires a hearing about their status as a compulsory patient,</w:t>
      </w:r>
      <w:r w:rsidRPr="00161861">
        <w:rPr>
          <w:rFonts w:cs="Arial"/>
          <w:sz w:val="22"/>
        </w:rPr>
        <w:t xml:space="preserve"> </w:t>
      </w:r>
      <w:r w:rsidR="00DC0C7F" w:rsidRPr="00161861">
        <w:rPr>
          <w:rFonts w:cs="Arial"/>
          <w:sz w:val="22"/>
        </w:rPr>
        <w:t xml:space="preserve">the Tribunal </w:t>
      </w:r>
      <w:r w:rsidRPr="00161861">
        <w:rPr>
          <w:rFonts w:cs="Arial"/>
          <w:sz w:val="22"/>
        </w:rPr>
        <w:t>will consider whether to</w:t>
      </w:r>
      <w:r w:rsidR="0040354A" w:rsidRPr="00161861">
        <w:rPr>
          <w:rFonts w:cs="Arial"/>
          <w:sz w:val="22"/>
        </w:rPr>
        <w:t xml:space="preserve"> list</w:t>
      </w:r>
      <w:r w:rsidRPr="00161861">
        <w:rPr>
          <w:rFonts w:cs="Arial"/>
          <w:sz w:val="22"/>
        </w:rPr>
        <w:t xml:space="preserve"> </w:t>
      </w:r>
      <w:r w:rsidR="0040354A" w:rsidRPr="00161861">
        <w:rPr>
          <w:rFonts w:cs="Arial"/>
          <w:sz w:val="22"/>
        </w:rPr>
        <w:t>the</w:t>
      </w:r>
      <w:r w:rsidR="00DC0C7F" w:rsidRPr="00161861">
        <w:rPr>
          <w:rFonts w:cs="Arial"/>
          <w:sz w:val="22"/>
        </w:rPr>
        <w:t xml:space="preserve"> hearings together.</w:t>
      </w:r>
    </w:p>
    <w:p w14:paraId="143FFE32" w14:textId="2B98207D" w:rsidR="009E3E9B" w:rsidRPr="00161861" w:rsidRDefault="00DC0C7F" w:rsidP="004405B0">
      <w:pPr>
        <w:pStyle w:val="ListParagraph"/>
        <w:spacing w:before="240" w:after="240" w:line="264" w:lineRule="auto"/>
        <w:jc w:val="both"/>
        <w:rPr>
          <w:rFonts w:cs="Arial"/>
          <w:sz w:val="22"/>
        </w:rPr>
      </w:pPr>
      <w:r w:rsidRPr="00161861">
        <w:rPr>
          <w:rFonts w:cs="Arial"/>
          <w:sz w:val="22"/>
        </w:rPr>
        <w:t>Generally</w:t>
      </w:r>
      <w:r w:rsidR="009E3E9B" w:rsidRPr="00161861">
        <w:rPr>
          <w:rFonts w:cs="Arial"/>
          <w:sz w:val="22"/>
        </w:rPr>
        <w:t>, if an ECT application is made in the first two weeks of a T</w:t>
      </w:r>
      <w:r w:rsidRPr="00161861">
        <w:rPr>
          <w:rFonts w:cs="Arial"/>
          <w:sz w:val="22"/>
        </w:rPr>
        <w:t>emporary Treatment Order</w:t>
      </w:r>
      <w:r w:rsidR="009E3E9B" w:rsidRPr="00161861">
        <w:rPr>
          <w:rFonts w:cs="Arial"/>
          <w:sz w:val="22"/>
        </w:rPr>
        <w:t xml:space="preserve">, the </w:t>
      </w:r>
      <w:r w:rsidRPr="00161861">
        <w:rPr>
          <w:rFonts w:cs="Arial"/>
          <w:sz w:val="22"/>
        </w:rPr>
        <w:t>Tribunal</w:t>
      </w:r>
      <w:r w:rsidR="009E3E9B" w:rsidRPr="00161861">
        <w:rPr>
          <w:rFonts w:cs="Arial"/>
          <w:sz w:val="22"/>
        </w:rPr>
        <w:t xml:space="preserve"> will not list the two hearings together.</w:t>
      </w:r>
      <w:r w:rsidR="00FB1AA7" w:rsidRPr="00161861">
        <w:rPr>
          <w:rFonts w:cs="Arial"/>
          <w:sz w:val="22"/>
        </w:rPr>
        <w:t xml:space="preserve"> </w:t>
      </w:r>
      <w:r w:rsidR="009E3E9B" w:rsidRPr="00161861">
        <w:rPr>
          <w:rFonts w:cs="Arial"/>
          <w:sz w:val="22"/>
        </w:rPr>
        <w:t>This is because of considerations of procedural fairness. The Tribunal’s policies seek to maximise the opportunity for patients to participate in their hearing. In circumstances where a patient is acutely unwell, which can often be the case in the immediate period after a T</w:t>
      </w:r>
      <w:r w:rsidR="00471170" w:rsidRPr="00161861">
        <w:rPr>
          <w:rFonts w:cs="Arial"/>
          <w:sz w:val="22"/>
        </w:rPr>
        <w:t xml:space="preserve">emporary </w:t>
      </w:r>
      <w:r w:rsidR="009E3E9B" w:rsidRPr="00161861">
        <w:rPr>
          <w:rFonts w:cs="Arial"/>
          <w:sz w:val="22"/>
        </w:rPr>
        <w:t>T</w:t>
      </w:r>
      <w:r w:rsidR="00471170" w:rsidRPr="00161861">
        <w:rPr>
          <w:rFonts w:cs="Arial"/>
          <w:sz w:val="22"/>
        </w:rPr>
        <w:t xml:space="preserve">reatment </w:t>
      </w:r>
      <w:r w:rsidR="009E3E9B" w:rsidRPr="00161861">
        <w:rPr>
          <w:rFonts w:cs="Arial"/>
          <w:sz w:val="22"/>
        </w:rPr>
        <w:t>O</w:t>
      </w:r>
      <w:r w:rsidR="00471170" w:rsidRPr="00161861">
        <w:rPr>
          <w:rFonts w:cs="Arial"/>
          <w:sz w:val="22"/>
        </w:rPr>
        <w:t>rder</w:t>
      </w:r>
      <w:r w:rsidR="009E3E9B" w:rsidRPr="00161861">
        <w:rPr>
          <w:rFonts w:cs="Arial"/>
          <w:sz w:val="22"/>
        </w:rPr>
        <w:t xml:space="preserve"> has been made, they may not be able to participate in a hearing. Allowing further time may mean that a patient is able to participate more fully.</w:t>
      </w:r>
    </w:p>
    <w:p w14:paraId="576EF1F8" w14:textId="234167DC" w:rsidR="00C34A69" w:rsidRPr="00161861" w:rsidRDefault="009E3E9B" w:rsidP="004405B0">
      <w:pPr>
        <w:pStyle w:val="ListParagraph"/>
        <w:spacing w:before="240" w:after="240" w:line="264" w:lineRule="auto"/>
        <w:jc w:val="both"/>
        <w:rPr>
          <w:rFonts w:cs="Arial"/>
          <w:sz w:val="22"/>
        </w:rPr>
      </w:pPr>
      <w:r w:rsidRPr="00161861">
        <w:rPr>
          <w:rFonts w:cs="Arial"/>
          <w:sz w:val="22"/>
        </w:rPr>
        <w:t>In other instance</w:t>
      </w:r>
      <w:r w:rsidR="00B12F80" w:rsidRPr="00161861">
        <w:rPr>
          <w:rFonts w:cs="Arial"/>
          <w:sz w:val="22"/>
        </w:rPr>
        <w:t>s</w:t>
      </w:r>
      <w:r w:rsidRPr="00161861">
        <w:rPr>
          <w:rFonts w:cs="Arial"/>
          <w:sz w:val="22"/>
        </w:rPr>
        <w:t xml:space="preserve"> w</w:t>
      </w:r>
      <w:r w:rsidR="00C34A69" w:rsidRPr="00161861">
        <w:rPr>
          <w:rFonts w:cs="Arial"/>
          <w:sz w:val="22"/>
        </w:rPr>
        <w:t xml:space="preserve">hen deciding whether it is appropriate to combine the hearings, the Tribunal will consider: </w:t>
      </w:r>
    </w:p>
    <w:p w14:paraId="637B1A86" w14:textId="77777777" w:rsidR="00A70FC3" w:rsidRPr="00161861" w:rsidRDefault="00B12F80" w:rsidP="004405B0">
      <w:pPr>
        <w:pStyle w:val="ListParagraph"/>
        <w:numPr>
          <w:ilvl w:val="0"/>
          <w:numId w:val="41"/>
        </w:numPr>
        <w:spacing w:before="240" w:after="240" w:line="264" w:lineRule="auto"/>
        <w:jc w:val="both"/>
        <w:rPr>
          <w:rFonts w:cs="Arial"/>
          <w:sz w:val="22"/>
        </w:rPr>
      </w:pPr>
      <w:r w:rsidRPr="00161861">
        <w:rPr>
          <w:rFonts w:cs="Arial"/>
          <w:sz w:val="22"/>
        </w:rPr>
        <w:t xml:space="preserve">the need to inform participants, </w:t>
      </w:r>
      <w:proofErr w:type="gramStart"/>
      <w:r w:rsidRPr="00161861">
        <w:rPr>
          <w:rFonts w:cs="Arial"/>
          <w:sz w:val="22"/>
        </w:rPr>
        <w:t>in particular patients</w:t>
      </w:r>
      <w:proofErr w:type="gramEnd"/>
      <w:r w:rsidRPr="00161861">
        <w:rPr>
          <w:rFonts w:cs="Arial"/>
          <w:sz w:val="22"/>
        </w:rPr>
        <w:t xml:space="preserve"> and their compulsory contacts, about each hearing</w:t>
      </w:r>
    </w:p>
    <w:p w14:paraId="7161B756" w14:textId="77777777" w:rsidR="00A70FC3" w:rsidRPr="00161861" w:rsidRDefault="00B12F80" w:rsidP="004405B0">
      <w:pPr>
        <w:pStyle w:val="ListParagraph"/>
        <w:numPr>
          <w:ilvl w:val="0"/>
          <w:numId w:val="41"/>
        </w:numPr>
        <w:spacing w:before="240" w:after="240" w:line="264" w:lineRule="auto"/>
        <w:jc w:val="both"/>
        <w:rPr>
          <w:rFonts w:cs="Arial"/>
          <w:sz w:val="22"/>
        </w:rPr>
      </w:pPr>
      <w:r w:rsidRPr="00161861">
        <w:rPr>
          <w:rFonts w:cs="Arial"/>
          <w:sz w:val="22"/>
        </w:rPr>
        <w:t>the impact on all participants if separate hearings are conducted on two different dates in quick succession</w:t>
      </w:r>
    </w:p>
    <w:p w14:paraId="3057601A" w14:textId="77777777" w:rsidR="00A70FC3" w:rsidRPr="00161861" w:rsidRDefault="00B12F80" w:rsidP="004405B0">
      <w:pPr>
        <w:pStyle w:val="ListParagraph"/>
        <w:numPr>
          <w:ilvl w:val="0"/>
          <w:numId w:val="41"/>
        </w:numPr>
        <w:spacing w:before="240" w:after="240" w:line="264" w:lineRule="auto"/>
        <w:jc w:val="both"/>
        <w:rPr>
          <w:rFonts w:cs="Arial"/>
          <w:sz w:val="22"/>
        </w:rPr>
      </w:pPr>
      <w:r w:rsidRPr="00161861">
        <w:rPr>
          <w:rFonts w:cs="Arial"/>
          <w:sz w:val="22"/>
        </w:rPr>
        <w:t>whether all participants are ready to proceed with both hearings, having regard to the fact that separate clinical reports are required for each hearing</w:t>
      </w:r>
    </w:p>
    <w:p w14:paraId="541E3E18" w14:textId="77777777" w:rsidR="00A70FC3" w:rsidRPr="00161861" w:rsidRDefault="00B12F80" w:rsidP="004405B0">
      <w:pPr>
        <w:pStyle w:val="ListParagraph"/>
        <w:numPr>
          <w:ilvl w:val="0"/>
          <w:numId w:val="41"/>
        </w:numPr>
        <w:spacing w:before="240" w:after="240" w:line="264" w:lineRule="auto"/>
        <w:jc w:val="both"/>
        <w:rPr>
          <w:rFonts w:cs="Arial"/>
          <w:sz w:val="22"/>
        </w:rPr>
      </w:pPr>
      <w:r w:rsidRPr="00161861">
        <w:rPr>
          <w:rFonts w:cs="Arial"/>
          <w:sz w:val="22"/>
        </w:rPr>
        <w:t>whether there is enough time to conduct both hearings</w:t>
      </w:r>
    </w:p>
    <w:p w14:paraId="70F31B5B" w14:textId="3ACFE202" w:rsidR="00B12F80" w:rsidRPr="00161861" w:rsidRDefault="00B12F80" w:rsidP="004405B0">
      <w:pPr>
        <w:pStyle w:val="ListParagraph"/>
        <w:numPr>
          <w:ilvl w:val="0"/>
          <w:numId w:val="41"/>
        </w:numPr>
        <w:spacing w:before="240" w:after="240" w:line="264" w:lineRule="auto"/>
        <w:jc w:val="both"/>
        <w:rPr>
          <w:rFonts w:cs="Arial"/>
          <w:sz w:val="22"/>
        </w:rPr>
      </w:pPr>
      <w:r w:rsidRPr="00161861">
        <w:rPr>
          <w:rFonts w:cs="Arial"/>
          <w:sz w:val="22"/>
        </w:rPr>
        <w:t>whether it is appropriate to dispense with giving written notice for the</w:t>
      </w:r>
      <w:r w:rsidR="001A1FE9" w:rsidRPr="00161861">
        <w:rPr>
          <w:rFonts w:cs="Arial"/>
          <w:sz w:val="22"/>
        </w:rPr>
        <w:t xml:space="preserve"> hearing regarding a Treatment Order</w:t>
      </w:r>
      <w:r w:rsidR="00124B6F" w:rsidRPr="00161861">
        <w:rPr>
          <w:rFonts w:cs="Arial"/>
          <w:sz w:val="22"/>
        </w:rPr>
        <w:t>.</w:t>
      </w:r>
    </w:p>
    <w:p w14:paraId="6E61E129" w14:textId="0C965F4D" w:rsidR="00E617B0" w:rsidRPr="00B45684" w:rsidRDefault="00E617B0" w:rsidP="004405B0">
      <w:pPr>
        <w:pStyle w:val="Heading2"/>
        <w:rPr>
          <w:rFonts w:cs="Arial"/>
        </w:rPr>
      </w:pPr>
      <w:bookmarkStart w:id="17" w:name="_Toc9328583"/>
      <w:bookmarkStart w:id="18" w:name="_Toc9328767"/>
      <w:r w:rsidRPr="00B45684">
        <w:rPr>
          <w:rFonts w:cs="Arial"/>
        </w:rPr>
        <w:t>ECT and preparation for ECT should not interfere with pati</w:t>
      </w:r>
      <w:r w:rsidR="00457A1B" w:rsidRPr="00B45684">
        <w:rPr>
          <w:rFonts w:cs="Arial"/>
        </w:rPr>
        <w:t xml:space="preserve">ent </w:t>
      </w:r>
      <w:r w:rsidRPr="00B45684">
        <w:rPr>
          <w:rFonts w:cs="Arial"/>
        </w:rPr>
        <w:t xml:space="preserve">participation </w:t>
      </w:r>
      <w:r w:rsidR="001215AB" w:rsidRPr="00B45684">
        <w:rPr>
          <w:rFonts w:cs="Arial"/>
        </w:rPr>
        <w:t>in hearings</w:t>
      </w:r>
      <w:bookmarkEnd w:id="17"/>
      <w:bookmarkEnd w:id="18"/>
    </w:p>
    <w:p w14:paraId="1CC0D8A3" w14:textId="2B0EB8F0" w:rsidR="00037017" w:rsidRPr="00161861" w:rsidRDefault="00037017" w:rsidP="004405B0">
      <w:pPr>
        <w:pStyle w:val="ListParagraph"/>
        <w:spacing w:before="240" w:after="240" w:line="264" w:lineRule="auto"/>
        <w:jc w:val="both"/>
        <w:rPr>
          <w:rFonts w:cs="Arial"/>
          <w:sz w:val="22"/>
        </w:rPr>
      </w:pPr>
      <w:r w:rsidRPr="00161861">
        <w:rPr>
          <w:rFonts w:cs="Arial"/>
          <w:sz w:val="22"/>
        </w:rPr>
        <w:t>The</w:t>
      </w:r>
      <w:r w:rsidR="001A28F7" w:rsidRPr="00161861">
        <w:rPr>
          <w:rFonts w:cs="Arial"/>
          <w:sz w:val="22"/>
        </w:rPr>
        <w:t xml:space="preserve"> Act require</w:t>
      </w:r>
      <w:r w:rsidRPr="00161861">
        <w:rPr>
          <w:rFonts w:cs="Arial"/>
          <w:sz w:val="22"/>
        </w:rPr>
        <w:t>s that, when assessing a person’s capacity to give informed consent, reasonable steps be taken to conduct the assessment at a time and in an environment in which the person’s capacity to give informed consent can be assessed most accurately</w:t>
      </w:r>
      <w:r w:rsidR="00FB1AA7" w:rsidRPr="00161861">
        <w:rPr>
          <w:rFonts w:cs="Arial"/>
          <w:sz w:val="22"/>
        </w:rPr>
        <w:t>.</w:t>
      </w:r>
      <w:r w:rsidR="00D01193" w:rsidRPr="00161861">
        <w:rPr>
          <w:rStyle w:val="EndnoteReference"/>
          <w:rFonts w:cs="Arial"/>
          <w:sz w:val="22"/>
        </w:rPr>
        <w:endnoteReference w:id="4"/>
      </w:r>
      <w:r w:rsidRPr="00161861">
        <w:rPr>
          <w:rFonts w:cs="Arial"/>
          <w:sz w:val="22"/>
        </w:rPr>
        <w:t xml:space="preserve"> In addition, the rules of procedural fairness</w:t>
      </w:r>
      <w:r w:rsidR="003A6936" w:rsidRPr="00161861">
        <w:rPr>
          <w:rFonts w:cs="Arial"/>
          <w:sz w:val="22"/>
        </w:rPr>
        <w:t xml:space="preserve"> </w:t>
      </w:r>
      <w:r w:rsidR="002A12EE" w:rsidRPr="00161861">
        <w:rPr>
          <w:rFonts w:cs="Arial"/>
          <w:sz w:val="22"/>
        </w:rPr>
        <w:t>require</w:t>
      </w:r>
      <w:r w:rsidR="003A6936" w:rsidRPr="00161861">
        <w:rPr>
          <w:rFonts w:cs="Arial"/>
          <w:sz w:val="22"/>
        </w:rPr>
        <w:t xml:space="preserve"> </w:t>
      </w:r>
      <w:r w:rsidR="002A12EE" w:rsidRPr="00161861">
        <w:rPr>
          <w:rFonts w:cs="Arial"/>
          <w:sz w:val="22"/>
        </w:rPr>
        <w:t>the Tribunal to ensure</w:t>
      </w:r>
      <w:r w:rsidR="003A6936" w:rsidRPr="00161861">
        <w:rPr>
          <w:rFonts w:cs="Arial"/>
          <w:sz w:val="22"/>
        </w:rPr>
        <w:t xml:space="preserve"> patients </w:t>
      </w:r>
      <w:r w:rsidR="002A12EE" w:rsidRPr="00161861">
        <w:rPr>
          <w:rFonts w:cs="Arial"/>
          <w:sz w:val="22"/>
        </w:rPr>
        <w:t xml:space="preserve">have </w:t>
      </w:r>
      <w:r w:rsidR="003A6936" w:rsidRPr="00161861">
        <w:rPr>
          <w:rFonts w:cs="Arial"/>
          <w:sz w:val="22"/>
        </w:rPr>
        <w:t>the opportunity to prepare for the hearing and respond to what is said at the hearing</w:t>
      </w:r>
      <w:r w:rsidR="002A12EE" w:rsidRPr="00161861">
        <w:rPr>
          <w:rFonts w:cs="Arial"/>
          <w:sz w:val="22"/>
        </w:rPr>
        <w:t xml:space="preserve"> to the extent that is possible in the circumstances.</w:t>
      </w:r>
      <w:r w:rsidRPr="00161861">
        <w:rPr>
          <w:rFonts w:cs="Arial"/>
          <w:sz w:val="22"/>
        </w:rPr>
        <w:t xml:space="preserve"> </w:t>
      </w:r>
      <w:r w:rsidR="002A12EE" w:rsidRPr="00161861">
        <w:rPr>
          <w:rFonts w:cs="Arial"/>
          <w:sz w:val="22"/>
        </w:rPr>
        <w:t xml:space="preserve">Finally, the </w:t>
      </w:r>
      <w:r w:rsidRPr="00161861">
        <w:rPr>
          <w:rFonts w:cs="Arial"/>
          <w:sz w:val="22"/>
        </w:rPr>
        <w:t xml:space="preserve">PBU </w:t>
      </w:r>
      <w:r w:rsidR="009F2CBB" w:rsidRPr="00161861">
        <w:rPr>
          <w:rFonts w:cs="Arial"/>
          <w:sz w:val="22"/>
        </w:rPr>
        <w:t>&amp; NJE decision</w:t>
      </w:r>
      <w:r w:rsidRPr="00161861">
        <w:rPr>
          <w:rFonts w:cs="Arial"/>
          <w:sz w:val="22"/>
        </w:rPr>
        <w:t xml:space="preserve"> emphasise</w:t>
      </w:r>
      <w:r w:rsidR="002A12EE" w:rsidRPr="00161861">
        <w:rPr>
          <w:rFonts w:cs="Arial"/>
          <w:sz w:val="22"/>
        </w:rPr>
        <w:t>s</w:t>
      </w:r>
      <w:r w:rsidRPr="00161861">
        <w:rPr>
          <w:rFonts w:cs="Arial"/>
          <w:sz w:val="22"/>
        </w:rPr>
        <w:t xml:space="preserve"> the importance of patien</w:t>
      </w:r>
      <w:r w:rsidR="009F2CBB" w:rsidRPr="00161861">
        <w:rPr>
          <w:rFonts w:cs="Arial"/>
          <w:sz w:val="22"/>
        </w:rPr>
        <w:t xml:space="preserve">ts participating in decisions involving their own treatment. </w:t>
      </w:r>
    </w:p>
    <w:p w14:paraId="4527C74D" w14:textId="08F03ACD" w:rsidR="003D15EE" w:rsidRPr="00161861" w:rsidRDefault="00037017" w:rsidP="004405B0">
      <w:pPr>
        <w:pStyle w:val="ListParagraph"/>
        <w:spacing w:before="240" w:after="240" w:line="264" w:lineRule="auto"/>
        <w:jc w:val="both"/>
        <w:rPr>
          <w:rFonts w:cs="Arial"/>
          <w:sz w:val="22"/>
        </w:rPr>
      </w:pPr>
      <w:r w:rsidRPr="00161861">
        <w:rPr>
          <w:rFonts w:cs="Arial"/>
          <w:sz w:val="22"/>
        </w:rPr>
        <w:t>For th</w:t>
      </w:r>
      <w:r w:rsidR="003A6936" w:rsidRPr="00161861">
        <w:rPr>
          <w:rFonts w:cs="Arial"/>
          <w:sz w:val="22"/>
        </w:rPr>
        <w:t>ese</w:t>
      </w:r>
      <w:r w:rsidRPr="00161861">
        <w:rPr>
          <w:rFonts w:cs="Arial"/>
          <w:sz w:val="22"/>
        </w:rPr>
        <w:t xml:space="preserve"> reason</w:t>
      </w:r>
      <w:r w:rsidR="003A6936" w:rsidRPr="00161861">
        <w:rPr>
          <w:rFonts w:cs="Arial"/>
          <w:sz w:val="22"/>
        </w:rPr>
        <w:t>s</w:t>
      </w:r>
      <w:r w:rsidR="009F2CBB" w:rsidRPr="00161861">
        <w:rPr>
          <w:rFonts w:cs="Arial"/>
          <w:sz w:val="22"/>
        </w:rPr>
        <w:t>,</w:t>
      </w:r>
      <w:r w:rsidRPr="00161861">
        <w:rPr>
          <w:rFonts w:cs="Arial"/>
          <w:sz w:val="22"/>
        </w:rPr>
        <w:t xml:space="preserve"> it </w:t>
      </w:r>
      <w:r w:rsidR="00E617B0" w:rsidRPr="00161861">
        <w:rPr>
          <w:rFonts w:cs="Arial"/>
          <w:sz w:val="22"/>
        </w:rPr>
        <w:t>is important that</w:t>
      </w:r>
      <w:r w:rsidR="00D822D8" w:rsidRPr="00161861">
        <w:rPr>
          <w:rFonts w:cs="Arial"/>
          <w:sz w:val="22"/>
        </w:rPr>
        <w:t xml:space="preserve"> the treating team ensure that the timing of ECT and any</w:t>
      </w:r>
      <w:r w:rsidR="00407B36" w:rsidRPr="00161861">
        <w:rPr>
          <w:rFonts w:cs="Arial"/>
          <w:sz w:val="22"/>
        </w:rPr>
        <w:t xml:space="preserve"> necessary</w:t>
      </w:r>
      <w:r w:rsidR="00D822D8" w:rsidRPr="00161861">
        <w:rPr>
          <w:rFonts w:cs="Arial"/>
          <w:sz w:val="22"/>
        </w:rPr>
        <w:t xml:space="preserve"> medical steps </w:t>
      </w:r>
      <w:r w:rsidR="00407B36" w:rsidRPr="00161861">
        <w:rPr>
          <w:rFonts w:cs="Arial"/>
          <w:sz w:val="22"/>
        </w:rPr>
        <w:t>leading up to</w:t>
      </w:r>
      <w:r w:rsidR="00D822D8" w:rsidRPr="00161861">
        <w:rPr>
          <w:rFonts w:cs="Arial"/>
          <w:sz w:val="22"/>
        </w:rPr>
        <w:t xml:space="preserve"> ECT</w:t>
      </w:r>
      <w:r w:rsidR="003D15EE" w:rsidRPr="00161861">
        <w:rPr>
          <w:rFonts w:cs="Arial"/>
          <w:sz w:val="22"/>
        </w:rPr>
        <w:t xml:space="preserve"> (such as fasting)</w:t>
      </w:r>
      <w:r w:rsidR="00D822D8" w:rsidRPr="00161861">
        <w:rPr>
          <w:rFonts w:cs="Arial"/>
          <w:sz w:val="22"/>
        </w:rPr>
        <w:t xml:space="preserve"> do not</w:t>
      </w:r>
      <w:r w:rsidR="00927BC7" w:rsidRPr="00161861">
        <w:rPr>
          <w:rFonts w:cs="Arial"/>
          <w:sz w:val="22"/>
        </w:rPr>
        <w:t xml:space="preserve"> adversely affect the patient’s capacity to consent to ECT or</w:t>
      </w:r>
      <w:r w:rsidR="00D822D8" w:rsidRPr="00161861">
        <w:rPr>
          <w:rFonts w:cs="Arial"/>
          <w:sz w:val="22"/>
        </w:rPr>
        <w:t xml:space="preserve"> interfere with the</w:t>
      </w:r>
      <w:r w:rsidR="00927BC7" w:rsidRPr="00161861">
        <w:rPr>
          <w:rFonts w:cs="Arial"/>
          <w:sz w:val="22"/>
        </w:rPr>
        <w:t>ir</w:t>
      </w:r>
      <w:r w:rsidR="00D822D8" w:rsidRPr="00161861">
        <w:rPr>
          <w:rFonts w:cs="Arial"/>
          <w:sz w:val="22"/>
        </w:rPr>
        <w:t xml:space="preserve"> ability to </w:t>
      </w:r>
      <w:r w:rsidR="00407B36" w:rsidRPr="00161861">
        <w:rPr>
          <w:rFonts w:cs="Arial"/>
          <w:sz w:val="22"/>
        </w:rPr>
        <w:t xml:space="preserve">attend and </w:t>
      </w:r>
      <w:r w:rsidR="00D822D8" w:rsidRPr="00161861">
        <w:rPr>
          <w:rFonts w:cs="Arial"/>
          <w:sz w:val="22"/>
        </w:rPr>
        <w:t>participate in the hearing</w:t>
      </w:r>
      <w:r w:rsidR="00407B36" w:rsidRPr="00161861">
        <w:rPr>
          <w:rFonts w:cs="Arial"/>
          <w:sz w:val="22"/>
        </w:rPr>
        <w:t xml:space="preserve"> as actively as possible</w:t>
      </w:r>
      <w:r w:rsidR="00D822D8" w:rsidRPr="00161861">
        <w:rPr>
          <w:rFonts w:cs="Arial"/>
          <w:sz w:val="22"/>
        </w:rPr>
        <w:t>.</w:t>
      </w:r>
      <w:r w:rsidR="003D15EE" w:rsidRPr="00161861">
        <w:rPr>
          <w:rFonts w:cs="Arial"/>
          <w:sz w:val="22"/>
        </w:rPr>
        <w:t xml:space="preserve"> </w:t>
      </w:r>
    </w:p>
    <w:p w14:paraId="13049615" w14:textId="6BF00CF3" w:rsidR="00924BF6" w:rsidRPr="00161861" w:rsidRDefault="00924BF6" w:rsidP="004405B0">
      <w:pPr>
        <w:pStyle w:val="ListParagraph"/>
        <w:spacing w:before="240" w:after="240" w:line="264" w:lineRule="auto"/>
        <w:jc w:val="both"/>
        <w:rPr>
          <w:rFonts w:cs="Arial"/>
          <w:sz w:val="22"/>
        </w:rPr>
      </w:pPr>
      <w:r w:rsidRPr="00161861">
        <w:rPr>
          <w:rFonts w:cs="Arial"/>
          <w:sz w:val="22"/>
        </w:rPr>
        <w:t xml:space="preserve">Where the application concerns a </w:t>
      </w:r>
      <w:proofErr w:type="gramStart"/>
      <w:r w:rsidRPr="00161861">
        <w:rPr>
          <w:rFonts w:cs="Arial"/>
          <w:sz w:val="22"/>
        </w:rPr>
        <w:t>patient</w:t>
      </w:r>
      <w:proofErr w:type="gramEnd"/>
      <w:r w:rsidRPr="00161861">
        <w:rPr>
          <w:rFonts w:cs="Arial"/>
          <w:sz w:val="22"/>
        </w:rPr>
        <w:t xml:space="preserve"> who is already having ECT under an earlier Order, the t</w:t>
      </w:r>
      <w:r w:rsidR="00D822D8" w:rsidRPr="00161861">
        <w:rPr>
          <w:rFonts w:cs="Arial"/>
          <w:sz w:val="22"/>
        </w:rPr>
        <w:t>reating team must liaise with the</w:t>
      </w:r>
      <w:r w:rsidR="00AB10E4" w:rsidRPr="00161861">
        <w:rPr>
          <w:rFonts w:cs="Arial"/>
          <w:sz w:val="22"/>
        </w:rPr>
        <w:t xml:space="preserve"> Tribunal’s</w:t>
      </w:r>
      <w:r w:rsidR="00D822D8" w:rsidRPr="00161861">
        <w:rPr>
          <w:rFonts w:cs="Arial"/>
          <w:sz w:val="22"/>
        </w:rPr>
        <w:t xml:space="preserve"> </w:t>
      </w:r>
      <w:r w:rsidR="009E42DB" w:rsidRPr="00161861">
        <w:rPr>
          <w:rFonts w:cs="Arial"/>
          <w:sz w:val="22"/>
        </w:rPr>
        <w:t>r</w:t>
      </w:r>
      <w:r w:rsidR="00D822D8" w:rsidRPr="00161861">
        <w:rPr>
          <w:rFonts w:cs="Arial"/>
          <w:sz w:val="22"/>
        </w:rPr>
        <w:t xml:space="preserve">egistry to ensure that the hearing is not on a day that the patient </w:t>
      </w:r>
      <w:r w:rsidR="00407B36" w:rsidRPr="00161861">
        <w:rPr>
          <w:rFonts w:cs="Arial"/>
          <w:sz w:val="22"/>
        </w:rPr>
        <w:t xml:space="preserve">has had an ECT treatment. </w:t>
      </w:r>
    </w:p>
    <w:p w14:paraId="543931DC" w14:textId="2B353666" w:rsidR="00D822D8" w:rsidRPr="00161861" w:rsidRDefault="00407B36" w:rsidP="004405B0">
      <w:pPr>
        <w:pStyle w:val="ListParagraph"/>
        <w:spacing w:before="240" w:after="240" w:line="264" w:lineRule="auto"/>
        <w:jc w:val="both"/>
        <w:rPr>
          <w:rFonts w:cs="Arial"/>
          <w:sz w:val="22"/>
        </w:rPr>
      </w:pPr>
      <w:r w:rsidRPr="00161861">
        <w:rPr>
          <w:rFonts w:cs="Arial"/>
          <w:sz w:val="22"/>
        </w:rPr>
        <w:t xml:space="preserve">Similarly, it is not </w:t>
      </w:r>
      <w:r w:rsidR="003D15EE" w:rsidRPr="00161861">
        <w:rPr>
          <w:rFonts w:cs="Arial"/>
          <w:sz w:val="22"/>
        </w:rPr>
        <w:t>appropriate</w:t>
      </w:r>
      <w:r w:rsidRPr="00161861">
        <w:rPr>
          <w:rFonts w:cs="Arial"/>
          <w:sz w:val="22"/>
        </w:rPr>
        <w:t xml:space="preserve"> for a treating team to implement fasting on the day of the hearing in anticipation of the Tribunal making an ECT Order</w:t>
      </w:r>
      <w:r w:rsidR="00927BC7" w:rsidRPr="00161861">
        <w:rPr>
          <w:rFonts w:cs="Arial"/>
          <w:sz w:val="22"/>
        </w:rPr>
        <w:t xml:space="preserve">. </w:t>
      </w:r>
      <w:r w:rsidR="002E2BB8" w:rsidRPr="00161861">
        <w:rPr>
          <w:rFonts w:cs="Arial"/>
          <w:sz w:val="22"/>
        </w:rPr>
        <w:t>In practice, t</w:t>
      </w:r>
      <w:r w:rsidR="00927BC7" w:rsidRPr="00161861">
        <w:rPr>
          <w:rFonts w:cs="Arial"/>
          <w:sz w:val="22"/>
        </w:rPr>
        <w:t xml:space="preserve">his means ECT </w:t>
      </w:r>
      <w:r w:rsidR="00457A1B" w:rsidRPr="00161861">
        <w:rPr>
          <w:rFonts w:cs="Arial"/>
          <w:sz w:val="22"/>
        </w:rPr>
        <w:t>should</w:t>
      </w:r>
      <w:r w:rsidR="00927BC7" w:rsidRPr="00161861">
        <w:rPr>
          <w:rFonts w:cs="Arial"/>
          <w:sz w:val="22"/>
        </w:rPr>
        <w:t xml:space="preserve"> not be </w:t>
      </w:r>
      <w:r w:rsidR="008A6BA2" w:rsidRPr="00161861">
        <w:rPr>
          <w:rFonts w:cs="Arial"/>
          <w:sz w:val="22"/>
        </w:rPr>
        <w:t xml:space="preserve">(tentatively) </w:t>
      </w:r>
      <w:r w:rsidR="00927BC7" w:rsidRPr="00161861">
        <w:rPr>
          <w:rFonts w:cs="Arial"/>
          <w:sz w:val="22"/>
        </w:rPr>
        <w:t>scheduled on the day of the hearing.</w:t>
      </w:r>
    </w:p>
    <w:p w14:paraId="2FE426E7" w14:textId="76A46F75" w:rsidR="00E617B0" w:rsidRPr="00161861" w:rsidRDefault="00457A1B" w:rsidP="004405B0">
      <w:pPr>
        <w:pStyle w:val="ListParagraph"/>
        <w:spacing w:before="240" w:after="240" w:line="264" w:lineRule="auto"/>
        <w:jc w:val="both"/>
        <w:rPr>
          <w:rFonts w:cs="Arial"/>
          <w:sz w:val="22"/>
        </w:rPr>
      </w:pPr>
      <w:r w:rsidRPr="00161861">
        <w:rPr>
          <w:rFonts w:cs="Arial"/>
          <w:sz w:val="22"/>
        </w:rPr>
        <w:t xml:space="preserve">If </w:t>
      </w:r>
      <w:r w:rsidR="003D15EE" w:rsidRPr="00161861">
        <w:rPr>
          <w:rFonts w:cs="Arial"/>
          <w:sz w:val="22"/>
        </w:rPr>
        <w:t xml:space="preserve">the patient has undergone ECT on the day of the hearing or been </w:t>
      </w:r>
      <w:r w:rsidR="002E2BB8" w:rsidRPr="00161861">
        <w:rPr>
          <w:rFonts w:cs="Arial"/>
          <w:sz w:val="22"/>
        </w:rPr>
        <w:t>required</w:t>
      </w:r>
      <w:r w:rsidR="003D15EE" w:rsidRPr="00161861">
        <w:rPr>
          <w:rFonts w:cs="Arial"/>
          <w:sz w:val="22"/>
        </w:rPr>
        <w:t xml:space="preserve"> to fast in anticipation of ECT</w:t>
      </w:r>
      <w:r w:rsidR="00AB10E4" w:rsidRPr="00161861">
        <w:rPr>
          <w:rFonts w:cs="Arial"/>
          <w:sz w:val="22"/>
        </w:rPr>
        <w:t xml:space="preserve"> being administered</w:t>
      </w:r>
      <w:r w:rsidR="003D15EE" w:rsidRPr="00161861">
        <w:rPr>
          <w:rFonts w:cs="Arial"/>
          <w:sz w:val="22"/>
        </w:rPr>
        <w:t xml:space="preserve">, </w:t>
      </w:r>
      <w:r w:rsidRPr="00161861">
        <w:rPr>
          <w:rFonts w:cs="Arial"/>
          <w:sz w:val="22"/>
        </w:rPr>
        <w:t>the Tribunal</w:t>
      </w:r>
      <w:r w:rsidR="00595D5B" w:rsidRPr="00161861">
        <w:rPr>
          <w:rFonts w:cs="Arial"/>
          <w:sz w:val="22"/>
        </w:rPr>
        <w:t xml:space="preserve"> </w:t>
      </w:r>
      <w:r w:rsidR="00924BF6" w:rsidRPr="00161861">
        <w:rPr>
          <w:rFonts w:cs="Arial"/>
          <w:sz w:val="22"/>
        </w:rPr>
        <w:t>will need to consider</w:t>
      </w:r>
      <w:r w:rsidR="00595D5B" w:rsidRPr="00161861">
        <w:rPr>
          <w:rFonts w:cs="Arial"/>
          <w:sz w:val="22"/>
        </w:rPr>
        <w:t xml:space="preserve"> adjourn</w:t>
      </w:r>
      <w:r w:rsidR="00924BF6" w:rsidRPr="00161861">
        <w:rPr>
          <w:rFonts w:cs="Arial"/>
          <w:sz w:val="22"/>
        </w:rPr>
        <w:t>ing</w:t>
      </w:r>
      <w:r w:rsidR="00595D5B" w:rsidRPr="00161861">
        <w:rPr>
          <w:rFonts w:cs="Arial"/>
          <w:sz w:val="22"/>
        </w:rPr>
        <w:t xml:space="preserve"> the hearing</w:t>
      </w:r>
      <w:r w:rsidRPr="00161861">
        <w:rPr>
          <w:rFonts w:cs="Arial"/>
          <w:sz w:val="22"/>
        </w:rPr>
        <w:t xml:space="preserve"> </w:t>
      </w:r>
      <w:r w:rsidR="00924BF6" w:rsidRPr="00161861">
        <w:rPr>
          <w:rFonts w:cs="Arial"/>
          <w:sz w:val="22"/>
        </w:rPr>
        <w:t xml:space="preserve">to afford the patient </w:t>
      </w:r>
      <w:r w:rsidR="00595D5B" w:rsidRPr="00161861">
        <w:rPr>
          <w:rFonts w:cs="Arial"/>
          <w:sz w:val="22"/>
        </w:rPr>
        <w:t>procedural fairness</w:t>
      </w:r>
      <w:r w:rsidR="008D4FB7" w:rsidRPr="00161861">
        <w:rPr>
          <w:rFonts w:cs="Arial"/>
          <w:sz w:val="22"/>
        </w:rPr>
        <w:t>.</w:t>
      </w:r>
    </w:p>
    <w:p w14:paraId="4EEC327E" w14:textId="3374A7DE" w:rsidR="00037017" w:rsidRPr="00161861" w:rsidRDefault="00924BF6" w:rsidP="004405B0">
      <w:pPr>
        <w:pStyle w:val="ListParagraph"/>
        <w:spacing w:before="240" w:after="240" w:line="264" w:lineRule="auto"/>
        <w:jc w:val="both"/>
        <w:rPr>
          <w:rFonts w:cs="Arial"/>
          <w:sz w:val="22"/>
        </w:rPr>
      </w:pPr>
      <w:r w:rsidRPr="00161861">
        <w:rPr>
          <w:rFonts w:cs="Arial"/>
          <w:sz w:val="22"/>
        </w:rPr>
        <w:t>I</w:t>
      </w:r>
      <w:r w:rsidR="000668F6" w:rsidRPr="00161861">
        <w:rPr>
          <w:rFonts w:cs="Arial"/>
          <w:sz w:val="22"/>
        </w:rPr>
        <w:t>f the treating team has made any adjustments to the patient’s medication to allow for the possibility of ECT (</w:t>
      </w:r>
      <w:r w:rsidR="00D93604" w:rsidRPr="00161861">
        <w:rPr>
          <w:rFonts w:cs="Arial"/>
          <w:sz w:val="22"/>
        </w:rPr>
        <w:t>for example,</w:t>
      </w:r>
      <w:r w:rsidR="000668F6" w:rsidRPr="00161861">
        <w:rPr>
          <w:rFonts w:cs="Arial"/>
          <w:sz w:val="22"/>
        </w:rPr>
        <w:t xml:space="preserve"> titration or cessation of certain medications), they must bring this to the Tribunal’s </w:t>
      </w:r>
      <w:proofErr w:type="gramStart"/>
      <w:r w:rsidR="000668F6" w:rsidRPr="00161861">
        <w:rPr>
          <w:rFonts w:cs="Arial"/>
          <w:sz w:val="22"/>
        </w:rPr>
        <w:t>attention</w:t>
      </w:r>
      <w:proofErr w:type="gramEnd"/>
      <w:r w:rsidR="000668F6" w:rsidRPr="00161861">
        <w:rPr>
          <w:rFonts w:cs="Arial"/>
          <w:sz w:val="22"/>
        </w:rPr>
        <w:t xml:space="preserve"> so the Tribunal can consider </w:t>
      </w:r>
      <w:r w:rsidR="008A6BA2" w:rsidRPr="00161861">
        <w:rPr>
          <w:rFonts w:cs="Arial"/>
          <w:sz w:val="22"/>
        </w:rPr>
        <w:t>any potential</w:t>
      </w:r>
      <w:r w:rsidR="000668F6" w:rsidRPr="00161861">
        <w:rPr>
          <w:rFonts w:cs="Arial"/>
          <w:sz w:val="22"/>
        </w:rPr>
        <w:t xml:space="preserve"> impact on the patient’s</w:t>
      </w:r>
      <w:r w:rsidR="00457A1B" w:rsidRPr="00161861">
        <w:rPr>
          <w:rFonts w:cs="Arial"/>
          <w:sz w:val="22"/>
        </w:rPr>
        <w:t xml:space="preserve"> capacity to consent to ECT and</w:t>
      </w:r>
      <w:r w:rsidR="000668F6" w:rsidRPr="00161861">
        <w:rPr>
          <w:rFonts w:cs="Arial"/>
          <w:sz w:val="22"/>
        </w:rPr>
        <w:t xml:space="preserve"> </w:t>
      </w:r>
      <w:r w:rsidR="003A6936" w:rsidRPr="00161861">
        <w:rPr>
          <w:rFonts w:cs="Arial"/>
          <w:sz w:val="22"/>
        </w:rPr>
        <w:t xml:space="preserve">their </w:t>
      </w:r>
      <w:r w:rsidR="000668F6" w:rsidRPr="00161861">
        <w:rPr>
          <w:rFonts w:cs="Arial"/>
          <w:sz w:val="22"/>
        </w:rPr>
        <w:t>ability to participate in the hearing.</w:t>
      </w:r>
      <w:r w:rsidR="008439CA" w:rsidRPr="00161861">
        <w:rPr>
          <w:rFonts w:cs="Arial"/>
          <w:sz w:val="22"/>
        </w:rPr>
        <w:t xml:space="preserve"> </w:t>
      </w:r>
    </w:p>
    <w:p w14:paraId="73F2AB86" w14:textId="77777777" w:rsidR="007576D7" w:rsidRDefault="007576D7">
      <w:pPr>
        <w:rPr>
          <w:rFonts w:eastAsiaTheme="majorEastAsia" w:cs="Arial"/>
          <w:b/>
          <w:bCs/>
          <w:color w:val="007A7C"/>
          <w:sz w:val="36"/>
          <w:szCs w:val="36"/>
        </w:rPr>
      </w:pPr>
      <w:bookmarkStart w:id="19" w:name="_Hlk8984930"/>
      <w:bookmarkStart w:id="20" w:name="_Toc9328584"/>
      <w:bookmarkStart w:id="21" w:name="_Toc9328768"/>
      <w:bookmarkStart w:id="22" w:name="_Toc9517088"/>
      <w:r>
        <w:rPr>
          <w:rFonts w:cs="Arial"/>
        </w:rPr>
        <w:br w:type="page"/>
      </w:r>
    </w:p>
    <w:p w14:paraId="3981BF4C" w14:textId="6676BB0C" w:rsidR="00590665" w:rsidRPr="00B45684" w:rsidRDefault="00F7619F" w:rsidP="00F7619F">
      <w:pPr>
        <w:pStyle w:val="Heading1"/>
        <w:rPr>
          <w:rFonts w:cs="Arial"/>
        </w:rPr>
      </w:pPr>
      <w:r w:rsidRPr="00B45684">
        <w:rPr>
          <w:rFonts w:cs="Arial"/>
        </w:rPr>
        <w:t xml:space="preserve">Determining applications for an ECT Order – </w:t>
      </w:r>
      <w:bookmarkEnd w:id="19"/>
      <w:r w:rsidRPr="00B45684">
        <w:rPr>
          <w:rFonts w:cs="Arial"/>
        </w:rPr>
        <w:t>Capacity to give informed consent</w:t>
      </w:r>
      <w:bookmarkEnd w:id="20"/>
      <w:bookmarkEnd w:id="21"/>
      <w:bookmarkEnd w:id="22"/>
    </w:p>
    <w:p w14:paraId="666DC4B9" w14:textId="1D54C41B" w:rsidR="00707B62" w:rsidRPr="00161861" w:rsidRDefault="00A779C3" w:rsidP="004405B0">
      <w:pPr>
        <w:pStyle w:val="ListParagraph"/>
        <w:spacing w:before="240" w:after="240" w:line="264" w:lineRule="auto"/>
        <w:jc w:val="both"/>
        <w:rPr>
          <w:rFonts w:cs="Arial"/>
          <w:sz w:val="22"/>
        </w:rPr>
      </w:pPr>
      <w:r w:rsidRPr="00161861">
        <w:rPr>
          <w:rFonts w:cs="Arial"/>
          <w:sz w:val="22"/>
        </w:rPr>
        <w:t xml:space="preserve">Capacity is a key consideration in any ECT application </w:t>
      </w:r>
      <w:r w:rsidR="00EC7112" w:rsidRPr="00161861">
        <w:rPr>
          <w:rFonts w:cs="Arial"/>
          <w:sz w:val="22"/>
        </w:rPr>
        <w:t xml:space="preserve">before </w:t>
      </w:r>
      <w:r w:rsidRPr="00161861">
        <w:rPr>
          <w:rFonts w:cs="Arial"/>
          <w:sz w:val="22"/>
        </w:rPr>
        <w:t xml:space="preserve">the Tribunal.  In the </w:t>
      </w:r>
      <w:proofErr w:type="gramStart"/>
      <w:r w:rsidRPr="00161861">
        <w:rPr>
          <w:rFonts w:cs="Arial"/>
          <w:sz w:val="22"/>
        </w:rPr>
        <w:t>vast majority</w:t>
      </w:r>
      <w:proofErr w:type="gramEnd"/>
      <w:r w:rsidRPr="00161861">
        <w:rPr>
          <w:rFonts w:cs="Arial"/>
          <w:sz w:val="22"/>
        </w:rPr>
        <w:t xml:space="preserve"> of matters the issue is whether the person for whom ECT is being proposed has the capacity to </w:t>
      </w:r>
      <w:r w:rsidR="00707B62" w:rsidRPr="00161861">
        <w:rPr>
          <w:rFonts w:cs="Arial"/>
          <w:sz w:val="22"/>
        </w:rPr>
        <w:t>give informed consent. In some matters relating to a young person the issue is whether they have in fact provided informed consent (and to do so they must have capacity).</w:t>
      </w:r>
      <w:r w:rsidR="00AB10E4" w:rsidRPr="00161861">
        <w:rPr>
          <w:rStyle w:val="EndnoteReference"/>
          <w:rFonts w:cs="Arial"/>
          <w:sz w:val="22"/>
        </w:rPr>
        <w:endnoteReference w:id="5"/>
      </w:r>
      <w:r w:rsidR="00707B62" w:rsidRPr="00161861">
        <w:rPr>
          <w:rFonts w:cs="Arial"/>
          <w:sz w:val="22"/>
        </w:rPr>
        <w:t xml:space="preserve">  </w:t>
      </w:r>
    </w:p>
    <w:p w14:paraId="2B0F0790" w14:textId="11401381" w:rsidR="00800215" w:rsidRPr="00161861" w:rsidRDefault="00707B62" w:rsidP="004405B0">
      <w:pPr>
        <w:pStyle w:val="ListParagraph"/>
        <w:spacing w:before="240" w:after="240" w:line="264" w:lineRule="auto"/>
        <w:jc w:val="both"/>
        <w:rPr>
          <w:rFonts w:cs="Arial"/>
          <w:sz w:val="22"/>
        </w:rPr>
      </w:pPr>
      <w:r w:rsidRPr="00161861">
        <w:rPr>
          <w:rFonts w:cs="Arial"/>
          <w:sz w:val="22"/>
        </w:rPr>
        <w:t xml:space="preserve">This means </w:t>
      </w:r>
      <w:r w:rsidR="003558EE" w:rsidRPr="00161861">
        <w:rPr>
          <w:rFonts w:cs="Arial"/>
          <w:sz w:val="22"/>
        </w:rPr>
        <w:t xml:space="preserve">before </w:t>
      </w:r>
      <w:r w:rsidRPr="00161861">
        <w:rPr>
          <w:rFonts w:cs="Arial"/>
          <w:sz w:val="22"/>
        </w:rPr>
        <w:t xml:space="preserve">making an application </w:t>
      </w:r>
      <w:r w:rsidR="00D93604" w:rsidRPr="00161861">
        <w:rPr>
          <w:rFonts w:cs="Arial"/>
          <w:sz w:val="22"/>
        </w:rPr>
        <w:t xml:space="preserve">to the Tribunal </w:t>
      </w:r>
      <w:r w:rsidRPr="00161861">
        <w:rPr>
          <w:rFonts w:cs="Arial"/>
          <w:sz w:val="22"/>
        </w:rPr>
        <w:t>t</w:t>
      </w:r>
      <w:r w:rsidR="006F2277" w:rsidRPr="00161861">
        <w:rPr>
          <w:rFonts w:cs="Arial"/>
          <w:sz w:val="22"/>
        </w:rPr>
        <w:t xml:space="preserve">he </w:t>
      </w:r>
      <w:r w:rsidR="0023657B" w:rsidRPr="00161861">
        <w:rPr>
          <w:rFonts w:cs="Arial"/>
          <w:sz w:val="22"/>
        </w:rPr>
        <w:t>a</w:t>
      </w:r>
      <w:r w:rsidR="00C35652" w:rsidRPr="00161861">
        <w:rPr>
          <w:rFonts w:cs="Arial"/>
          <w:sz w:val="22"/>
        </w:rPr>
        <w:t>pplicant</w:t>
      </w:r>
      <w:r w:rsidR="0023657B" w:rsidRPr="00161861">
        <w:rPr>
          <w:rFonts w:cs="Arial"/>
          <w:sz w:val="22"/>
        </w:rPr>
        <w:t xml:space="preserve"> psychiatrist must</w:t>
      </w:r>
      <w:r w:rsidR="00FC453A" w:rsidRPr="00161861">
        <w:rPr>
          <w:rFonts w:cs="Arial"/>
          <w:sz w:val="22"/>
        </w:rPr>
        <w:t xml:space="preserve"> </w:t>
      </w:r>
      <w:r w:rsidRPr="00161861">
        <w:rPr>
          <w:rFonts w:cs="Arial"/>
          <w:sz w:val="22"/>
        </w:rPr>
        <w:t>consider and form a view about the person’s capacity.  The Tribunal then forms its own view taking into consideration the</w:t>
      </w:r>
      <w:r w:rsidR="00F6016E" w:rsidRPr="00161861">
        <w:rPr>
          <w:rFonts w:cs="Arial"/>
          <w:sz w:val="22"/>
        </w:rPr>
        <w:t xml:space="preserve"> information from</w:t>
      </w:r>
      <w:r w:rsidRPr="00161861">
        <w:rPr>
          <w:rFonts w:cs="Arial"/>
          <w:sz w:val="22"/>
        </w:rPr>
        <w:t xml:space="preserve"> the </w:t>
      </w:r>
      <w:r w:rsidR="00653326" w:rsidRPr="00161861">
        <w:rPr>
          <w:rFonts w:cs="Arial"/>
          <w:sz w:val="22"/>
        </w:rPr>
        <w:t xml:space="preserve">applicant </w:t>
      </w:r>
      <w:r w:rsidRPr="00161861">
        <w:rPr>
          <w:rFonts w:cs="Arial"/>
          <w:sz w:val="22"/>
        </w:rPr>
        <w:t>psychiatrist, and what it hears from and observes of the person</w:t>
      </w:r>
      <w:r w:rsidR="00590665" w:rsidRPr="00161861">
        <w:rPr>
          <w:rFonts w:cs="Arial"/>
          <w:sz w:val="22"/>
        </w:rPr>
        <w:t xml:space="preserve"> and anyone supporting or representing them at the hearing</w:t>
      </w:r>
      <w:r w:rsidRPr="00161861">
        <w:rPr>
          <w:rFonts w:cs="Arial"/>
          <w:sz w:val="22"/>
        </w:rPr>
        <w:t>.</w:t>
      </w:r>
    </w:p>
    <w:p w14:paraId="7AA1DC13" w14:textId="77E5758A" w:rsidR="00185EAB" w:rsidRPr="00161861" w:rsidRDefault="00CA11CC" w:rsidP="004405B0">
      <w:pPr>
        <w:pStyle w:val="ListParagraph"/>
        <w:spacing w:before="240" w:after="240" w:line="264" w:lineRule="auto"/>
        <w:jc w:val="both"/>
        <w:rPr>
          <w:rFonts w:cs="Arial"/>
          <w:sz w:val="22"/>
        </w:rPr>
      </w:pPr>
      <w:r w:rsidRPr="00161861">
        <w:rPr>
          <w:rFonts w:cs="Arial"/>
          <w:sz w:val="22"/>
        </w:rPr>
        <w:t xml:space="preserve">Section 70 contains a rebuttable presumption that a person has capacity to give informed consent. </w:t>
      </w:r>
      <w:r w:rsidR="00800215" w:rsidRPr="00161861">
        <w:rPr>
          <w:rFonts w:cs="Arial"/>
          <w:sz w:val="22"/>
        </w:rPr>
        <w:t>Section 68 sets out the meaning of capacity to give informed consent</w:t>
      </w:r>
      <w:r w:rsidR="00D93604" w:rsidRPr="00161861">
        <w:rPr>
          <w:rFonts w:cs="Arial"/>
          <w:sz w:val="22"/>
        </w:rPr>
        <w:t>,</w:t>
      </w:r>
      <w:r w:rsidR="00800215" w:rsidRPr="00161861">
        <w:rPr>
          <w:rFonts w:cs="Arial"/>
          <w:sz w:val="22"/>
        </w:rPr>
        <w:t xml:space="preserve"> including </w:t>
      </w:r>
      <w:r w:rsidR="00BE7C93" w:rsidRPr="00161861">
        <w:rPr>
          <w:rFonts w:cs="Arial"/>
          <w:sz w:val="22"/>
        </w:rPr>
        <w:t xml:space="preserve">four </w:t>
      </w:r>
      <w:r w:rsidR="00B31A91" w:rsidRPr="00161861">
        <w:rPr>
          <w:rFonts w:cs="Arial"/>
          <w:sz w:val="22"/>
        </w:rPr>
        <w:t>elements or domains</w:t>
      </w:r>
      <w:r w:rsidR="00726369" w:rsidRPr="00161861">
        <w:rPr>
          <w:rFonts w:cs="Arial"/>
          <w:sz w:val="22"/>
        </w:rPr>
        <w:t xml:space="preserve">, namely that a </w:t>
      </w:r>
      <w:r w:rsidR="00185EAB" w:rsidRPr="00161861">
        <w:rPr>
          <w:rFonts w:cs="Arial"/>
          <w:sz w:val="22"/>
        </w:rPr>
        <w:t>person has capacity to give informed consent if they:</w:t>
      </w:r>
    </w:p>
    <w:p w14:paraId="7CA4F9B3" w14:textId="77777777" w:rsidR="003558EE" w:rsidRPr="00161861" w:rsidRDefault="003558EE" w:rsidP="004405B0">
      <w:pPr>
        <w:pStyle w:val="ListParagraph"/>
        <w:numPr>
          <w:ilvl w:val="0"/>
          <w:numId w:val="40"/>
        </w:numPr>
        <w:spacing w:before="240" w:after="240" w:line="264" w:lineRule="auto"/>
        <w:jc w:val="both"/>
        <w:rPr>
          <w:rFonts w:cs="Arial"/>
          <w:sz w:val="22"/>
        </w:rPr>
      </w:pPr>
      <w:r w:rsidRPr="00161861">
        <w:rPr>
          <w:rFonts w:cs="Arial"/>
          <w:sz w:val="22"/>
        </w:rPr>
        <w:t>understand the information they are given relevant to the decision they are making</w:t>
      </w:r>
    </w:p>
    <w:p w14:paraId="09DF3548" w14:textId="77777777" w:rsidR="003558EE" w:rsidRPr="00161861" w:rsidRDefault="003558EE" w:rsidP="004405B0">
      <w:pPr>
        <w:pStyle w:val="ListParagraph"/>
        <w:numPr>
          <w:ilvl w:val="0"/>
          <w:numId w:val="40"/>
        </w:numPr>
        <w:spacing w:before="240" w:after="240" w:line="264" w:lineRule="auto"/>
        <w:jc w:val="both"/>
        <w:rPr>
          <w:rFonts w:cs="Arial"/>
          <w:sz w:val="22"/>
        </w:rPr>
      </w:pPr>
      <w:proofErr w:type="gramStart"/>
      <w:r w:rsidRPr="00161861">
        <w:rPr>
          <w:rFonts w:cs="Arial"/>
          <w:sz w:val="22"/>
        </w:rPr>
        <w:t>are able to</w:t>
      </w:r>
      <w:proofErr w:type="gramEnd"/>
      <w:r w:rsidRPr="00161861">
        <w:rPr>
          <w:rFonts w:cs="Arial"/>
          <w:sz w:val="22"/>
        </w:rPr>
        <w:t xml:space="preserve"> remember the information that is relevant to the decision</w:t>
      </w:r>
    </w:p>
    <w:p w14:paraId="57D4B660" w14:textId="77777777" w:rsidR="003558EE" w:rsidRPr="00161861" w:rsidRDefault="003558EE" w:rsidP="004405B0">
      <w:pPr>
        <w:pStyle w:val="ListParagraph"/>
        <w:numPr>
          <w:ilvl w:val="0"/>
          <w:numId w:val="40"/>
        </w:numPr>
        <w:spacing w:before="240" w:after="240" w:line="264" w:lineRule="auto"/>
        <w:jc w:val="both"/>
        <w:rPr>
          <w:rFonts w:cs="Arial"/>
          <w:sz w:val="22"/>
        </w:rPr>
      </w:pPr>
      <w:proofErr w:type="gramStart"/>
      <w:r w:rsidRPr="00161861">
        <w:rPr>
          <w:rFonts w:cs="Arial"/>
          <w:sz w:val="22"/>
        </w:rPr>
        <w:t>are able to</w:t>
      </w:r>
      <w:proofErr w:type="gramEnd"/>
      <w:r w:rsidRPr="00161861">
        <w:rPr>
          <w:rFonts w:cs="Arial"/>
          <w:sz w:val="22"/>
        </w:rPr>
        <w:t xml:space="preserve"> use or weigh information that is relevant to the decision and</w:t>
      </w:r>
    </w:p>
    <w:p w14:paraId="38DB145D" w14:textId="75529C5A" w:rsidR="003558EE" w:rsidRPr="00161861" w:rsidRDefault="003558EE" w:rsidP="004405B0">
      <w:pPr>
        <w:pStyle w:val="ListParagraph"/>
        <w:numPr>
          <w:ilvl w:val="0"/>
          <w:numId w:val="40"/>
        </w:numPr>
        <w:spacing w:before="240" w:after="240" w:line="264" w:lineRule="auto"/>
        <w:jc w:val="both"/>
        <w:rPr>
          <w:rFonts w:cs="Arial"/>
          <w:sz w:val="22"/>
        </w:rPr>
      </w:pPr>
      <w:proofErr w:type="gramStart"/>
      <w:r w:rsidRPr="00161861">
        <w:rPr>
          <w:rFonts w:cs="Arial"/>
          <w:sz w:val="22"/>
        </w:rPr>
        <w:t>are able to</w:t>
      </w:r>
      <w:proofErr w:type="gramEnd"/>
      <w:r w:rsidRPr="00161861">
        <w:rPr>
          <w:rFonts w:cs="Arial"/>
          <w:sz w:val="22"/>
        </w:rPr>
        <w:t xml:space="preserve"> communicate the decision by speech, gestures or any other means.</w:t>
      </w:r>
    </w:p>
    <w:p w14:paraId="5BF13AFF" w14:textId="095B2A14" w:rsidR="003558EE" w:rsidRPr="00161861" w:rsidRDefault="008A6BA2" w:rsidP="004405B0">
      <w:pPr>
        <w:pStyle w:val="ListParagraph"/>
        <w:spacing w:before="240" w:after="240" w:line="264" w:lineRule="auto"/>
        <w:jc w:val="both"/>
        <w:rPr>
          <w:rFonts w:cs="Arial"/>
          <w:sz w:val="22"/>
        </w:rPr>
      </w:pPr>
      <w:r w:rsidRPr="00161861">
        <w:rPr>
          <w:rFonts w:cs="Arial"/>
          <w:sz w:val="22"/>
        </w:rPr>
        <w:t>S</w:t>
      </w:r>
      <w:r w:rsidR="003558EE" w:rsidRPr="00161861">
        <w:rPr>
          <w:rFonts w:cs="Arial"/>
          <w:sz w:val="22"/>
        </w:rPr>
        <w:t xml:space="preserve">ection 68(2) </w:t>
      </w:r>
      <w:r w:rsidRPr="00161861">
        <w:rPr>
          <w:rFonts w:cs="Arial"/>
          <w:sz w:val="22"/>
        </w:rPr>
        <w:t xml:space="preserve">sets out </w:t>
      </w:r>
      <w:r w:rsidRPr="00161861">
        <w:rPr>
          <w:rFonts w:cs="Arial"/>
          <w:i/>
          <w:sz w:val="22"/>
        </w:rPr>
        <w:t xml:space="preserve">guiding principles </w:t>
      </w:r>
      <w:r w:rsidRPr="00161861">
        <w:rPr>
          <w:rFonts w:cs="Arial"/>
          <w:sz w:val="22"/>
        </w:rPr>
        <w:t xml:space="preserve">about capacity and these </w:t>
      </w:r>
      <w:r w:rsidR="003558EE" w:rsidRPr="00161861">
        <w:rPr>
          <w:rFonts w:cs="Arial"/>
          <w:sz w:val="22"/>
        </w:rPr>
        <w:t>are summarised in the Appendix.</w:t>
      </w:r>
    </w:p>
    <w:p w14:paraId="54BA457B" w14:textId="18CBE506" w:rsidR="00A85B1A" w:rsidRPr="00B45684" w:rsidRDefault="00A85B1A" w:rsidP="004405B0">
      <w:pPr>
        <w:pStyle w:val="Heading2"/>
        <w:rPr>
          <w:rFonts w:cs="Arial"/>
        </w:rPr>
      </w:pPr>
      <w:bookmarkStart w:id="23" w:name="_Toc9328585"/>
      <w:bookmarkStart w:id="24" w:name="_Toc9328769"/>
      <w:r w:rsidRPr="00B45684">
        <w:rPr>
          <w:rFonts w:cs="Arial"/>
        </w:rPr>
        <w:t>Applying the Supreme Court’s</w:t>
      </w:r>
      <w:r w:rsidR="00F81B04" w:rsidRPr="00B45684">
        <w:rPr>
          <w:rFonts w:cs="Arial"/>
        </w:rPr>
        <w:t xml:space="preserve"> decision on capacity</w:t>
      </w:r>
      <w:bookmarkEnd w:id="23"/>
      <w:bookmarkEnd w:id="24"/>
    </w:p>
    <w:p w14:paraId="1BC8A8FD" w14:textId="2DE7B116" w:rsidR="002B1691" w:rsidRPr="00161861" w:rsidRDefault="0023657B" w:rsidP="004405B0">
      <w:pPr>
        <w:pStyle w:val="ListParagraph"/>
        <w:spacing w:before="240" w:after="240" w:line="264" w:lineRule="auto"/>
        <w:jc w:val="both"/>
        <w:rPr>
          <w:rFonts w:cs="Arial"/>
          <w:sz w:val="22"/>
        </w:rPr>
      </w:pPr>
      <w:r w:rsidRPr="00161861">
        <w:rPr>
          <w:rFonts w:cs="Arial"/>
          <w:sz w:val="22"/>
        </w:rPr>
        <w:t xml:space="preserve">In PBU &amp; NJE, the Supreme Court clarified </w:t>
      </w:r>
      <w:proofErr w:type="gramStart"/>
      <w:r w:rsidRPr="00161861">
        <w:rPr>
          <w:rFonts w:cs="Arial"/>
          <w:sz w:val="22"/>
        </w:rPr>
        <w:t>a number of</w:t>
      </w:r>
      <w:proofErr w:type="gramEnd"/>
      <w:r w:rsidRPr="00161861">
        <w:rPr>
          <w:rFonts w:cs="Arial"/>
          <w:sz w:val="22"/>
        </w:rPr>
        <w:t xml:space="preserve"> aspects o</w:t>
      </w:r>
      <w:r w:rsidR="00055490" w:rsidRPr="00161861">
        <w:rPr>
          <w:rFonts w:cs="Arial"/>
          <w:sz w:val="22"/>
        </w:rPr>
        <w:t xml:space="preserve">f the </w:t>
      </w:r>
      <w:r w:rsidR="00B303DC" w:rsidRPr="00161861">
        <w:rPr>
          <w:rFonts w:cs="Arial"/>
          <w:sz w:val="22"/>
        </w:rPr>
        <w:t>capacity test. K</w:t>
      </w:r>
      <w:r w:rsidR="00055490" w:rsidRPr="00161861">
        <w:rPr>
          <w:rFonts w:cs="Arial"/>
          <w:sz w:val="22"/>
        </w:rPr>
        <w:t>ey principles from tha</w:t>
      </w:r>
      <w:r w:rsidR="00B303DC" w:rsidRPr="00161861">
        <w:rPr>
          <w:rFonts w:cs="Arial"/>
          <w:sz w:val="22"/>
        </w:rPr>
        <w:t>t decision are summarised below.</w:t>
      </w:r>
    </w:p>
    <w:p w14:paraId="6BB556DB" w14:textId="249741E2" w:rsidR="004D0217" w:rsidRPr="00B45684" w:rsidRDefault="004D0217" w:rsidP="004405B0">
      <w:pPr>
        <w:pStyle w:val="Heading3"/>
        <w:spacing w:before="240" w:after="240" w:line="264" w:lineRule="auto"/>
        <w:rPr>
          <w:rFonts w:cs="Arial"/>
        </w:rPr>
      </w:pPr>
      <w:bookmarkStart w:id="25" w:name="_Toc9328586"/>
      <w:bookmarkStart w:id="26" w:name="_Toc9328770"/>
      <w:r w:rsidRPr="00B45684">
        <w:rPr>
          <w:rFonts w:cs="Arial"/>
        </w:rPr>
        <w:t xml:space="preserve">Capacity test is </w:t>
      </w:r>
      <w:proofErr w:type="gramStart"/>
      <w:r w:rsidRPr="00B45684">
        <w:rPr>
          <w:rFonts w:cs="Arial"/>
        </w:rPr>
        <w:t>functional</w:t>
      </w:r>
      <w:proofErr w:type="gramEnd"/>
      <w:r w:rsidRPr="00B45684">
        <w:rPr>
          <w:rFonts w:cs="Arial"/>
        </w:rPr>
        <w:t xml:space="preserve"> and the threshold is relatively low</w:t>
      </w:r>
      <w:bookmarkEnd w:id="25"/>
      <w:bookmarkEnd w:id="26"/>
    </w:p>
    <w:p w14:paraId="239EF60F" w14:textId="5B5E2863" w:rsidR="00030494" w:rsidRPr="00161861" w:rsidRDefault="00030494" w:rsidP="004405B0">
      <w:pPr>
        <w:pStyle w:val="ListParagraph"/>
        <w:spacing w:before="240" w:after="240" w:line="264" w:lineRule="auto"/>
        <w:jc w:val="both"/>
        <w:rPr>
          <w:rFonts w:cs="Arial"/>
          <w:sz w:val="22"/>
        </w:rPr>
      </w:pPr>
      <w:r w:rsidRPr="00161861">
        <w:rPr>
          <w:rFonts w:cs="Arial"/>
          <w:sz w:val="22"/>
        </w:rPr>
        <w:t>Section 68(1) applies a</w:t>
      </w:r>
      <w:r w:rsidR="00D428AB" w:rsidRPr="00161861">
        <w:rPr>
          <w:rFonts w:cs="Arial"/>
          <w:sz w:val="22"/>
        </w:rPr>
        <w:t xml:space="preserve"> </w:t>
      </w:r>
      <w:r w:rsidRPr="00161861">
        <w:rPr>
          <w:rFonts w:cs="Arial"/>
          <w:sz w:val="22"/>
        </w:rPr>
        <w:t xml:space="preserve">functional </w:t>
      </w:r>
      <w:r w:rsidR="00D428AB" w:rsidRPr="00161861">
        <w:rPr>
          <w:rFonts w:cs="Arial"/>
          <w:sz w:val="22"/>
        </w:rPr>
        <w:t xml:space="preserve">capacity </w:t>
      </w:r>
      <w:r w:rsidRPr="00161861">
        <w:rPr>
          <w:rFonts w:cs="Arial"/>
          <w:sz w:val="22"/>
        </w:rPr>
        <w:t xml:space="preserve">test: the person must understand information they are given relevant to the decision but only needs to have </w:t>
      </w:r>
      <w:r w:rsidRPr="00161861">
        <w:rPr>
          <w:rFonts w:cs="Arial"/>
          <w:i/>
          <w:sz w:val="22"/>
        </w:rPr>
        <w:t>an ability</w:t>
      </w:r>
      <w:r w:rsidRPr="00161861">
        <w:rPr>
          <w:rFonts w:cs="Arial"/>
          <w:sz w:val="22"/>
        </w:rPr>
        <w:t xml:space="preserve"> to remember, use or weigh relevant information and communicate a decision</w:t>
      </w:r>
      <w:r w:rsidR="00672A32" w:rsidRPr="00161861">
        <w:rPr>
          <w:rFonts w:cs="Arial"/>
          <w:sz w:val="22"/>
        </w:rPr>
        <w:t>. They do</w:t>
      </w:r>
      <w:r w:rsidRPr="00161861">
        <w:rPr>
          <w:rFonts w:cs="Arial"/>
          <w:sz w:val="22"/>
        </w:rPr>
        <w:t xml:space="preserve"> not</w:t>
      </w:r>
      <w:r w:rsidR="00672A32" w:rsidRPr="00161861">
        <w:rPr>
          <w:rFonts w:cs="Arial"/>
          <w:sz w:val="22"/>
        </w:rPr>
        <w:t xml:space="preserve"> need</w:t>
      </w:r>
      <w:r w:rsidRPr="00161861">
        <w:rPr>
          <w:rFonts w:cs="Arial"/>
          <w:sz w:val="22"/>
        </w:rPr>
        <w:t xml:space="preserve"> to have </w:t>
      </w:r>
      <w:proofErr w:type="gramStart"/>
      <w:r w:rsidRPr="00161861">
        <w:rPr>
          <w:rFonts w:cs="Arial"/>
          <w:sz w:val="22"/>
        </w:rPr>
        <w:t>actually done</w:t>
      </w:r>
      <w:proofErr w:type="gramEnd"/>
      <w:r w:rsidRPr="00161861">
        <w:rPr>
          <w:rFonts w:cs="Arial"/>
          <w:sz w:val="22"/>
        </w:rPr>
        <w:t xml:space="preserve"> so</w:t>
      </w:r>
      <w:r w:rsidR="00EF0E43" w:rsidRPr="00161861">
        <w:rPr>
          <w:rFonts w:cs="Arial"/>
          <w:sz w:val="22"/>
        </w:rPr>
        <w:t>.</w:t>
      </w:r>
      <w:r w:rsidR="00C91FF3" w:rsidRPr="00161861">
        <w:rPr>
          <w:rStyle w:val="EndnoteReference"/>
          <w:rFonts w:cs="Arial"/>
          <w:sz w:val="22"/>
        </w:rPr>
        <w:endnoteReference w:id="6"/>
      </w:r>
      <w:r w:rsidR="00EF0E43" w:rsidRPr="00161861">
        <w:rPr>
          <w:rFonts w:cs="Arial"/>
          <w:sz w:val="22"/>
        </w:rPr>
        <w:t xml:space="preserve"> </w:t>
      </w:r>
    </w:p>
    <w:p w14:paraId="470ABD36" w14:textId="2A41D925" w:rsidR="004D0217" w:rsidRPr="00161861" w:rsidRDefault="00030494" w:rsidP="004405B0">
      <w:pPr>
        <w:pStyle w:val="ListParagraph"/>
        <w:spacing w:before="240" w:after="240" w:line="264" w:lineRule="auto"/>
        <w:jc w:val="both"/>
        <w:rPr>
          <w:rFonts w:cs="Arial"/>
          <w:sz w:val="22"/>
        </w:rPr>
      </w:pPr>
      <w:r w:rsidRPr="00161861">
        <w:rPr>
          <w:rFonts w:cs="Arial"/>
          <w:sz w:val="22"/>
        </w:rPr>
        <w:t xml:space="preserve">In practice, this </w:t>
      </w:r>
      <w:r w:rsidR="00055490" w:rsidRPr="00161861">
        <w:rPr>
          <w:rFonts w:cs="Arial"/>
          <w:sz w:val="22"/>
        </w:rPr>
        <w:t xml:space="preserve">distinction may be most relevant to the ‘use or weigh’ domain of capacity: if a person </w:t>
      </w:r>
      <w:proofErr w:type="gramStart"/>
      <w:r w:rsidR="00FC453A" w:rsidRPr="00161861">
        <w:rPr>
          <w:rFonts w:cs="Arial"/>
          <w:sz w:val="22"/>
        </w:rPr>
        <w:t>has the ability to</w:t>
      </w:r>
      <w:proofErr w:type="gramEnd"/>
      <w:r w:rsidR="00FC453A" w:rsidRPr="00161861">
        <w:rPr>
          <w:rFonts w:cs="Arial"/>
          <w:sz w:val="22"/>
        </w:rPr>
        <w:t xml:space="preserve"> use or weigh relevant information but chooses not to do so</w:t>
      </w:r>
      <w:r w:rsidR="00055490" w:rsidRPr="00161861">
        <w:rPr>
          <w:rFonts w:cs="Arial"/>
          <w:sz w:val="22"/>
        </w:rPr>
        <w:t xml:space="preserve">, that does not </w:t>
      </w:r>
      <w:r w:rsidR="00D428AB" w:rsidRPr="00161861">
        <w:rPr>
          <w:rFonts w:cs="Arial"/>
          <w:sz w:val="22"/>
        </w:rPr>
        <w:t xml:space="preserve">necessarily </w:t>
      </w:r>
      <w:r w:rsidR="00055490" w:rsidRPr="00161861">
        <w:rPr>
          <w:rFonts w:cs="Arial"/>
          <w:sz w:val="22"/>
        </w:rPr>
        <w:t>mean they lack capacity.</w:t>
      </w:r>
      <w:r w:rsidR="00401C75" w:rsidRPr="00161861">
        <w:rPr>
          <w:rFonts w:cs="Arial"/>
          <w:sz w:val="22"/>
        </w:rPr>
        <w:t xml:space="preserve">  It is beyond the scope of these guidelines to explore this distinction in detail.  It is important </w:t>
      </w:r>
      <w:r w:rsidR="00404085" w:rsidRPr="00161861">
        <w:rPr>
          <w:rFonts w:cs="Arial"/>
          <w:sz w:val="22"/>
        </w:rPr>
        <w:t xml:space="preserve">to keep </w:t>
      </w:r>
      <w:r w:rsidR="00BD13D9" w:rsidRPr="00161861">
        <w:rPr>
          <w:rFonts w:cs="Arial"/>
          <w:sz w:val="22"/>
        </w:rPr>
        <w:t>it in</w:t>
      </w:r>
      <w:r w:rsidR="00401C75" w:rsidRPr="00161861">
        <w:rPr>
          <w:rFonts w:cs="Arial"/>
          <w:sz w:val="22"/>
        </w:rPr>
        <w:t xml:space="preserve"> mind, but it may not be directly relevant wherever a person is able to be engaged in a discussion about their preferences in relation to ECT.</w:t>
      </w:r>
    </w:p>
    <w:p w14:paraId="19F7C284" w14:textId="4B8E5196" w:rsidR="009F67E2" w:rsidRPr="00161861" w:rsidRDefault="00412917" w:rsidP="004405B0">
      <w:pPr>
        <w:pStyle w:val="ListParagraph"/>
        <w:spacing w:before="240" w:after="240" w:line="264" w:lineRule="auto"/>
        <w:jc w:val="both"/>
        <w:rPr>
          <w:rFonts w:cs="Arial"/>
          <w:sz w:val="22"/>
        </w:rPr>
      </w:pPr>
      <w:r w:rsidRPr="00161861">
        <w:rPr>
          <w:rFonts w:cs="Arial"/>
          <w:sz w:val="22"/>
        </w:rPr>
        <w:t xml:space="preserve">A functional test of capacity </w:t>
      </w:r>
      <w:r w:rsidR="00913FCB" w:rsidRPr="00161861">
        <w:rPr>
          <w:rFonts w:cs="Arial"/>
          <w:sz w:val="22"/>
        </w:rPr>
        <w:t>focus</w:t>
      </w:r>
      <w:r w:rsidRPr="00161861">
        <w:rPr>
          <w:rFonts w:cs="Arial"/>
          <w:sz w:val="22"/>
        </w:rPr>
        <w:t>es</w:t>
      </w:r>
      <w:r w:rsidR="00913FCB" w:rsidRPr="00161861">
        <w:rPr>
          <w:rFonts w:cs="Arial"/>
          <w:sz w:val="22"/>
        </w:rPr>
        <w:t xml:space="preserve"> on </w:t>
      </w:r>
      <w:r w:rsidR="00913FCB" w:rsidRPr="00161861">
        <w:rPr>
          <w:rFonts w:cs="Arial"/>
          <w:i/>
          <w:sz w:val="22"/>
        </w:rPr>
        <w:t xml:space="preserve">the process of </w:t>
      </w:r>
      <w:proofErr w:type="gramStart"/>
      <w:r w:rsidR="00913FCB" w:rsidRPr="00161861">
        <w:rPr>
          <w:rFonts w:cs="Arial"/>
          <w:i/>
          <w:sz w:val="22"/>
        </w:rPr>
        <w:t>making a decision</w:t>
      </w:r>
      <w:proofErr w:type="gramEnd"/>
      <w:r w:rsidR="00913FCB" w:rsidRPr="00161861">
        <w:rPr>
          <w:rFonts w:cs="Arial"/>
          <w:sz w:val="22"/>
        </w:rPr>
        <w:t xml:space="preserve"> rather than </w:t>
      </w:r>
      <w:r w:rsidR="00913FCB" w:rsidRPr="00161861">
        <w:rPr>
          <w:rFonts w:cs="Arial"/>
          <w:i/>
          <w:sz w:val="22"/>
        </w:rPr>
        <w:t>the content of the decision made</w:t>
      </w:r>
      <w:r w:rsidRPr="00161861">
        <w:rPr>
          <w:rFonts w:cs="Arial"/>
          <w:sz w:val="22"/>
        </w:rPr>
        <w:t xml:space="preserve"> and in doing so promotes the principles of the Act, including </w:t>
      </w:r>
      <w:r w:rsidR="009F67E2" w:rsidRPr="00161861">
        <w:rPr>
          <w:rFonts w:cs="Arial"/>
          <w:sz w:val="22"/>
        </w:rPr>
        <w:t>the dignity of</w:t>
      </w:r>
      <w:r w:rsidR="00030494" w:rsidRPr="00161861">
        <w:rPr>
          <w:rFonts w:cs="Arial"/>
          <w:sz w:val="22"/>
        </w:rPr>
        <w:t xml:space="preserve"> risk: a person does not lack capacity to give informed consent simply by making a decision that others consider to be unwise according to their individual values and situation.</w:t>
      </w:r>
      <w:r w:rsidR="001949FE" w:rsidRPr="00161861">
        <w:rPr>
          <w:rFonts w:cs="Arial"/>
          <w:sz w:val="22"/>
        </w:rPr>
        <w:t xml:space="preserve"> The judg</w:t>
      </w:r>
      <w:r w:rsidR="009F67E2" w:rsidRPr="00161861">
        <w:rPr>
          <w:rFonts w:cs="Arial"/>
          <w:sz w:val="22"/>
        </w:rPr>
        <w:t>ment states:</w:t>
      </w:r>
    </w:p>
    <w:p w14:paraId="03C4D266" w14:textId="243BC752" w:rsidR="009F67E2" w:rsidRPr="00161861" w:rsidRDefault="009F67E2" w:rsidP="004405B0">
      <w:pPr>
        <w:pStyle w:val="Quote"/>
        <w:spacing w:before="240" w:after="240" w:line="264" w:lineRule="auto"/>
        <w:jc w:val="both"/>
        <w:rPr>
          <w:rFonts w:cs="Arial"/>
          <w:sz w:val="22"/>
        </w:rPr>
      </w:pPr>
      <w:r w:rsidRPr="00161861">
        <w:rPr>
          <w:rFonts w:cs="Arial"/>
          <w:sz w:val="22"/>
        </w:rPr>
        <w:t xml:space="preserve">It is important to determine capacity by reference to the statutory criteria, which are based on the domains </w:t>
      </w:r>
      <w:r w:rsidR="00D428AB" w:rsidRPr="00161861">
        <w:rPr>
          <w:rFonts w:cs="Arial"/>
          <w:sz w:val="22"/>
        </w:rPr>
        <w:t>of cognitive functioning, not by</w:t>
      </w:r>
      <w:r w:rsidRPr="00161861">
        <w:rPr>
          <w:rFonts w:cs="Arial"/>
          <w:sz w:val="22"/>
        </w:rPr>
        <w:t xml:space="preserve"> reference to decisions or behaviours, which give rise to contestable value judgments. Variation in human behaviour is normal and not necessarily a sign of lacking the</w:t>
      </w:r>
      <w:r w:rsidR="00B66AFB" w:rsidRPr="00161861">
        <w:rPr>
          <w:rFonts w:cs="Arial"/>
          <w:sz w:val="22"/>
        </w:rPr>
        <w:t xml:space="preserve"> capacity to gi</w:t>
      </w:r>
      <w:r w:rsidRPr="00161861">
        <w:rPr>
          <w:rFonts w:cs="Arial"/>
          <w:sz w:val="22"/>
        </w:rPr>
        <w:t>ve informed consent.</w:t>
      </w:r>
      <w:r w:rsidR="00672A32" w:rsidRPr="00161861">
        <w:rPr>
          <w:rStyle w:val="EndnoteReference"/>
          <w:rFonts w:cs="Arial"/>
          <w:sz w:val="22"/>
        </w:rPr>
        <w:endnoteReference w:id="7"/>
      </w:r>
    </w:p>
    <w:p w14:paraId="067AA20F" w14:textId="23CD2D4B" w:rsidR="009F67E2" w:rsidRPr="00161861" w:rsidRDefault="00B66AFB" w:rsidP="004405B0">
      <w:pPr>
        <w:pStyle w:val="ListParagraph"/>
        <w:spacing w:before="240" w:after="240" w:line="264" w:lineRule="auto"/>
        <w:jc w:val="both"/>
        <w:rPr>
          <w:rFonts w:cs="Arial"/>
          <w:sz w:val="22"/>
        </w:rPr>
      </w:pPr>
      <w:r w:rsidRPr="00161861">
        <w:rPr>
          <w:rFonts w:cs="Arial"/>
          <w:sz w:val="22"/>
        </w:rPr>
        <w:t xml:space="preserve">This means if the domains of capacity are intact, a person’s decision should not be evaluated. </w:t>
      </w:r>
      <w:proofErr w:type="gramStart"/>
      <w:r w:rsidRPr="00161861">
        <w:rPr>
          <w:rFonts w:cs="Arial"/>
          <w:sz w:val="22"/>
        </w:rPr>
        <w:t>In particular, there</w:t>
      </w:r>
      <w:proofErr w:type="gramEnd"/>
      <w:r w:rsidRPr="00161861">
        <w:rPr>
          <w:rFonts w:cs="Arial"/>
          <w:sz w:val="22"/>
        </w:rPr>
        <w:t xml:space="preserve"> is no scope to second guess the way in which a person uses or weighs information.</w:t>
      </w:r>
    </w:p>
    <w:p w14:paraId="3260519F" w14:textId="26E70E98" w:rsidR="004D0217" w:rsidRPr="00161861" w:rsidRDefault="00055490" w:rsidP="004405B0">
      <w:pPr>
        <w:pStyle w:val="ListParagraph"/>
        <w:spacing w:before="240" w:after="240" w:line="264" w:lineRule="auto"/>
        <w:jc w:val="both"/>
        <w:rPr>
          <w:rFonts w:cs="Arial"/>
          <w:sz w:val="22"/>
        </w:rPr>
      </w:pPr>
      <w:r w:rsidRPr="00161861">
        <w:rPr>
          <w:rFonts w:cs="Arial"/>
          <w:sz w:val="22"/>
        </w:rPr>
        <w:t xml:space="preserve">When assessing the presence or absence of each of the domains of capacity, the threshold </w:t>
      </w:r>
      <w:r w:rsidR="00EF0E43" w:rsidRPr="00161861">
        <w:rPr>
          <w:rFonts w:cs="Arial"/>
          <w:sz w:val="22"/>
        </w:rPr>
        <w:t>is relatively low.</w:t>
      </w:r>
      <w:r w:rsidR="00E1293E" w:rsidRPr="00161861">
        <w:rPr>
          <w:rFonts w:cs="Arial"/>
          <w:sz w:val="22"/>
        </w:rPr>
        <w:t xml:space="preserve"> This reflects the principles of self-determination, to be free of non-</w:t>
      </w:r>
      <w:r w:rsidR="00B66AFB" w:rsidRPr="00161861">
        <w:rPr>
          <w:rFonts w:cs="Arial"/>
          <w:sz w:val="22"/>
        </w:rPr>
        <w:t>consensual medical treatment,</w:t>
      </w:r>
      <w:r w:rsidR="00E1293E" w:rsidRPr="00161861">
        <w:rPr>
          <w:rFonts w:cs="Arial"/>
          <w:sz w:val="22"/>
        </w:rPr>
        <w:t xml:space="preserve"> personal inviolability and the dignity of the person.</w:t>
      </w:r>
      <w:r w:rsidR="00EF0E43" w:rsidRPr="00161861">
        <w:rPr>
          <w:rFonts w:cs="Arial"/>
          <w:sz w:val="22"/>
        </w:rPr>
        <w:t xml:space="preserve"> </w:t>
      </w:r>
    </w:p>
    <w:p w14:paraId="434BB269" w14:textId="4A08502B" w:rsidR="00233772" w:rsidRPr="00161861" w:rsidRDefault="00B66AFB" w:rsidP="004405B0">
      <w:pPr>
        <w:pStyle w:val="ListParagraph"/>
        <w:spacing w:before="240" w:after="240" w:line="264" w:lineRule="auto"/>
        <w:jc w:val="both"/>
        <w:rPr>
          <w:rFonts w:cs="Arial"/>
          <w:sz w:val="22"/>
        </w:rPr>
      </w:pPr>
      <w:r w:rsidRPr="00161861">
        <w:rPr>
          <w:rFonts w:cs="Arial"/>
          <w:sz w:val="22"/>
        </w:rPr>
        <w:t>A</w:t>
      </w:r>
      <w:r w:rsidR="00EF0E43" w:rsidRPr="00161861">
        <w:rPr>
          <w:rFonts w:cs="Arial"/>
          <w:sz w:val="22"/>
        </w:rPr>
        <w:t xml:space="preserve"> person</w:t>
      </w:r>
      <w:r w:rsidRPr="00161861">
        <w:rPr>
          <w:rFonts w:cs="Arial"/>
          <w:sz w:val="22"/>
        </w:rPr>
        <w:t xml:space="preserve"> is not required</w:t>
      </w:r>
      <w:r w:rsidR="00EF0E43" w:rsidRPr="00161861">
        <w:rPr>
          <w:rFonts w:cs="Arial"/>
          <w:sz w:val="22"/>
        </w:rPr>
        <w:t xml:space="preserve"> to give (or be able to give) careful consideration to the advantages and disadvantages of ECT</w:t>
      </w:r>
      <w:r w:rsidRPr="00161861">
        <w:rPr>
          <w:rFonts w:cs="Arial"/>
          <w:sz w:val="22"/>
        </w:rPr>
        <w:t xml:space="preserve"> </w:t>
      </w:r>
      <w:proofErr w:type="gramStart"/>
      <w:r w:rsidRPr="00161861">
        <w:rPr>
          <w:rFonts w:cs="Arial"/>
          <w:sz w:val="22"/>
        </w:rPr>
        <w:t>in order to</w:t>
      </w:r>
      <w:proofErr w:type="gramEnd"/>
      <w:r w:rsidRPr="00161861">
        <w:rPr>
          <w:rFonts w:cs="Arial"/>
          <w:sz w:val="22"/>
        </w:rPr>
        <w:t xml:space="preserve"> have capacity</w:t>
      </w:r>
      <w:r w:rsidR="00EF0E43" w:rsidRPr="00161861">
        <w:rPr>
          <w:rFonts w:cs="Arial"/>
          <w:sz w:val="22"/>
        </w:rPr>
        <w:t>. Rather, according to the decision:</w:t>
      </w:r>
    </w:p>
    <w:p w14:paraId="41F92E1E" w14:textId="6EE1901C" w:rsidR="00233772" w:rsidRPr="00161861" w:rsidRDefault="00233772" w:rsidP="004405B0">
      <w:pPr>
        <w:pStyle w:val="Quote"/>
        <w:spacing w:before="240" w:after="240" w:line="264" w:lineRule="auto"/>
        <w:jc w:val="both"/>
        <w:rPr>
          <w:rFonts w:cs="Arial"/>
          <w:sz w:val="22"/>
        </w:rPr>
      </w:pPr>
      <w:r w:rsidRPr="00161861">
        <w:rPr>
          <w:rFonts w:cs="Arial"/>
          <w:sz w:val="22"/>
        </w:rPr>
        <w:t xml:space="preserve">It requires the person to </w:t>
      </w:r>
      <w:proofErr w:type="gramStart"/>
      <w:r w:rsidRPr="00161861">
        <w:rPr>
          <w:rFonts w:cs="Arial"/>
          <w:sz w:val="22"/>
        </w:rPr>
        <w:t>have an understanding of</w:t>
      </w:r>
      <w:proofErr w:type="gramEnd"/>
      <w:r w:rsidRPr="00161861">
        <w:rPr>
          <w:rFonts w:cs="Arial"/>
          <w:sz w:val="22"/>
        </w:rPr>
        <w:t xml:space="preserve"> and an ability to remember and use or weigh relevant information, and communicate a decision, in broad terms as to the general nature, purpose and effect of the treatment. It does not require the person to have the ability to use or weigh relevant information in every detail but only as to the salient features in those terms.</w:t>
      </w:r>
      <w:r w:rsidR="00912532" w:rsidRPr="00161861">
        <w:rPr>
          <w:rStyle w:val="EndnoteReference"/>
          <w:rFonts w:cs="Arial"/>
          <w:sz w:val="22"/>
        </w:rPr>
        <w:endnoteReference w:id="8"/>
      </w:r>
      <w:r w:rsidRPr="00161861">
        <w:rPr>
          <w:rFonts w:cs="Arial"/>
          <w:sz w:val="22"/>
        </w:rPr>
        <w:t xml:space="preserve"> </w:t>
      </w:r>
    </w:p>
    <w:p w14:paraId="3BF85C49" w14:textId="546BD06A" w:rsidR="00233772" w:rsidRPr="00B45684" w:rsidRDefault="00233772" w:rsidP="004405B0">
      <w:pPr>
        <w:pStyle w:val="Heading3"/>
        <w:spacing w:before="240" w:after="240" w:line="264" w:lineRule="auto"/>
        <w:rPr>
          <w:rFonts w:cs="Arial"/>
        </w:rPr>
      </w:pPr>
      <w:bookmarkStart w:id="27" w:name="_Toc9328587"/>
      <w:bookmarkStart w:id="28" w:name="_Toc9328771"/>
      <w:r w:rsidRPr="00B45684">
        <w:rPr>
          <w:rFonts w:cs="Arial"/>
        </w:rPr>
        <w:t>‘Insight’ and the presence of positive symptoms</w:t>
      </w:r>
      <w:bookmarkEnd w:id="27"/>
      <w:bookmarkEnd w:id="28"/>
    </w:p>
    <w:p w14:paraId="57AC5227" w14:textId="094B5277" w:rsidR="00395955" w:rsidRPr="00161861" w:rsidRDefault="004C3151" w:rsidP="004405B0">
      <w:pPr>
        <w:pStyle w:val="ListParagraph"/>
        <w:spacing w:before="240" w:after="240" w:line="264" w:lineRule="auto"/>
        <w:jc w:val="both"/>
        <w:rPr>
          <w:rFonts w:cs="Arial"/>
          <w:sz w:val="22"/>
        </w:rPr>
      </w:pPr>
      <w:r w:rsidRPr="00161861">
        <w:rPr>
          <w:rFonts w:cs="Arial"/>
          <w:sz w:val="22"/>
        </w:rPr>
        <w:t xml:space="preserve">The presence of positive symptoms including delusions does not mean a person </w:t>
      </w:r>
      <w:r w:rsidR="00BE778A" w:rsidRPr="00161861">
        <w:rPr>
          <w:rFonts w:cs="Arial"/>
          <w:sz w:val="22"/>
        </w:rPr>
        <w:t xml:space="preserve">can be </w:t>
      </w:r>
      <w:r w:rsidRPr="00161861">
        <w:rPr>
          <w:rFonts w:cs="Arial"/>
          <w:sz w:val="22"/>
        </w:rPr>
        <w:t xml:space="preserve">automatically regarded as lacking capacity. </w:t>
      </w:r>
      <w:r w:rsidR="00590665" w:rsidRPr="00161861">
        <w:rPr>
          <w:rFonts w:cs="Arial"/>
          <w:sz w:val="22"/>
        </w:rPr>
        <w:t>Similarly, h</w:t>
      </w:r>
      <w:r w:rsidR="004E5D45" w:rsidRPr="00161861">
        <w:rPr>
          <w:rFonts w:cs="Arial"/>
          <w:sz w:val="22"/>
        </w:rPr>
        <w:t xml:space="preserve">aving insight, or demonstrating agreement, acceptance or appreciation of a diagnosis or of having mental illness is not required for a person to have capacity. </w:t>
      </w:r>
      <w:r w:rsidR="00BE778A" w:rsidRPr="00161861">
        <w:rPr>
          <w:rFonts w:cs="Arial"/>
          <w:sz w:val="22"/>
        </w:rPr>
        <w:t xml:space="preserve"> </w:t>
      </w:r>
      <w:r w:rsidR="00CF42A1" w:rsidRPr="00161861">
        <w:rPr>
          <w:rFonts w:cs="Arial"/>
          <w:sz w:val="22"/>
        </w:rPr>
        <w:t>The presence of symptoms and/or the absence of insight are factually relevant in an application for an ECT Order, but they are not the determinants of capacity.</w:t>
      </w:r>
      <w:r w:rsidR="00A951D7" w:rsidRPr="00161861">
        <w:rPr>
          <w:rStyle w:val="EndnoteReference"/>
          <w:rFonts w:cs="Arial"/>
          <w:sz w:val="22"/>
        </w:rPr>
        <w:endnoteReference w:id="9"/>
      </w:r>
      <w:r w:rsidR="00CF42A1" w:rsidRPr="00161861">
        <w:rPr>
          <w:rFonts w:cs="Arial"/>
          <w:sz w:val="22"/>
        </w:rPr>
        <w:t xml:space="preserve">  </w:t>
      </w:r>
    </w:p>
    <w:p w14:paraId="3DF41DAC" w14:textId="3FAB30A9" w:rsidR="00233772" w:rsidRDefault="00CF42A1" w:rsidP="004405B0">
      <w:pPr>
        <w:pStyle w:val="ListParagraph"/>
        <w:spacing w:before="240" w:after="240" w:line="264" w:lineRule="auto"/>
        <w:jc w:val="both"/>
        <w:rPr>
          <w:rFonts w:cs="Arial"/>
          <w:sz w:val="22"/>
        </w:rPr>
      </w:pPr>
      <w:r w:rsidRPr="00161861">
        <w:rPr>
          <w:rFonts w:cs="Arial"/>
          <w:sz w:val="22"/>
        </w:rPr>
        <w:t>In other words</w:t>
      </w:r>
      <w:r w:rsidR="00CA11CC" w:rsidRPr="00161861">
        <w:rPr>
          <w:rFonts w:cs="Arial"/>
          <w:sz w:val="22"/>
        </w:rPr>
        <w:t>,</w:t>
      </w:r>
      <w:r w:rsidRPr="00161861">
        <w:rPr>
          <w:rFonts w:cs="Arial"/>
          <w:sz w:val="22"/>
        </w:rPr>
        <w:t xml:space="preserve"> it is incorrect to decide a person does not have capacity to provide informed consent because the</w:t>
      </w:r>
      <w:r w:rsidR="00CA11CC" w:rsidRPr="00161861">
        <w:rPr>
          <w:rFonts w:cs="Arial"/>
          <w:sz w:val="22"/>
        </w:rPr>
        <w:t>y</w:t>
      </w:r>
      <w:r w:rsidR="00412917" w:rsidRPr="00161861">
        <w:rPr>
          <w:rFonts w:cs="Arial"/>
          <w:sz w:val="22"/>
        </w:rPr>
        <w:t xml:space="preserve"> exhibit delusional thinking,</w:t>
      </w:r>
      <w:r w:rsidRPr="00161861">
        <w:rPr>
          <w:rFonts w:cs="Arial"/>
          <w:sz w:val="22"/>
        </w:rPr>
        <w:t xml:space="preserve"> or do not think they have a mental illness.  However, if it is demonstrated that a person’s delusional beliefs are so intense or pervasive, or their lack of appreciation of their current situation </w:t>
      </w:r>
      <w:r w:rsidR="009816D8" w:rsidRPr="00161861">
        <w:rPr>
          <w:rFonts w:cs="Arial"/>
          <w:sz w:val="22"/>
        </w:rPr>
        <w:t xml:space="preserve">is </w:t>
      </w:r>
      <w:r w:rsidR="00106362" w:rsidRPr="00161861">
        <w:rPr>
          <w:rFonts w:cs="Arial"/>
          <w:sz w:val="22"/>
        </w:rPr>
        <w:t xml:space="preserve">such </w:t>
      </w:r>
      <w:r w:rsidRPr="00161861">
        <w:rPr>
          <w:rFonts w:cs="Arial"/>
          <w:sz w:val="22"/>
        </w:rPr>
        <w:t xml:space="preserve">that they are unable to use or weigh information relevant to the decision about </w:t>
      </w:r>
      <w:proofErr w:type="gramStart"/>
      <w:r w:rsidRPr="00161861">
        <w:rPr>
          <w:rFonts w:cs="Arial"/>
          <w:sz w:val="22"/>
        </w:rPr>
        <w:t>whether or not</w:t>
      </w:r>
      <w:proofErr w:type="gramEnd"/>
      <w:r w:rsidRPr="00161861">
        <w:rPr>
          <w:rFonts w:cs="Arial"/>
          <w:sz w:val="22"/>
        </w:rPr>
        <w:t xml:space="preserve"> to have ECT</w:t>
      </w:r>
      <w:r w:rsidR="00173413" w:rsidRPr="00161861">
        <w:rPr>
          <w:rFonts w:cs="Arial"/>
          <w:sz w:val="22"/>
        </w:rPr>
        <w:t>,</w:t>
      </w:r>
      <w:r w:rsidRPr="00161861">
        <w:rPr>
          <w:rFonts w:cs="Arial"/>
          <w:sz w:val="22"/>
        </w:rPr>
        <w:t xml:space="preserve"> that can support a conclusion that they do </w:t>
      </w:r>
      <w:r w:rsidRPr="00161861">
        <w:rPr>
          <w:rFonts w:cs="Arial"/>
          <w:i/>
          <w:sz w:val="22"/>
        </w:rPr>
        <w:t>not</w:t>
      </w:r>
      <w:r w:rsidRPr="00161861">
        <w:rPr>
          <w:rFonts w:cs="Arial"/>
          <w:sz w:val="22"/>
        </w:rPr>
        <w:t xml:space="preserve"> have capacity</w:t>
      </w:r>
      <w:r w:rsidR="009816D8" w:rsidRPr="00161861">
        <w:rPr>
          <w:rFonts w:cs="Arial"/>
          <w:sz w:val="22"/>
        </w:rPr>
        <w:t xml:space="preserve">. </w:t>
      </w:r>
      <w:r w:rsidRPr="00161861">
        <w:rPr>
          <w:rFonts w:cs="Arial"/>
          <w:sz w:val="22"/>
        </w:rPr>
        <w:t>According to the judgment</w:t>
      </w:r>
      <w:r w:rsidR="00FD10D9" w:rsidRPr="00161861">
        <w:rPr>
          <w:rFonts w:cs="Arial"/>
          <w:sz w:val="22"/>
        </w:rPr>
        <w:t xml:space="preserve"> </w:t>
      </w:r>
      <w:r w:rsidRPr="00161861">
        <w:rPr>
          <w:rFonts w:cs="Arial"/>
          <w:sz w:val="22"/>
        </w:rPr>
        <w:t>the capacity assessment needs to go into the relationship (if any) between the delusion and the ability to use or weigh the relevant information</w:t>
      </w:r>
      <w:r w:rsidR="009816D8" w:rsidRPr="00161861">
        <w:rPr>
          <w:rFonts w:cs="Arial"/>
          <w:sz w:val="22"/>
        </w:rPr>
        <w:t>.</w:t>
      </w:r>
      <w:r w:rsidR="00736821" w:rsidRPr="00161861">
        <w:rPr>
          <w:rStyle w:val="EndnoteReference"/>
          <w:rFonts w:cs="Arial"/>
          <w:sz w:val="22"/>
        </w:rPr>
        <w:endnoteReference w:id="10"/>
      </w:r>
    </w:p>
    <w:p w14:paraId="25769C56" w14:textId="77777777" w:rsidR="007576D7" w:rsidRPr="00161861" w:rsidRDefault="007576D7" w:rsidP="007576D7">
      <w:pPr>
        <w:pStyle w:val="ListParagraph"/>
        <w:numPr>
          <w:ilvl w:val="0"/>
          <w:numId w:val="0"/>
        </w:numPr>
        <w:spacing w:before="240" w:after="240" w:line="264" w:lineRule="auto"/>
        <w:ind w:left="709"/>
        <w:jc w:val="both"/>
        <w:rPr>
          <w:rFonts w:cs="Arial"/>
          <w:sz w:val="22"/>
        </w:rPr>
      </w:pPr>
    </w:p>
    <w:p w14:paraId="0FFBF029" w14:textId="4846E1D9" w:rsidR="00233772" w:rsidRPr="00161861" w:rsidRDefault="00233772" w:rsidP="004405B0">
      <w:pPr>
        <w:pBdr>
          <w:top w:val="single" w:sz="4" w:space="1" w:color="auto"/>
          <w:left w:val="single" w:sz="4" w:space="4" w:color="auto"/>
          <w:bottom w:val="single" w:sz="4" w:space="1" w:color="auto"/>
          <w:right w:val="single" w:sz="4" w:space="4" w:color="auto"/>
        </w:pBdr>
        <w:shd w:val="clear" w:color="auto" w:fill="D9D9D9" w:themeFill="background1" w:themeFillShade="D9"/>
        <w:spacing w:before="240" w:after="240" w:line="264" w:lineRule="auto"/>
        <w:jc w:val="both"/>
        <w:rPr>
          <w:rFonts w:cs="Arial"/>
          <w:b/>
        </w:rPr>
      </w:pPr>
      <w:r w:rsidRPr="00161861">
        <w:rPr>
          <w:rFonts w:cs="Arial"/>
          <w:b/>
        </w:rPr>
        <w:t>Example</w:t>
      </w:r>
    </w:p>
    <w:p w14:paraId="63A8295F" w14:textId="38D9A0D5" w:rsidR="00233772" w:rsidRPr="00161861" w:rsidRDefault="00233772" w:rsidP="004405B0">
      <w:pPr>
        <w:pBdr>
          <w:top w:val="single" w:sz="4" w:space="1" w:color="auto"/>
          <w:left w:val="single" w:sz="4" w:space="4" w:color="auto"/>
          <w:bottom w:val="single" w:sz="4" w:space="1" w:color="auto"/>
          <w:right w:val="single" w:sz="4" w:space="4" w:color="auto"/>
        </w:pBdr>
        <w:shd w:val="clear" w:color="auto" w:fill="D9D9D9" w:themeFill="background1" w:themeFillShade="D9"/>
        <w:spacing w:before="240" w:after="240" w:line="264" w:lineRule="auto"/>
        <w:jc w:val="both"/>
        <w:rPr>
          <w:rFonts w:cs="Arial"/>
        </w:rPr>
      </w:pPr>
      <w:r w:rsidRPr="00161861">
        <w:rPr>
          <w:rFonts w:cs="Arial"/>
        </w:rPr>
        <w:t>A person who says they wish to refuse ECT on the basis it will ‘fry their mind’ might have capacity if this seems to be slang or their shorthand description for memory loss rather than a delusional belief. However, if they believe ECT is used to transplant their consciousness into another person this may demonstrate that their symptoms are impairing their understanding of relevant information and their ability to use or weigh it.</w:t>
      </w:r>
    </w:p>
    <w:p w14:paraId="0C5EEB97" w14:textId="77777777" w:rsidR="00BD3247" w:rsidRPr="00B45684" w:rsidRDefault="00BD3247" w:rsidP="004405B0">
      <w:pPr>
        <w:pStyle w:val="Heading2"/>
        <w:rPr>
          <w:rFonts w:cs="Arial"/>
        </w:rPr>
      </w:pPr>
      <w:bookmarkStart w:id="29" w:name="_Toc9328588"/>
      <w:bookmarkStart w:id="30" w:name="_Toc9328772"/>
      <w:r w:rsidRPr="00B45684">
        <w:rPr>
          <w:rFonts w:cs="Arial"/>
        </w:rPr>
        <w:t>Fluctuating capacity</w:t>
      </w:r>
      <w:bookmarkEnd w:id="29"/>
      <w:bookmarkEnd w:id="30"/>
      <w:r w:rsidRPr="00B45684">
        <w:rPr>
          <w:rFonts w:cs="Arial"/>
        </w:rPr>
        <w:t xml:space="preserve"> </w:t>
      </w:r>
    </w:p>
    <w:p w14:paraId="40D4562A" w14:textId="11E8716D" w:rsidR="000E5E0D" w:rsidRPr="00161861" w:rsidRDefault="003D7B86" w:rsidP="004405B0">
      <w:pPr>
        <w:pStyle w:val="ListParagraph"/>
        <w:spacing w:before="240" w:after="240" w:line="264" w:lineRule="auto"/>
        <w:jc w:val="both"/>
        <w:rPr>
          <w:rFonts w:cs="Arial"/>
          <w:sz w:val="22"/>
        </w:rPr>
      </w:pPr>
      <w:r w:rsidRPr="00161861">
        <w:rPr>
          <w:rFonts w:cs="Arial"/>
          <w:sz w:val="22"/>
        </w:rPr>
        <w:t>Sometimes a person</w:t>
      </w:r>
      <w:r w:rsidR="000E5E0D" w:rsidRPr="00161861">
        <w:rPr>
          <w:rFonts w:cs="Arial"/>
          <w:sz w:val="22"/>
        </w:rPr>
        <w:t>’s capacity to give informed consent can fluctua</w:t>
      </w:r>
      <w:r w:rsidR="00FC453A" w:rsidRPr="00161861">
        <w:rPr>
          <w:rFonts w:cs="Arial"/>
          <w:sz w:val="22"/>
        </w:rPr>
        <w:t xml:space="preserve">te. This can </w:t>
      </w:r>
      <w:r w:rsidR="000E5E0D" w:rsidRPr="00161861">
        <w:rPr>
          <w:rFonts w:cs="Arial"/>
          <w:sz w:val="22"/>
        </w:rPr>
        <w:t>lead to unc</w:t>
      </w:r>
      <w:r w:rsidRPr="00161861">
        <w:rPr>
          <w:rFonts w:cs="Arial"/>
          <w:sz w:val="22"/>
        </w:rPr>
        <w:t>ertainty</w:t>
      </w:r>
      <w:r w:rsidR="003D2813" w:rsidRPr="00161861">
        <w:rPr>
          <w:rFonts w:cs="Arial"/>
          <w:sz w:val="22"/>
        </w:rPr>
        <w:t xml:space="preserve"> and complexity</w:t>
      </w:r>
      <w:r w:rsidRPr="00161861">
        <w:rPr>
          <w:rFonts w:cs="Arial"/>
          <w:sz w:val="22"/>
        </w:rPr>
        <w:t xml:space="preserve"> about whether </w:t>
      </w:r>
      <w:r w:rsidR="003D2813" w:rsidRPr="00161861">
        <w:rPr>
          <w:rFonts w:cs="Arial"/>
          <w:sz w:val="22"/>
        </w:rPr>
        <w:t>the first criterion for an ECT Order is satisfied</w:t>
      </w:r>
      <w:r w:rsidR="00973344" w:rsidRPr="00161861">
        <w:rPr>
          <w:rFonts w:cs="Arial"/>
          <w:sz w:val="22"/>
        </w:rPr>
        <w:t>.</w:t>
      </w:r>
      <w:r w:rsidR="000E5E0D" w:rsidRPr="00161861">
        <w:rPr>
          <w:rFonts w:cs="Arial"/>
          <w:sz w:val="22"/>
        </w:rPr>
        <w:t xml:space="preserve"> </w:t>
      </w:r>
    </w:p>
    <w:p w14:paraId="3CA58F87" w14:textId="5BAB83B3" w:rsidR="000E5E0D" w:rsidRPr="00161861" w:rsidRDefault="000E5E0D" w:rsidP="004405B0">
      <w:pPr>
        <w:pStyle w:val="ListParagraph"/>
        <w:spacing w:before="240" w:after="240" w:line="264" w:lineRule="auto"/>
        <w:jc w:val="both"/>
        <w:rPr>
          <w:rFonts w:cs="Arial"/>
          <w:sz w:val="22"/>
        </w:rPr>
      </w:pPr>
      <w:r w:rsidRPr="00161861">
        <w:rPr>
          <w:rFonts w:cs="Arial"/>
          <w:sz w:val="22"/>
        </w:rPr>
        <w:t xml:space="preserve">The Supreme Court has </w:t>
      </w:r>
      <w:r w:rsidR="008E746D" w:rsidRPr="00161861">
        <w:rPr>
          <w:rFonts w:cs="Arial"/>
          <w:sz w:val="22"/>
        </w:rPr>
        <w:t>stated</w:t>
      </w:r>
      <w:r w:rsidRPr="00161861">
        <w:rPr>
          <w:rFonts w:cs="Arial"/>
          <w:sz w:val="22"/>
        </w:rPr>
        <w:t xml:space="preserve"> that</w:t>
      </w:r>
      <w:r w:rsidR="00D46612" w:rsidRPr="00161861">
        <w:rPr>
          <w:rFonts w:cs="Arial"/>
          <w:sz w:val="22"/>
        </w:rPr>
        <w:t xml:space="preserve"> a person’s capacity ‘may fluctuate in response to variations in the person’s health and circumstances’ and that a person may be capable of making a decision at </w:t>
      </w:r>
      <w:proofErr w:type="gramStart"/>
      <w:r w:rsidR="00D46612" w:rsidRPr="00161861">
        <w:rPr>
          <w:rFonts w:cs="Arial"/>
          <w:sz w:val="22"/>
        </w:rPr>
        <w:t>some times</w:t>
      </w:r>
      <w:proofErr w:type="gramEnd"/>
      <w:r w:rsidR="00D46612" w:rsidRPr="00161861">
        <w:rPr>
          <w:rFonts w:cs="Arial"/>
          <w:sz w:val="22"/>
        </w:rPr>
        <w:t xml:space="preserve"> or in certain circumstances but not in others.</w:t>
      </w:r>
      <w:r w:rsidRPr="00161861">
        <w:rPr>
          <w:rStyle w:val="EndnoteReference"/>
          <w:rFonts w:cs="Arial"/>
          <w:sz w:val="22"/>
        </w:rPr>
        <w:endnoteReference w:id="11"/>
      </w:r>
    </w:p>
    <w:p w14:paraId="50A56724" w14:textId="4CF780DF" w:rsidR="00D155FE" w:rsidRPr="00161861" w:rsidRDefault="00D20C64" w:rsidP="004405B0">
      <w:pPr>
        <w:pStyle w:val="ListParagraph"/>
        <w:spacing w:before="240" w:after="240" w:line="264" w:lineRule="auto"/>
        <w:jc w:val="both"/>
        <w:rPr>
          <w:rFonts w:cs="Arial"/>
          <w:sz w:val="22"/>
        </w:rPr>
      </w:pPr>
      <w:r w:rsidRPr="00161861">
        <w:rPr>
          <w:rFonts w:cs="Arial"/>
          <w:sz w:val="22"/>
        </w:rPr>
        <w:t>T</w:t>
      </w:r>
      <w:r w:rsidR="00637DBC" w:rsidRPr="00161861">
        <w:rPr>
          <w:rFonts w:cs="Arial"/>
          <w:sz w:val="22"/>
        </w:rPr>
        <w:t xml:space="preserve">he Tribunal must determine whether the patient has capacity to give informed consent </w:t>
      </w:r>
      <w:r w:rsidR="00637DBC" w:rsidRPr="00161861">
        <w:rPr>
          <w:rFonts w:cs="Arial"/>
          <w:i/>
          <w:sz w:val="22"/>
        </w:rPr>
        <w:t>at the time of the hearing.</w:t>
      </w:r>
      <w:r w:rsidR="009C1FBF" w:rsidRPr="00161861">
        <w:rPr>
          <w:rFonts w:cs="Arial"/>
          <w:i/>
          <w:sz w:val="22"/>
        </w:rPr>
        <w:t xml:space="preserve"> </w:t>
      </w:r>
      <w:r w:rsidR="005F60F9" w:rsidRPr="00161861">
        <w:rPr>
          <w:rFonts w:cs="Arial"/>
          <w:sz w:val="22"/>
        </w:rPr>
        <w:t xml:space="preserve">As noted </w:t>
      </w:r>
      <w:r w:rsidR="003558EE" w:rsidRPr="00161861">
        <w:rPr>
          <w:rFonts w:cs="Arial"/>
          <w:sz w:val="22"/>
        </w:rPr>
        <w:t>in the Appendix</w:t>
      </w:r>
      <w:r w:rsidR="005F60F9" w:rsidRPr="00161861">
        <w:rPr>
          <w:rFonts w:cs="Arial"/>
          <w:sz w:val="22"/>
        </w:rPr>
        <w:t>, s</w:t>
      </w:r>
      <w:r w:rsidR="00637DBC" w:rsidRPr="00161861">
        <w:rPr>
          <w:rFonts w:cs="Arial"/>
          <w:sz w:val="22"/>
        </w:rPr>
        <w:t xml:space="preserve">ection 68(2)(b) provides that in assessing whether a person has capacity to give informed consent, the Tribunal should </w:t>
      </w:r>
      <w:proofErr w:type="gramStart"/>
      <w:r w:rsidR="00637DBC" w:rsidRPr="00161861">
        <w:rPr>
          <w:rFonts w:cs="Arial"/>
          <w:sz w:val="22"/>
        </w:rPr>
        <w:t>take into account</w:t>
      </w:r>
      <w:proofErr w:type="gramEnd"/>
      <w:r w:rsidR="00637DBC" w:rsidRPr="00161861">
        <w:rPr>
          <w:rFonts w:cs="Arial"/>
          <w:sz w:val="22"/>
        </w:rPr>
        <w:t xml:space="preserve"> that a person’s capacity to give informed consent may change over time. However, this does not require the Tribunal to make predictions about whether a person may </w:t>
      </w:r>
      <w:r w:rsidR="00694F9C" w:rsidRPr="00161861">
        <w:rPr>
          <w:rFonts w:cs="Arial"/>
          <w:sz w:val="22"/>
        </w:rPr>
        <w:t xml:space="preserve">or may not </w:t>
      </w:r>
      <w:r w:rsidR="00637DBC" w:rsidRPr="00161861">
        <w:rPr>
          <w:rFonts w:cs="Arial"/>
          <w:sz w:val="22"/>
        </w:rPr>
        <w:t xml:space="preserve">have capacity in </w:t>
      </w:r>
      <w:r w:rsidR="00694F9C" w:rsidRPr="00161861">
        <w:rPr>
          <w:rFonts w:cs="Arial"/>
          <w:sz w:val="22"/>
        </w:rPr>
        <w:t xml:space="preserve">the </w:t>
      </w:r>
      <w:r w:rsidR="00637DBC" w:rsidRPr="00161861">
        <w:rPr>
          <w:rFonts w:cs="Arial"/>
          <w:sz w:val="22"/>
        </w:rPr>
        <w:t>future</w:t>
      </w:r>
      <w:r w:rsidR="00B478AE" w:rsidRPr="00161861">
        <w:rPr>
          <w:rFonts w:cs="Arial"/>
          <w:sz w:val="22"/>
        </w:rPr>
        <w:t xml:space="preserve">. </w:t>
      </w:r>
    </w:p>
    <w:p w14:paraId="1CCC1E22" w14:textId="5BDB3B14" w:rsidR="009C1FBF" w:rsidRPr="00161861" w:rsidRDefault="00637DBC" w:rsidP="004405B0">
      <w:pPr>
        <w:pStyle w:val="ListParagraph"/>
        <w:spacing w:before="240" w:after="240" w:line="264" w:lineRule="auto"/>
        <w:jc w:val="both"/>
        <w:rPr>
          <w:rFonts w:cs="Arial"/>
          <w:sz w:val="22"/>
        </w:rPr>
      </w:pPr>
      <w:r w:rsidRPr="00161861">
        <w:rPr>
          <w:rFonts w:cs="Arial"/>
          <w:sz w:val="22"/>
        </w:rPr>
        <w:t>Instead, the principle in section 68(2)(b) is reflected in the</w:t>
      </w:r>
      <w:r w:rsidR="005F60F9" w:rsidRPr="00161861">
        <w:rPr>
          <w:rFonts w:cs="Arial"/>
          <w:sz w:val="22"/>
        </w:rPr>
        <w:t xml:space="preserve"> explicit</w:t>
      </w:r>
      <w:r w:rsidRPr="00161861">
        <w:rPr>
          <w:rFonts w:cs="Arial"/>
          <w:sz w:val="22"/>
        </w:rPr>
        <w:t xml:space="preserve"> recognition in the Act that a person may subseq</w:t>
      </w:r>
      <w:r w:rsidR="005F60F9" w:rsidRPr="00161861">
        <w:rPr>
          <w:rFonts w:cs="Arial"/>
          <w:sz w:val="22"/>
        </w:rPr>
        <w:t>uentl</w:t>
      </w:r>
      <w:r w:rsidR="009C1FBF" w:rsidRPr="00161861">
        <w:rPr>
          <w:rFonts w:cs="Arial"/>
          <w:sz w:val="22"/>
        </w:rPr>
        <w:t>y develop capacity</w:t>
      </w:r>
      <w:r w:rsidR="005F60F9" w:rsidRPr="00161861">
        <w:rPr>
          <w:rFonts w:cs="Arial"/>
          <w:sz w:val="22"/>
        </w:rPr>
        <w:t xml:space="preserve">. </w:t>
      </w:r>
      <w:r w:rsidRPr="00161861">
        <w:rPr>
          <w:rFonts w:cs="Arial"/>
          <w:sz w:val="22"/>
        </w:rPr>
        <w:t>In such cases any ECT treatment authorised by the Tribunal must stop</w:t>
      </w:r>
      <w:r w:rsidR="00106362" w:rsidRPr="00161861">
        <w:rPr>
          <w:rFonts w:cs="Arial"/>
          <w:sz w:val="22"/>
        </w:rPr>
        <w:t xml:space="preserve"> and the person can</w:t>
      </w:r>
      <w:r w:rsidR="000072E4" w:rsidRPr="00161861">
        <w:rPr>
          <w:rFonts w:cs="Arial"/>
          <w:sz w:val="22"/>
        </w:rPr>
        <w:t xml:space="preserve"> choose whether to</w:t>
      </w:r>
      <w:r w:rsidR="00106362" w:rsidRPr="00161861">
        <w:rPr>
          <w:rFonts w:cs="Arial"/>
          <w:sz w:val="22"/>
        </w:rPr>
        <w:t xml:space="preserve"> consent to ECT</w:t>
      </w:r>
      <w:r w:rsidRPr="00161861">
        <w:rPr>
          <w:rFonts w:cs="Arial"/>
          <w:sz w:val="22"/>
        </w:rPr>
        <w:t xml:space="preserve">. The Tribunal may also </w:t>
      </w:r>
      <w:r w:rsidR="0081157E" w:rsidRPr="00161861">
        <w:rPr>
          <w:rFonts w:cs="Arial"/>
          <w:sz w:val="22"/>
        </w:rPr>
        <w:t>follow</w:t>
      </w:r>
      <w:r w:rsidRPr="00161861">
        <w:rPr>
          <w:rFonts w:cs="Arial"/>
          <w:sz w:val="22"/>
        </w:rPr>
        <w:t xml:space="preserve"> the principle in section 68(2)(b) by </w:t>
      </w:r>
      <w:proofErr w:type="gramStart"/>
      <w:r w:rsidRPr="00161861">
        <w:rPr>
          <w:rFonts w:cs="Arial"/>
          <w:sz w:val="22"/>
        </w:rPr>
        <w:t>taking into account</w:t>
      </w:r>
      <w:proofErr w:type="gramEnd"/>
      <w:r w:rsidRPr="00161861">
        <w:rPr>
          <w:rFonts w:cs="Arial"/>
          <w:sz w:val="22"/>
        </w:rPr>
        <w:t xml:space="preserve"> a person’s history when making an assessment of the person’s capacity. </w:t>
      </w:r>
      <w:r w:rsidR="0061399D" w:rsidRPr="00161861">
        <w:rPr>
          <w:rFonts w:cs="Arial"/>
          <w:sz w:val="22"/>
        </w:rPr>
        <w:t>A person’s history (for example, of being able to understand information even when it may initially appear they do not) may be relevant to the Tribunal’s determination.</w:t>
      </w:r>
    </w:p>
    <w:p w14:paraId="203F6D84" w14:textId="5436F620" w:rsidR="008C5375" w:rsidRPr="00B45684" w:rsidRDefault="008C5375" w:rsidP="004405B0">
      <w:pPr>
        <w:pStyle w:val="Heading3"/>
        <w:spacing w:before="240" w:after="240" w:line="264" w:lineRule="auto"/>
        <w:rPr>
          <w:rFonts w:cs="Arial"/>
        </w:rPr>
      </w:pPr>
      <w:bookmarkStart w:id="31" w:name="_Toc9328589"/>
      <w:bookmarkStart w:id="32" w:name="_Toc9328773"/>
      <w:r w:rsidRPr="00B45684">
        <w:rPr>
          <w:rFonts w:cs="Arial"/>
        </w:rPr>
        <w:t>Fluctuating capacity and changing one’s mind</w:t>
      </w:r>
      <w:bookmarkEnd w:id="31"/>
      <w:bookmarkEnd w:id="32"/>
    </w:p>
    <w:p w14:paraId="3C591BC6" w14:textId="29A74DFD" w:rsidR="008C5375" w:rsidRPr="00161861" w:rsidRDefault="003D2813" w:rsidP="004405B0">
      <w:pPr>
        <w:pStyle w:val="ListParagraph"/>
        <w:spacing w:before="240" w:after="240" w:line="264" w:lineRule="auto"/>
        <w:jc w:val="both"/>
        <w:rPr>
          <w:rFonts w:cs="Arial"/>
          <w:sz w:val="22"/>
        </w:rPr>
      </w:pPr>
      <w:r w:rsidRPr="00161861">
        <w:rPr>
          <w:rFonts w:cs="Arial"/>
          <w:sz w:val="22"/>
        </w:rPr>
        <w:t>A</w:t>
      </w:r>
      <w:r w:rsidR="008C5375" w:rsidRPr="00161861">
        <w:rPr>
          <w:rFonts w:cs="Arial"/>
          <w:sz w:val="22"/>
        </w:rPr>
        <w:t xml:space="preserve"> person changing their mind</w:t>
      </w:r>
      <w:r w:rsidR="007D5130" w:rsidRPr="00161861">
        <w:rPr>
          <w:rFonts w:cs="Arial"/>
          <w:sz w:val="22"/>
        </w:rPr>
        <w:t>, even when they do so multiple times,</w:t>
      </w:r>
      <w:r w:rsidR="008C5375" w:rsidRPr="00161861">
        <w:rPr>
          <w:rFonts w:cs="Arial"/>
          <w:sz w:val="22"/>
        </w:rPr>
        <w:t xml:space="preserve"> </w:t>
      </w:r>
      <w:r w:rsidRPr="00161861">
        <w:rPr>
          <w:rFonts w:cs="Arial"/>
          <w:sz w:val="22"/>
        </w:rPr>
        <w:t>must</w:t>
      </w:r>
      <w:r w:rsidR="008C5375" w:rsidRPr="00161861">
        <w:rPr>
          <w:rFonts w:cs="Arial"/>
          <w:sz w:val="22"/>
        </w:rPr>
        <w:t xml:space="preserve"> not automatically</w:t>
      </w:r>
      <w:r w:rsidRPr="00161861">
        <w:rPr>
          <w:rFonts w:cs="Arial"/>
          <w:sz w:val="22"/>
        </w:rPr>
        <w:t xml:space="preserve"> be</w:t>
      </w:r>
      <w:r w:rsidR="008C5375" w:rsidRPr="00161861">
        <w:rPr>
          <w:rFonts w:cs="Arial"/>
          <w:sz w:val="22"/>
        </w:rPr>
        <w:t xml:space="preserve"> regarded as lacking capacity – the two things are distinct.  People with capacity </w:t>
      </w:r>
      <w:r w:rsidR="00253ECE" w:rsidRPr="00161861">
        <w:rPr>
          <w:rFonts w:cs="Arial"/>
          <w:sz w:val="22"/>
        </w:rPr>
        <w:t xml:space="preserve">do </w:t>
      </w:r>
      <w:r w:rsidR="008C5375" w:rsidRPr="00161861">
        <w:rPr>
          <w:rFonts w:cs="Arial"/>
          <w:sz w:val="22"/>
        </w:rPr>
        <w:t>change their mind – and</w:t>
      </w:r>
      <w:r w:rsidR="007D5130" w:rsidRPr="00161861">
        <w:rPr>
          <w:rFonts w:cs="Arial"/>
          <w:sz w:val="22"/>
        </w:rPr>
        <w:t xml:space="preserve"> in some cases</w:t>
      </w:r>
      <w:r w:rsidR="008C5375" w:rsidRPr="00161861">
        <w:rPr>
          <w:rFonts w:cs="Arial"/>
          <w:sz w:val="22"/>
        </w:rPr>
        <w:t xml:space="preserve"> this can in fact </w:t>
      </w:r>
      <w:r w:rsidR="0092613F" w:rsidRPr="00161861">
        <w:rPr>
          <w:rFonts w:cs="Arial"/>
          <w:sz w:val="22"/>
        </w:rPr>
        <w:t>demonstrate</w:t>
      </w:r>
      <w:r w:rsidR="008C5375" w:rsidRPr="00161861">
        <w:rPr>
          <w:rFonts w:cs="Arial"/>
          <w:sz w:val="22"/>
        </w:rPr>
        <w:t xml:space="preserve"> that they are using or weighing relevant information. </w:t>
      </w:r>
      <w:r w:rsidR="00173413" w:rsidRPr="00161861">
        <w:rPr>
          <w:rFonts w:cs="Arial"/>
          <w:sz w:val="22"/>
        </w:rPr>
        <w:t>The</w:t>
      </w:r>
      <w:r w:rsidR="00253ECE" w:rsidRPr="00161861">
        <w:rPr>
          <w:rFonts w:cs="Arial"/>
          <w:sz w:val="22"/>
        </w:rPr>
        <w:t xml:space="preserve"> direction</w:t>
      </w:r>
      <w:r w:rsidR="00173413" w:rsidRPr="00161861">
        <w:rPr>
          <w:rFonts w:cs="Arial"/>
          <w:sz w:val="22"/>
        </w:rPr>
        <w:t xml:space="preserve"> in PBU &amp; NJE</w:t>
      </w:r>
      <w:r w:rsidR="00253ECE" w:rsidRPr="00161861">
        <w:rPr>
          <w:rFonts w:cs="Arial"/>
          <w:sz w:val="22"/>
        </w:rPr>
        <w:t xml:space="preserve"> that capacity is not determined according to the content of a decision is also highly relevant</w:t>
      </w:r>
      <w:r w:rsidR="007D5130" w:rsidRPr="00161861">
        <w:rPr>
          <w:rFonts w:cs="Arial"/>
          <w:sz w:val="22"/>
        </w:rPr>
        <w:t>.  W</w:t>
      </w:r>
      <w:r w:rsidR="00253ECE" w:rsidRPr="00161861">
        <w:rPr>
          <w:rFonts w:cs="Arial"/>
          <w:sz w:val="22"/>
        </w:rPr>
        <w:t>hen a person changes their mind</w:t>
      </w:r>
      <w:r w:rsidR="00173413" w:rsidRPr="00161861">
        <w:rPr>
          <w:rFonts w:cs="Arial"/>
          <w:sz w:val="22"/>
        </w:rPr>
        <w:t>,</w:t>
      </w:r>
      <w:r w:rsidR="00253ECE" w:rsidRPr="00161861">
        <w:rPr>
          <w:rFonts w:cs="Arial"/>
          <w:sz w:val="22"/>
        </w:rPr>
        <w:t xml:space="preserve"> </w:t>
      </w:r>
      <w:r w:rsidR="0092613F" w:rsidRPr="00161861">
        <w:rPr>
          <w:rFonts w:cs="Arial"/>
          <w:sz w:val="22"/>
        </w:rPr>
        <w:t>treat</w:t>
      </w:r>
      <w:r w:rsidR="00253ECE" w:rsidRPr="00161861">
        <w:rPr>
          <w:rFonts w:cs="Arial"/>
          <w:sz w:val="22"/>
        </w:rPr>
        <w:t xml:space="preserve">ing their initial or subsequent </w:t>
      </w:r>
      <w:r w:rsidRPr="00161861">
        <w:rPr>
          <w:rFonts w:cs="Arial"/>
          <w:sz w:val="22"/>
        </w:rPr>
        <w:t>position</w:t>
      </w:r>
      <w:r w:rsidR="007D5130" w:rsidRPr="00161861">
        <w:rPr>
          <w:rFonts w:cs="Arial"/>
          <w:sz w:val="22"/>
        </w:rPr>
        <w:t xml:space="preserve"> </w:t>
      </w:r>
      <w:r w:rsidRPr="00161861">
        <w:rPr>
          <w:rFonts w:cs="Arial"/>
          <w:sz w:val="22"/>
        </w:rPr>
        <w:t>as</w:t>
      </w:r>
      <w:r w:rsidR="007D5130" w:rsidRPr="00161861">
        <w:rPr>
          <w:rFonts w:cs="Arial"/>
          <w:sz w:val="22"/>
        </w:rPr>
        <w:t xml:space="preserve"> the</w:t>
      </w:r>
      <w:r w:rsidRPr="00161861">
        <w:rPr>
          <w:rFonts w:cs="Arial"/>
          <w:sz w:val="22"/>
        </w:rPr>
        <w:t xml:space="preserve"> </w:t>
      </w:r>
      <w:r w:rsidR="00253ECE" w:rsidRPr="00161861">
        <w:rPr>
          <w:rFonts w:cs="Arial"/>
          <w:sz w:val="22"/>
        </w:rPr>
        <w:t>capacity</w:t>
      </w:r>
      <w:r w:rsidR="00844123" w:rsidRPr="00161861">
        <w:rPr>
          <w:rFonts w:cs="Arial"/>
          <w:sz w:val="22"/>
        </w:rPr>
        <w:t>-</w:t>
      </w:r>
      <w:r w:rsidR="00253ECE" w:rsidRPr="00161861">
        <w:rPr>
          <w:rFonts w:cs="Arial"/>
          <w:sz w:val="22"/>
        </w:rPr>
        <w:t>based</w:t>
      </w:r>
      <w:r w:rsidRPr="00161861">
        <w:rPr>
          <w:rFonts w:cs="Arial"/>
          <w:sz w:val="22"/>
        </w:rPr>
        <w:t xml:space="preserve"> decision</w:t>
      </w:r>
      <w:r w:rsidR="007D5130" w:rsidRPr="00161861">
        <w:rPr>
          <w:rFonts w:cs="Arial"/>
          <w:sz w:val="22"/>
        </w:rPr>
        <w:t xml:space="preserve"> risks</w:t>
      </w:r>
      <w:r w:rsidR="0092613F" w:rsidRPr="00161861">
        <w:rPr>
          <w:rFonts w:cs="Arial"/>
          <w:sz w:val="22"/>
        </w:rPr>
        <w:t xml:space="preserve"> preferring or</w:t>
      </w:r>
      <w:r w:rsidR="007D5130" w:rsidRPr="00161861">
        <w:rPr>
          <w:rFonts w:cs="Arial"/>
          <w:sz w:val="22"/>
        </w:rPr>
        <w:t xml:space="preserve"> judging one decision as right and the other </w:t>
      </w:r>
      <w:r w:rsidR="00173413" w:rsidRPr="00161861">
        <w:rPr>
          <w:rFonts w:cs="Arial"/>
          <w:sz w:val="22"/>
        </w:rPr>
        <w:t xml:space="preserve">as </w:t>
      </w:r>
      <w:r w:rsidR="007D5130" w:rsidRPr="00161861">
        <w:rPr>
          <w:rFonts w:cs="Arial"/>
          <w:sz w:val="22"/>
        </w:rPr>
        <w:t>wrong.</w:t>
      </w:r>
    </w:p>
    <w:p w14:paraId="02E7E260" w14:textId="09FFB0DB" w:rsidR="002B1691" w:rsidRPr="00161861" w:rsidRDefault="001F1C7B" w:rsidP="004405B0">
      <w:pPr>
        <w:pStyle w:val="ListParagraph"/>
        <w:spacing w:before="240" w:after="240" w:line="264" w:lineRule="auto"/>
        <w:jc w:val="both"/>
        <w:rPr>
          <w:rFonts w:cs="Arial"/>
          <w:sz w:val="22"/>
        </w:rPr>
      </w:pPr>
      <w:r w:rsidRPr="00161861">
        <w:rPr>
          <w:rFonts w:cs="Arial"/>
          <w:sz w:val="22"/>
        </w:rPr>
        <w:t>As with the presence of positive symptoms or absence of insight,</w:t>
      </w:r>
      <w:r w:rsidR="0061206C" w:rsidRPr="00161861">
        <w:rPr>
          <w:rFonts w:cs="Arial"/>
          <w:sz w:val="22"/>
        </w:rPr>
        <w:t xml:space="preserve"> the fact</w:t>
      </w:r>
      <w:r w:rsidRPr="00161861">
        <w:rPr>
          <w:rFonts w:cs="Arial"/>
          <w:sz w:val="22"/>
        </w:rPr>
        <w:t xml:space="preserve"> that a person may </w:t>
      </w:r>
      <w:r w:rsidR="007D5130" w:rsidRPr="00161861">
        <w:rPr>
          <w:rFonts w:cs="Arial"/>
          <w:sz w:val="22"/>
        </w:rPr>
        <w:t>frequentl</w:t>
      </w:r>
      <w:r w:rsidRPr="00161861">
        <w:rPr>
          <w:rFonts w:cs="Arial"/>
          <w:sz w:val="22"/>
        </w:rPr>
        <w:t>y chang</w:t>
      </w:r>
      <w:r w:rsidR="00AF55EA" w:rsidRPr="00161861">
        <w:rPr>
          <w:rFonts w:cs="Arial"/>
          <w:sz w:val="22"/>
        </w:rPr>
        <w:t>e</w:t>
      </w:r>
      <w:r w:rsidRPr="00161861">
        <w:rPr>
          <w:rFonts w:cs="Arial"/>
          <w:sz w:val="22"/>
        </w:rPr>
        <w:t xml:space="preserve"> their mind is not by itself determinative of whether they have capacity</w:t>
      </w:r>
      <w:r w:rsidR="007D5130" w:rsidRPr="00161861">
        <w:rPr>
          <w:rFonts w:cs="Arial"/>
          <w:sz w:val="22"/>
        </w:rPr>
        <w:t>.  However</w:t>
      </w:r>
      <w:r w:rsidR="00844123" w:rsidRPr="00161861">
        <w:rPr>
          <w:rFonts w:cs="Arial"/>
          <w:sz w:val="22"/>
        </w:rPr>
        <w:t>,</w:t>
      </w:r>
      <w:r w:rsidR="007D5130" w:rsidRPr="00161861">
        <w:rPr>
          <w:rFonts w:cs="Arial"/>
          <w:sz w:val="22"/>
        </w:rPr>
        <w:t xml:space="preserve"> it can be </w:t>
      </w:r>
      <w:r w:rsidRPr="00161861">
        <w:rPr>
          <w:rFonts w:cs="Arial"/>
          <w:sz w:val="22"/>
        </w:rPr>
        <w:t xml:space="preserve">a relevant factual consideration.  The question is whether frequent changes of mind are indicative of a mental state </w:t>
      </w:r>
      <w:r w:rsidR="0092613F" w:rsidRPr="00161861">
        <w:rPr>
          <w:rFonts w:cs="Arial"/>
          <w:sz w:val="22"/>
        </w:rPr>
        <w:t>where</w:t>
      </w:r>
      <w:r w:rsidRPr="00161861">
        <w:rPr>
          <w:rFonts w:cs="Arial"/>
          <w:sz w:val="22"/>
        </w:rPr>
        <w:t xml:space="preserve"> one or more of the domains of capacity</w:t>
      </w:r>
      <w:r w:rsidR="0092613F" w:rsidRPr="00161861">
        <w:rPr>
          <w:rFonts w:cs="Arial"/>
          <w:sz w:val="22"/>
        </w:rPr>
        <w:t xml:space="preserve"> is impaired</w:t>
      </w:r>
      <w:r w:rsidRPr="00161861">
        <w:rPr>
          <w:rFonts w:cs="Arial"/>
          <w:sz w:val="22"/>
        </w:rPr>
        <w:t>.</w:t>
      </w:r>
    </w:p>
    <w:p w14:paraId="457638C6" w14:textId="5EAF3D42" w:rsidR="004B1716" w:rsidRPr="00B45684" w:rsidRDefault="004B1716" w:rsidP="004405B0">
      <w:pPr>
        <w:pStyle w:val="Heading3"/>
        <w:spacing w:before="240" w:after="240" w:line="264" w:lineRule="auto"/>
        <w:rPr>
          <w:rFonts w:cs="Arial"/>
        </w:rPr>
      </w:pPr>
      <w:bookmarkStart w:id="33" w:name="_Toc9328590"/>
      <w:bookmarkStart w:id="34" w:name="_Toc9328774"/>
      <w:r w:rsidRPr="00B45684">
        <w:rPr>
          <w:rFonts w:cs="Arial"/>
        </w:rPr>
        <w:t>Fluctuating capacity</w:t>
      </w:r>
      <w:r w:rsidR="00BD3247" w:rsidRPr="00B45684">
        <w:rPr>
          <w:rFonts w:cs="Arial"/>
        </w:rPr>
        <w:t xml:space="preserve"> over the course of </w:t>
      </w:r>
      <w:r w:rsidRPr="00B45684">
        <w:rPr>
          <w:rFonts w:cs="Arial"/>
        </w:rPr>
        <w:t>an ECT Order</w:t>
      </w:r>
      <w:bookmarkEnd w:id="33"/>
      <w:bookmarkEnd w:id="34"/>
    </w:p>
    <w:p w14:paraId="6382ED05" w14:textId="05EBCC04" w:rsidR="000010C6" w:rsidRPr="00161861" w:rsidRDefault="004B1716" w:rsidP="004405B0">
      <w:pPr>
        <w:pStyle w:val="ListParagraph"/>
        <w:spacing w:before="240" w:after="240" w:line="264" w:lineRule="auto"/>
        <w:jc w:val="both"/>
        <w:rPr>
          <w:rFonts w:cs="Arial"/>
          <w:sz w:val="22"/>
        </w:rPr>
      </w:pPr>
      <w:r w:rsidRPr="00161861">
        <w:rPr>
          <w:rFonts w:cs="Arial"/>
          <w:sz w:val="22"/>
        </w:rPr>
        <w:t>Sometimes</w:t>
      </w:r>
      <w:r w:rsidR="009C1FBF" w:rsidRPr="00161861">
        <w:rPr>
          <w:rFonts w:cs="Arial"/>
          <w:sz w:val="22"/>
        </w:rPr>
        <w:t>,</w:t>
      </w:r>
      <w:r w:rsidRPr="00161861">
        <w:rPr>
          <w:rFonts w:cs="Arial"/>
          <w:sz w:val="22"/>
        </w:rPr>
        <w:t xml:space="preserve"> following a Tribunal hearing at which the Tribunal makes an ECT Order, the</w:t>
      </w:r>
      <w:r w:rsidR="00BD3247" w:rsidRPr="00161861">
        <w:rPr>
          <w:rFonts w:cs="Arial"/>
          <w:sz w:val="22"/>
        </w:rPr>
        <w:t xml:space="preserve"> patient’s capacity fluctuates. They may develop capacity and refuse to consent to ECT </w:t>
      </w:r>
      <w:r w:rsidR="00F229E6" w:rsidRPr="00161861">
        <w:rPr>
          <w:rFonts w:cs="Arial"/>
          <w:sz w:val="22"/>
        </w:rPr>
        <w:t xml:space="preserve">at that time, </w:t>
      </w:r>
      <w:r w:rsidR="00BD3247" w:rsidRPr="00161861">
        <w:rPr>
          <w:rFonts w:cs="Arial"/>
          <w:sz w:val="22"/>
        </w:rPr>
        <w:t xml:space="preserve">but later they may </w:t>
      </w:r>
      <w:r w:rsidR="003D7B86" w:rsidRPr="00161861">
        <w:rPr>
          <w:rFonts w:cs="Arial"/>
          <w:sz w:val="22"/>
        </w:rPr>
        <w:t xml:space="preserve">again </w:t>
      </w:r>
      <w:r w:rsidR="00BD3247" w:rsidRPr="00161861">
        <w:rPr>
          <w:rFonts w:cs="Arial"/>
          <w:sz w:val="22"/>
        </w:rPr>
        <w:t xml:space="preserve">lose the capacity to give informed consent to ECT. </w:t>
      </w:r>
      <w:r w:rsidR="007D5130" w:rsidRPr="00161861">
        <w:rPr>
          <w:rFonts w:cs="Arial"/>
          <w:sz w:val="22"/>
        </w:rPr>
        <w:t xml:space="preserve">The Tribunal is sometimes asked </w:t>
      </w:r>
      <w:r w:rsidR="00F229E6" w:rsidRPr="00161861">
        <w:rPr>
          <w:rFonts w:cs="Arial"/>
          <w:sz w:val="22"/>
        </w:rPr>
        <w:t xml:space="preserve">whether </w:t>
      </w:r>
      <w:r w:rsidRPr="00161861">
        <w:rPr>
          <w:rFonts w:cs="Arial"/>
          <w:sz w:val="22"/>
        </w:rPr>
        <w:t>the a</w:t>
      </w:r>
      <w:r w:rsidR="00C35652" w:rsidRPr="00161861">
        <w:rPr>
          <w:rFonts w:cs="Arial"/>
          <w:sz w:val="22"/>
        </w:rPr>
        <w:t>pplicant</w:t>
      </w:r>
      <w:r w:rsidRPr="00161861">
        <w:rPr>
          <w:rFonts w:cs="Arial"/>
          <w:sz w:val="22"/>
        </w:rPr>
        <w:t xml:space="preserve"> psychiatrist</w:t>
      </w:r>
      <w:r w:rsidR="00F13EDF" w:rsidRPr="00161861">
        <w:rPr>
          <w:rFonts w:cs="Arial"/>
          <w:sz w:val="22"/>
        </w:rPr>
        <w:t xml:space="preserve"> </w:t>
      </w:r>
      <w:r w:rsidR="00F229E6" w:rsidRPr="00161861">
        <w:rPr>
          <w:rFonts w:cs="Arial"/>
          <w:sz w:val="22"/>
        </w:rPr>
        <w:t xml:space="preserve">can </w:t>
      </w:r>
      <w:r w:rsidRPr="00161861">
        <w:rPr>
          <w:rFonts w:cs="Arial"/>
          <w:sz w:val="22"/>
        </w:rPr>
        <w:t>rely on the ECT Order the Tribunal made before the patien</w:t>
      </w:r>
      <w:r w:rsidR="00DA053F" w:rsidRPr="00161861">
        <w:rPr>
          <w:rFonts w:cs="Arial"/>
          <w:sz w:val="22"/>
        </w:rPr>
        <w:t xml:space="preserve">t </w:t>
      </w:r>
      <w:r w:rsidR="00435067" w:rsidRPr="00161861">
        <w:rPr>
          <w:rFonts w:cs="Arial"/>
          <w:sz w:val="22"/>
        </w:rPr>
        <w:t>regained</w:t>
      </w:r>
      <w:r w:rsidR="00DA053F" w:rsidRPr="00161861">
        <w:rPr>
          <w:rFonts w:cs="Arial"/>
          <w:sz w:val="22"/>
        </w:rPr>
        <w:t xml:space="preserve"> (and then lost</w:t>
      </w:r>
      <w:r w:rsidRPr="00161861">
        <w:rPr>
          <w:rFonts w:cs="Arial"/>
          <w:sz w:val="22"/>
        </w:rPr>
        <w:t>) the capacity to give informed consent</w:t>
      </w:r>
      <w:r w:rsidR="000072E4" w:rsidRPr="00161861">
        <w:rPr>
          <w:rFonts w:cs="Arial"/>
          <w:sz w:val="22"/>
        </w:rPr>
        <w:t>.</w:t>
      </w:r>
      <w:r w:rsidR="000010C6" w:rsidRPr="00161861">
        <w:rPr>
          <w:rFonts w:cs="Arial"/>
          <w:sz w:val="22"/>
        </w:rPr>
        <w:t xml:space="preserve"> </w:t>
      </w:r>
    </w:p>
    <w:p w14:paraId="7E0CEF77" w14:textId="18E6BFDA" w:rsidR="00A04A4D" w:rsidRPr="00161861" w:rsidRDefault="004B1764" w:rsidP="004405B0">
      <w:pPr>
        <w:pStyle w:val="ListParagraph"/>
        <w:spacing w:before="240" w:after="240" w:line="264" w:lineRule="auto"/>
        <w:jc w:val="both"/>
        <w:rPr>
          <w:rFonts w:cs="Arial"/>
          <w:sz w:val="22"/>
        </w:rPr>
      </w:pPr>
      <w:r w:rsidRPr="00161861">
        <w:rPr>
          <w:rFonts w:cs="Arial"/>
          <w:sz w:val="22"/>
        </w:rPr>
        <w:t>Th</w:t>
      </w:r>
      <w:r w:rsidR="00435067" w:rsidRPr="00161861">
        <w:rPr>
          <w:rFonts w:cs="Arial"/>
          <w:sz w:val="22"/>
        </w:rPr>
        <w:t>ere is no provision in the Act that deals with this explicitly. However, i</w:t>
      </w:r>
      <w:r w:rsidRPr="00161861">
        <w:rPr>
          <w:rFonts w:cs="Arial"/>
          <w:sz w:val="22"/>
        </w:rPr>
        <w:t xml:space="preserve">n the Tribunal’s view, in such circumstances the </w:t>
      </w:r>
      <w:r w:rsidR="00C35652" w:rsidRPr="00161861">
        <w:rPr>
          <w:rFonts w:cs="Arial"/>
          <w:sz w:val="22"/>
        </w:rPr>
        <w:t>applicant</w:t>
      </w:r>
      <w:r w:rsidRPr="00161861">
        <w:rPr>
          <w:rFonts w:cs="Arial"/>
          <w:sz w:val="22"/>
        </w:rPr>
        <w:t xml:space="preserve"> psychiatrist</w:t>
      </w:r>
      <w:r w:rsidR="003D7B86" w:rsidRPr="00161861">
        <w:rPr>
          <w:rFonts w:cs="Arial"/>
          <w:sz w:val="22"/>
        </w:rPr>
        <w:t xml:space="preserve"> </w:t>
      </w:r>
      <w:r w:rsidRPr="00161861">
        <w:rPr>
          <w:rFonts w:cs="Arial"/>
          <w:sz w:val="22"/>
        </w:rPr>
        <w:t>must make a new ECT application to the Tribunal. This means they should not rely on a previous ECT Ord</w:t>
      </w:r>
      <w:r w:rsidR="003D7B86" w:rsidRPr="00161861">
        <w:rPr>
          <w:rFonts w:cs="Arial"/>
          <w:sz w:val="22"/>
        </w:rPr>
        <w:t>er to perform ECT</w:t>
      </w:r>
      <w:r w:rsidRPr="00161861">
        <w:rPr>
          <w:rFonts w:cs="Arial"/>
          <w:sz w:val="22"/>
        </w:rPr>
        <w:t>.</w:t>
      </w:r>
      <w:r w:rsidR="00B31A91" w:rsidRPr="00161861">
        <w:rPr>
          <w:rFonts w:cs="Arial"/>
          <w:sz w:val="22"/>
        </w:rPr>
        <w:t xml:space="preserve">  This is based on the overall scheme as well as the principles of the Act.  </w:t>
      </w:r>
      <w:proofErr w:type="gramStart"/>
      <w:r w:rsidR="00B31A91" w:rsidRPr="00161861">
        <w:rPr>
          <w:rFonts w:cs="Arial"/>
          <w:sz w:val="22"/>
        </w:rPr>
        <w:t>In particular, when</w:t>
      </w:r>
      <w:proofErr w:type="gramEnd"/>
      <w:r w:rsidR="00B31A91" w:rsidRPr="00161861">
        <w:rPr>
          <w:rFonts w:cs="Arial"/>
          <w:sz w:val="22"/>
        </w:rPr>
        <w:t xml:space="preserve"> a person has fluctuating capacity, the focus should be on </w:t>
      </w:r>
      <w:r w:rsidR="00435067" w:rsidRPr="00161861">
        <w:rPr>
          <w:rFonts w:cs="Arial"/>
          <w:sz w:val="22"/>
        </w:rPr>
        <w:t xml:space="preserve">using </w:t>
      </w:r>
      <w:r w:rsidR="00B31A91" w:rsidRPr="00161861">
        <w:rPr>
          <w:rFonts w:cs="Arial"/>
          <w:sz w:val="22"/>
        </w:rPr>
        <w:t>those times when they have capacity</w:t>
      </w:r>
      <w:r w:rsidR="00435067" w:rsidRPr="00161861">
        <w:rPr>
          <w:rFonts w:cs="Arial"/>
          <w:sz w:val="22"/>
        </w:rPr>
        <w:t xml:space="preserve"> to confirm their wishes regarding treatment</w:t>
      </w:r>
      <w:r w:rsidR="009D5248" w:rsidRPr="00161861">
        <w:rPr>
          <w:rFonts w:cs="Arial"/>
          <w:sz w:val="22"/>
        </w:rPr>
        <w:t>.</w:t>
      </w:r>
      <w:r w:rsidR="00F0266B" w:rsidRPr="00161861">
        <w:rPr>
          <w:rFonts w:cs="Arial"/>
          <w:sz w:val="22"/>
        </w:rPr>
        <w:t xml:space="preserve"> Importantly, both the person’s previous and current views and preferences about treatment should be considered when determining whether there is no less restrictive way for the person to be treated, </w:t>
      </w:r>
      <w:r w:rsidR="00435067" w:rsidRPr="00161861">
        <w:rPr>
          <w:rFonts w:cs="Arial"/>
          <w:sz w:val="22"/>
        </w:rPr>
        <w:t>including</w:t>
      </w:r>
      <w:r w:rsidR="00B31A91" w:rsidRPr="00161861">
        <w:rPr>
          <w:rFonts w:cs="Arial"/>
          <w:sz w:val="22"/>
        </w:rPr>
        <w:t xml:space="preserve"> at times when their capacity is impaired</w:t>
      </w:r>
      <w:r w:rsidR="00173413" w:rsidRPr="00161861">
        <w:rPr>
          <w:rFonts w:cs="Arial"/>
          <w:sz w:val="22"/>
        </w:rPr>
        <w:t>.</w:t>
      </w:r>
      <w:r w:rsidR="00F0266B" w:rsidRPr="00161861">
        <w:rPr>
          <w:rFonts w:cs="Arial"/>
          <w:sz w:val="22"/>
        </w:rPr>
        <w:t xml:space="preserve"> </w:t>
      </w:r>
    </w:p>
    <w:p w14:paraId="308DE7F2" w14:textId="77777777" w:rsidR="00E8603C" w:rsidRPr="00B45684" w:rsidRDefault="00E8603C" w:rsidP="004405B0">
      <w:pPr>
        <w:spacing w:before="240" w:after="240" w:line="264" w:lineRule="auto"/>
        <w:rPr>
          <w:rFonts w:eastAsiaTheme="majorEastAsia" w:cs="Arial"/>
          <w:b/>
          <w:bCs/>
          <w:color w:val="365F91" w:themeColor="accent1" w:themeShade="BF"/>
          <w:sz w:val="26"/>
          <w:szCs w:val="28"/>
        </w:rPr>
      </w:pPr>
      <w:r w:rsidRPr="00B45684">
        <w:rPr>
          <w:rFonts w:cs="Arial"/>
        </w:rPr>
        <w:br w:type="page"/>
      </w:r>
    </w:p>
    <w:p w14:paraId="12AFE118" w14:textId="7E07C68A" w:rsidR="00A04A4D" w:rsidRPr="00B45684" w:rsidRDefault="00F7619F" w:rsidP="00F7619F">
      <w:pPr>
        <w:pStyle w:val="Heading1"/>
        <w:rPr>
          <w:rFonts w:cs="Arial"/>
        </w:rPr>
      </w:pPr>
      <w:bookmarkStart w:id="35" w:name="_Toc9328591"/>
      <w:bookmarkStart w:id="36" w:name="_Toc9328775"/>
      <w:bookmarkStart w:id="37" w:name="_Toc9517089"/>
      <w:r w:rsidRPr="00B45684">
        <w:rPr>
          <w:rFonts w:cs="Arial"/>
        </w:rPr>
        <w:t xml:space="preserve">Determining applications for an ECT Order – </w:t>
      </w:r>
      <w:r w:rsidRPr="00B45684">
        <w:rPr>
          <w:rFonts w:cs="Arial"/>
        </w:rPr>
        <w:br/>
        <w:t>No less restrictive way for the person to be treated</w:t>
      </w:r>
      <w:bookmarkEnd w:id="35"/>
      <w:bookmarkEnd w:id="36"/>
      <w:bookmarkEnd w:id="37"/>
    </w:p>
    <w:p w14:paraId="70B01EDF" w14:textId="0EAB7585" w:rsidR="00A04A4D" w:rsidRPr="00161861" w:rsidRDefault="008A121A" w:rsidP="004405B0">
      <w:pPr>
        <w:pStyle w:val="ListParagraph"/>
        <w:spacing w:before="240" w:after="240" w:line="264" w:lineRule="auto"/>
        <w:jc w:val="both"/>
        <w:rPr>
          <w:rFonts w:cs="Arial"/>
          <w:sz w:val="22"/>
        </w:rPr>
      </w:pPr>
      <w:r w:rsidRPr="00161861">
        <w:rPr>
          <w:rFonts w:cs="Arial"/>
          <w:sz w:val="22"/>
        </w:rPr>
        <w:t xml:space="preserve">The Supreme Court in PBU &amp; NJE also considered the </w:t>
      </w:r>
      <w:r w:rsidR="0092613F" w:rsidRPr="00161861">
        <w:rPr>
          <w:rFonts w:cs="Arial"/>
          <w:sz w:val="22"/>
        </w:rPr>
        <w:t>second</w:t>
      </w:r>
      <w:r w:rsidRPr="00161861">
        <w:rPr>
          <w:rFonts w:cs="Arial"/>
          <w:sz w:val="22"/>
        </w:rPr>
        <w:t xml:space="preserve"> criterion the </w:t>
      </w:r>
      <w:r w:rsidR="00485B1E" w:rsidRPr="00161861">
        <w:rPr>
          <w:rFonts w:cs="Arial"/>
          <w:sz w:val="22"/>
        </w:rPr>
        <w:t>a</w:t>
      </w:r>
      <w:r w:rsidR="00C35652" w:rsidRPr="00161861">
        <w:rPr>
          <w:rFonts w:cs="Arial"/>
          <w:sz w:val="22"/>
        </w:rPr>
        <w:t>pplicant</w:t>
      </w:r>
      <w:r w:rsidR="00485B1E" w:rsidRPr="00161861">
        <w:rPr>
          <w:rFonts w:cs="Arial"/>
          <w:sz w:val="22"/>
        </w:rPr>
        <w:t xml:space="preserve"> psychiatrist must consider before applying for ECT and that the </w:t>
      </w:r>
      <w:r w:rsidRPr="00161861">
        <w:rPr>
          <w:rFonts w:cs="Arial"/>
          <w:sz w:val="22"/>
        </w:rPr>
        <w:t>Tribunal must consider in de</w:t>
      </w:r>
      <w:r w:rsidR="0090214D" w:rsidRPr="00161861">
        <w:rPr>
          <w:rFonts w:cs="Arial"/>
          <w:sz w:val="22"/>
        </w:rPr>
        <w:t xml:space="preserve">termining </w:t>
      </w:r>
      <w:r w:rsidRPr="00161861">
        <w:rPr>
          <w:rFonts w:cs="Arial"/>
          <w:sz w:val="22"/>
        </w:rPr>
        <w:t>ECT applications, namely: that there is no less</w:t>
      </w:r>
      <w:r w:rsidR="003D7B86" w:rsidRPr="00161861">
        <w:rPr>
          <w:rFonts w:cs="Arial"/>
          <w:sz w:val="22"/>
        </w:rPr>
        <w:t xml:space="preserve"> restrictive way for the person</w:t>
      </w:r>
      <w:r w:rsidRPr="00161861">
        <w:rPr>
          <w:rFonts w:cs="Arial"/>
          <w:sz w:val="22"/>
        </w:rPr>
        <w:t xml:space="preserve"> to be treated.</w:t>
      </w:r>
      <w:r w:rsidR="00B264F7" w:rsidRPr="00161861">
        <w:rPr>
          <w:rFonts w:cs="Arial"/>
          <w:sz w:val="22"/>
        </w:rPr>
        <w:t xml:space="preserve"> </w:t>
      </w:r>
    </w:p>
    <w:p w14:paraId="7F4A7B82" w14:textId="2B04D264" w:rsidR="00232A9A" w:rsidRPr="00161861" w:rsidRDefault="008039FD" w:rsidP="004405B0">
      <w:pPr>
        <w:pStyle w:val="ListParagraph"/>
        <w:spacing w:before="240" w:after="240" w:line="264" w:lineRule="auto"/>
        <w:jc w:val="both"/>
        <w:rPr>
          <w:rFonts w:cs="Arial"/>
          <w:sz w:val="22"/>
        </w:rPr>
      </w:pPr>
      <w:r w:rsidRPr="00161861">
        <w:rPr>
          <w:rFonts w:cs="Arial"/>
          <w:sz w:val="22"/>
        </w:rPr>
        <w:t>In determining whether there is no less restrictive way for a</w:t>
      </w:r>
      <w:r w:rsidR="004829D8" w:rsidRPr="00161861">
        <w:rPr>
          <w:rFonts w:cs="Arial"/>
          <w:sz w:val="22"/>
        </w:rPr>
        <w:t xml:space="preserve"> person </w:t>
      </w:r>
      <w:r w:rsidR="00173413" w:rsidRPr="00161861">
        <w:rPr>
          <w:rFonts w:cs="Arial"/>
          <w:sz w:val="22"/>
        </w:rPr>
        <w:t>to be treated</w:t>
      </w:r>
      <w:r w:rsidRPr="00161861">
        <w:rPr>
          <w:rFonts w:cs="Arial"/>
          <w:sz w:val="22"/>
        </w:rPr>
        <w:t>, the Tribunal must, to the extent that it is reasonable in the circumstances, have regard</w:t>
      </w:r>
      <w:r w:rsidR="003558EE" w:rsidRPr="00161861">
        <w:rPr>
          <w:rFonts w:cs="Arial"/>
          <w:sz w:val="22"/>
        </w:rPr>
        <w:t xml:space="preserve"> </w:t>
      </w:r>
      <w:r w:rsidR="00AB10E4" w:rsidRPr="00161861">
        <w:rPr>
          <w:rFonts w:cs="Arial"/>
          <w:sz w:val="22"/>
        </w:rPr>
        <w:t xml:space="preserve">to </w:t>
      </w:r>
      <w:r w:rsidR="003558EE" w:rsidRPr="00161861">
        <w:rPr>
          <w:rFonts w:cs="Arial"/>
          <w:sz w:val="22"/>
        </w:rPr>
        <w:t>various</w:t>
      </w:r>
      <w:r w:rsidRPr="00161861">
        <w:rPr>
          <w:rFonts w:cs="Arial"/>
          <w:sz w:val="22"/>
        </w:rPr>
        <w:t xml:space="preserve"> factors</w:t>
      </w:r>
      <w:r w:rsidR="00485B1E" w:rsidRPr="00161861">
        <w:rPr>
          <w:rFonts w:cs="Arial"/>
          <w:sz w:val="22"/>
        </w:rPr>
        <w:t xml:space="preserve"> set out in</w:t>
      </w:r>
      <w:r w:rsidR="00796E03" w:rsidRPr="00161861">
        <w:rPr>
          <w:rFonts w:cs="Arial"/>
          <w:sz w:val="22"/>
        </w:rPr>
        <w:t xml:space="preserve"> </w:t>
      </w:r>
      <w:r w:rsidR="003558EE" w:rsidRPr="00161861">
        <w:rPr>
          <w:rFonts w:cs="Arial"/>
          <w:sz w:val="22"/>
        </w:rPr>
        <w:t>the Act and summarised</w:t>
      </w:r>
      <w:r w:rsidR="006E4787" w:rsidRPr="00161861">
        <w:rPr>
          <w:rFonts w:cs="Arial"/>
          <w:sz w:val="22"/>
        </w:rPr>
        <w:t xml:space="preserve"> more fully</w:t>
      </w:r>
      <w:r w:rsidR="003558EE" w:rsidRPr="00161861">
        <w:rPr>
          <w:rFonts w:cs="Arial"/>
          <w:sz w:val="22"/>
        </w:rPr>
        <w:t xml:space="preserve"> in </w:t>
      </w:r>
      <w:r w:rsidR="00796E03" w:rsidRPr="00161861">
        <w:rPr>
          <w:rFonts w:cs="Arial"/>
          <w:sz w:val="22"/>
        </w:rPr>
        <w:t>the</w:t>
      </w:r>
      <w:r w:rsidR="00485B1E" w:rsidRPr="00161861">
        <w:rPr>
          <w:rFonts w:cs="Arial"/>
          <w:sz w:val="22"/>
        </w:rPr>
        <w:t xml:space="preserve"> </w:t>
      </w:r>
      <w:r w:rsidR="00BD13D9" w:rsidRPr="00161861">
        <w:rPr>
          <w:rFonts w:cs="Arial"/>
          <w:sz w:val="22"/>
        </w:rPr>
        <w:t>Appendix.</w:t>
      </w:r>
      <w:r w:rsidR="00232A9A" w:rsidRPr="00161861">
        <w:rPr>
          <w:rFonts w:cs="Arial"/>
          <w:sz w:val="22"/>
        </w:rPr>
        <w:t xml:space="preserve"> </w:t>
      </w:r>
      <w:r w:rsidR="006E4787" w:rsidRPr="00161861">
        <w:rPr>
          <w:rFonts w:cs="Arial"/>
          <w:sz w:val="22"/>
        </w:rPr>
        <w:t xml:space="preserve">The </w:t>
      </w:r>
      <w:r w:rsidR="00D671A2" w:rsidRPr="00161861">
        <w:rPr>
          <w:rFonts w:cs="Arial"/>
          <w:sz w:val="22"/>
        </w:rPr>
        <w:t>factors listed in the Act include both subjective and objective considerations</w:t>
      </w:r>
      <w:r w:rsidR="006E4787" w:rsidRPr="00161861">
        <w:rPr>
          <w:rFonts w:cs="Arial"/>
          <w:sz w:val="22"/>
        </w:rPr>
        <w:t xml:space="preserve"> </w:t>
      </w:r>
      <w:r w:rsidR="00D671A2" w:rsidRPr="00161861">
        <w:rPr>
          <w:rFonts w:cs="Arial"/>
          <w:sz w:val="22"/>
        </w:rPr>
        <w:t>and include the following</w:t>
      </w:r>
      <w:r w:rsidR="006E4787" w:rsidRPr="00161861">
        <w:rPr>
          <w:rFonts w:cs="Arial"/>
          <w:sz w:val="22"/>
        </w:rPr>
        <w:t>.</w:t>
      </w:r>
    </w:p>
    <w:p w14:paraId="57CAE4D1" w14:textId="73081F6A" w:rsidR="00232A9A" w:rsidRPr="00161861" w:rsidRDefault="006E4787" w:rsidP="004405B0">
      <w:pPr>
        <w:pStyle w:val="ListParagraph"/>
        <w:numPr>
          <w:ilvl w:val="0"/>
          <w:numId w:val="45"/>
        </w:numPr>
        <w:spacing w:before="240" w:after="240" w:line="264" w:lineRule="auto"/>
        <w:jc w:val="both"/>
        <w:rPr>
          <w:rFonts w:cs="Arial"/>
          <w:sz w:val="22"/>
        </w:rPr>
      </w:pPr>
      <w:r w:rsidRPr="00161861">
        <w:rPr>
          <w:rFonts w:cs="Arial"/>
          <w:sz w:val="22"/>
        </w:rPr>
        <w:t>T</w:t>
      </w:r>
      <w:r w:rsidR="00232A9A" w:rsidRPr="00161861">
        <w:rPr>
          <w:rFonts w:cs="Arial"/>
          <w:sz w:val="22"/>
        </w:rPr>
        <w:t>he views and preferences of the patient in relation to ECT (including in an</w:t>
      </w:r>
      <w:r w:rsidR="00AB10E4" w:rsidRPr="00161861">
        <w:rPr>
          <w:rFonts w:cs="Arial"/>
          <w:sz w:val="22"/>
        </w:rPr>
        <w:t>y</w:t>
      </w:r>
      <w:r w:rsidR="00232A9A" w:rsidRPr="00161861">
        <w:rPr>
          <w:rFonts w:cs="Arial"/>
          <w:sz w:val="22"/>
        </w:rPr>
        <w:t xml:space="preserve"> Advance Statement) and any beneficial alternative treatments that are reasonably available and the reasons for those views or preferences, including any recovery outcomes the person would like to achieve</w:t>
      </w:r>
      <w:r w:rsidRPr="00161861">
        <w:rPr>
          <w:rFonts w:cs="Arial"/>
          <w:sz w:val="22"/>
        </w:rPr>
        <w:t>.</w:t>
      </w:r>
    </w:p>
    <w:p w14:paraId="2D9A353B" w14:textId="08069F97" w:rsidR="00232A9A" w:rsidRPr="00161861" w:rsidRDefault="006E4787" w:rsidP="004405B0">
      <w:pPr>
        <w:pStyle w:val="ListParagraph"/>
        <w:numPr>
          <w:ilvl w:val="0"/>
          <w:numId w:val="45"/>
        </w:numPr>
        <w:spacing w:before="240" w:after="240" w:line="264" w:lineRule="auto"/>
        <w:jc w:val="both"/>
        <w:rPr>
          <w:rFonts w:cs="Arial"/>
          <w:sz w:val="22"/>
        </w:rPr>
      </w:pPr>
      <w:r w:rsidRPr="00161861">
        <w:rPr>
          <w:rFonts w:cs="Arial"/>
          <w:sz w:val="22"/>
        </w:rPr>
        <w:t>T</w:t>
      </w:r>
      <w:r w:rsidR="00232A9A" w:rsidRPr="00161861">
        <w:rPr>
          <w:rFonts w:cs="Arial"/>
          <w:sz w:val="22"/>
        </w:rPr>
        <w:t xml:space="preserve">he views of various other persons depending on whether the person is an adult patient, a voluntary adult or a young person. Such persons include the nominated person (or medical treatment decision maker or support person in the case of voluntary adults), any guardian and carers if the Tribunal is satisfied that a decision to perform a course of ECT will directly affect the carer and the care relationship. </w:t>
      </w:r>
    </w:p>
    <w:p w14:paraId="66296AB4" w14:textId="080DFD45" w:rsidR="00957E69" w:rsidRPr="00161861" w:rsidRDefault="006E4787" w:rsidP="004405B0">
      <w:pPr>
        <w:pStyle w:val="ListParagraph"/>
        <w:numPr>
          <w:ilvl w:val="0"/>
          <w:numId w:val="45"/>
        </w:numPr>
        <w:spacing w:before="240" w:after="240" w:line="264" w:lineRule="auto"/>
        <w:jc w:val="both"/>
        <w:rPr>
          <w:rFonts w:cs="Arial"/>
          <w:sz w:val="22"/>
        </w:rPr>
      </w:pPr>
      <w:r w:rsidRPr="00161861">
        <w:rPr>
          <w:rFonts w:cs="Arial"/>
          <w:sz w:val="22"/>
        </w:rPr>
        <w:t>T</w:t>
      </w:r>
      <w:r w:rsidR="00232A9A" w:rsidRPr="00161861">
        <w:rPr>
          <w:rFonts w:cs="Arial"/>
          <w:sz w:val="22"/>
        </w:rPr>
        <w:t xml:space="preserve">he likely consequences for the patient if ECT </w:t>
      </w:r>
      <w:proofErr w:type="gramStart"/>
      <w:r w:rsidR="00232A9A" w:rsidRPr="00161861">
        <w:rPr>
          <w:rFonts w:cs="Arial"/>
          <w:sz w:val="22"/>
        </w:rPr>
        <w:t>is</w:t>
      </w:r>
      <w:proofErr w:type="gramEnd"/>
      <w:r w:rsidR="00232A9A" w:rsidRPr="00161861">
        <w:rPr>
          <w:rFonts w:cs="Arial"/>
          <w:sz w:val="22"/>
        </w:rPr>
        <w:t xml:space="preserve"> not performed and any second psychiatric opinion.</w:t>
      </w:r>
    </w:p>
    <w:p w14:paraId="71A3A1BB" w14:textId="2F7F751D" w:rsidR="0061206C" w:rsidRPr="00B45684" w:rsidRDefault="0061206C" w:rsidP="004405B0">
      <w:pPr>
        <w:pStyle w:val="Heading2"/>
        <w:rPr>
          <w:rFonts w:cs="Arial"/>
        </w:rPr>
      </w:pPr>
      <w:bookmarkStart w:id="38" w:name="_Toc9328592"/>
      <w:bookmarkStart w:id="39" w:name="_Toc9328776"/>
      <w:r w:rsidRPr="00B45684">
        <w:rPr>
          <w:rFonts w:cs="Arial"/>
        </w:rPr>
        <w:t xml:space="preserve">The purpose of the no less restrictive test: a paradigm </w:t>
      </w:r>
      <w:proofErr w:type="gramStart"/>
      <w:r w:rsidRPr="00B45684">
        <w:rPr>
          <w:rFonts w:cs="Arial"/>
        </w:rPr>
        <w:t>shift</w:t>
      </w:r>
      <w:proofErr w:type="gramEnd"/>
      <w:r w:rsidRPr="00B45684">
        <w:rPr>
          <w:rFonts w:cs="Arial"/>
        </w:rPr>
        <w:t xml:space="preserve"> away from</w:t>
      </w:r>
      <w:r w:rsidR="00AB10E4" w:rsidRPr="00B45684">
        <w:rPr>
          <w:rFonts w:cs="Arial"/>
        </w:rPr>
        <w:t xml:space="preserve"> the</w:t>
      </w:r>
      <w:r w:rsidRPr="00B45684">
        <w:rPr>
          <w:rFonts w:cs="Arial"/>
        </w:rPr>
        <w:t xml:space="preserve"> best interests model</w:t>
      </w:r>
      <w:bookmarkEnd w:id="38"/>
      <w:bookmarkEnd w:id="39"/>
    </w:p>
    <w:p w14:paraId="21C44F66" w14:textId="70096C8A" w:rsidR="00485B1E" w:rsidRPr="00161861" w:rsidRDefault="00485B1E" w:rsidP="004405B0">
      <w:pPr>
        <w:pStyle w:val="ListParagraph"/>
        <w:spacing w:before="240" w:after="240" w:line="264" w:lineRule="auto"/>
        <w:jc w:val="both"/>
        <w:rPr>
          <w:rFonts w:cs="Arial"/>
          <w:sz w:val="22"/>
        </w:rPr>
      </w:pPr>
      <w:r w:rsidRPr="00161861">
        <w:rPr>
          <w:rFonts w:cs="Arial"/>
          <w:sz w:val="22"/>
        </w:rPr>
        <w:t>The purpose of the no less restrictive test is to ensure that treatment is provided in a manner that respects human rights. According to the PBU</w:t>
      </w:r>
      <w:r w:rsidR="00C94709" w:rsidRPr="00161861">
        <w:rPr>
          <w:rFonts w:cs="Arial"/>
          <w:sz w:val="22"/>
        </w:rPr>
        <w:t xml:space="preserve"> &amp; NJE</w:t>
      </w:r>
      <w:r w:rsidRPr="00161861">
        <w:rPr>
          <w:rFonts w:cs="Arial"/>
          <w:sz w:val="22"/>
        </w:rPr>
        <w:t xml:space="preserve"> judgment, the test</w:t>
      </w:r>
      <w:r w:rsidR="00173413" w:rsidRPr="00161861">
        <w:rPr>
          <w:rFonts w:cs="Arial"/>
          <w:sz w:val="22"/>
        </w:rPr>
        <w:t xml:space="preserve"> is a paradigm shift away from the ‘best interests’ model of decision making and</w:t>
      </w:r>
      <w:r w:rsidRPr="00161861">
        <w:rPr>
          <w:rFonts w:cs="Arial"/>
          <w:sz w:val="22"/>
        </w:rPr>
        <w:t xml:space="preserve"> respects </w:t>
      </w:r>
      <w:r w:rsidR="00173413" w:rsidRPr="00161861">
        <w:rPr>
          <w:rFonts w:cs="Arial"/>
          <w:sz w:val="22"/>
        </w:rPr>
        <w:t xml:space="preserve">to a much greater degree </w:t>
      </w:r>
      <w:r w:rsidRPr="00161861">
        <w:rPr>
          <w:rFonts w:cs="Arial"/>
          <w:sz w:val="22"/>
        </w:rPr>
        <w:t>the person’s right to self-determination, to be free of non-consensual medical treatment and to personal inviolability.</w:t>
      </w:r>
      <w:r w:rsidR="00173413" w:rsidRPr="00161861">
        <w:rPr>
          <w:rStyle w:val="EndnoteReference"/>
          <w:rFonts w:cs="Arial"/>
          <w:sz w:val="22"/>
        </w:rPr>
        <w:endnoteReference w:id="12"/>
      </w:r>
      <w:r w:rsidRPr="00161861">
        <w:rPr>
          <w:rFonts w:cs="Arial"/>
          <w:sz w:val="22"/>
        </w:rPr>
        <w:t xml:space="preserve"> It is intended to promote participation and supported decision making and, where possible, to incorporate recovery as an important therapeutic purpose in a holistic consideration of the person’s health.</w:t>
      </w:r>
      <w:r w:rsidRPr="00161861">
        <w:rPr>
          <w:rStyle w:val="EndnoteReference"/>
          <w:rFonts w:cs="Arial"/>
          <w:sz w:val="22"/>
        </w:rPr>
        <w:endnoteReference w:id="13"/>
      </w:r>
      <w:r w:rsidRPr="00161861">
        <w:rPr>
          <w:rFonts w:cs="Arial"/>
          <w:sz w:val="22"/>
        </w:rPr>
        <w:t xml:space="preserve"> </w:t>
      </w:r>
    </w:p>
    <w:p w14:paraId="27409B13" w14:textId="3284738C" w:rsidR="007A4D76" w:rsidRPr="00B45684" w:rsidRDefault="007A4D76" w:rsidP="004405B0">
      <w:pPr>
        <w:pStyle w:val="Heading2"/>
        <w:rPr>
          <w:rFonts w:cs="Arial"/>
        </w:rPr>
      </w:pPr>
      <w:bookmarkStart w:id="40" w:name="_Toc9328593"/>
      <w:bookmarkStart w:id="41" w:name="_Toc9328777"/>
      <w:r w:rsidRPr="00B45684">
        <w:rPr>
          <w:rFonts w:cs="Arial"/>
        </w:rPr>
        <w:t>No less restrictive test involves considering broad range of factors, not just medical factors</w:t>
      </w:r>
      <w:bookmarkEnd w:id="40"/>
      <w:bookmarkEnd w:id="41"/>
    </w:p>
    <w:p w14:paraId="4357A737" w14:textId="0403ED0C" w:rsidR="00D51C9A" w:rsidRPr="00161861" w:rsidRDefault="00F81023" w:rsidP="004405B0">
      <w:pPr>
        <w:pStyle w:val="ListParagraph"/>
        <w:spacing w:before="240" w:after="240" w:line="264" w:lineRule="auto"/>
        <w:jc w:val="both"/>
        <w:rPr>
          <w:rFonts w:cs="Arial"/>
          <w:sz w:val="22"/>
        </w:rPr>
      </w:pPr>
      <w:r w:rsidRPr="00161861">
        <w:rPr>
          <w:rFonts w:cs="Arial"/>
          <w:sz w:val="22"/>
        </w:rPr>
        <w:t>Th</w:t>
      </w:r>
      <w:r w:rsidR="00D20C64" w:rsidRPr="00161861">
        <w:rPr>
          <w:rFonts w:cs="Arial"/>
          <w:sz w:val="22"/>
        </w:rPr>
        <w:t xml:space="preserve">e no less restrictive </w:t>
      </w:r>
      <w:r w:rsidRPr="00161861">
        <w:rPr>
          <w:rFonts w:cs="Arial"/>
          <w:sz w:val="22"/>
        </w:rPr>
        <w:t>test</w:t>
      </w:r>
      <w:r w:rsidR="00A233C3" w:rsidRPr="00161861">
        <w:rPr>
          <w:rFonts w:cs="Arial"/>
          <w:sz w:val="22"/>
        </w:rPr>
        <w:t xml:space="preserve"> </w:t>
      </w:r>
      <w:r w:rsidR="00D74036" w:rsidRPr="00161861">
        <w:rPr>
          <w:rFonts w:cs="Arial"/>
          <w:sz w:val="22"/>
        </w:rPr>
        <w:t xml:space="preserve">involves considering a broad range of factors. </w:t>
      </w:r>
      <w:r w:rsidR="00F13CD8" w:rsidRPr="00161861">
        <w:rPr>
          <w:rFonts w:cs="Arial"/>
          <w:sz w:val="22"/>
        </w:rPr>
        <w:t>D</w:t>
      </w:r>
      <w:r w:rsidR="00D74036" w:rsidRPr="00161861">
        <w:rPr>
          <w:rFonts w:cs="Arial"/>
          <w:sz w:val="22"/>
        </w:rPr>
        <w:t xml:space="preserve">eciding whether there is no less restrictive way for the person to be treated </w:t>
      </w:r>
      <w:r w:rsidR="00A233C3" w:rsidRPr="00161861">
        <w:rPr>
          <w:rFonts w:cs="Arial"/>
          <w:sz w:val="22"/>
        </w:rPr>
        <w:t>is not simply a medical matter</w:t>
      </w:r>
      <w:r w:rsidR="00F05DF5" w:rsidRPr="00161861">
        <w:rPr>
          <w:rFonts w:cs="Arial"/>
          <w:sz w:val="22"/>
        </w:rPr>
        <w:t xml:space="preserve"> or</w:t>
      </w:r>
      <w:r w:rsidR="00404085" w:rsidRPr="00161861">
        <w:rPr>
          <w:rFonts w:cs="Arial"/>
          <w:sz w:val="22"/>
        </w:rPr>
        <w:t xml:space="preserve"> a question of</w:t>
      </w:r>
      <w:r w:rsidR="00F05DF5" w:rsidRPr="00161861">
        <w:rPr>
          <w:rFonts w:cs="Arial"/>
          <w:sz w:val="22"/>
        </w:rPr>
        <w:t xml:space="preserve"> whether ECT is clinically the best treatment</w:t>
      </w:r>
      <w:r w:rsidR="00F13CD8" w:rsidRPr="00161861">
        <w:rPr>
          <w:rFonts w:cs="Arial"/>
          <w:sz w:val="22"/>
        </w:rPr>
        <w:t>.</w:t>
      </w:r>
      <w:r w:rsidR="00A233C3" w:rsidRPr="00161861">
        <w:rPr>
          <w:rFonts w:cs="Arial"/>
          <w:sz w:val="22"/>
        </w:rPr>
        <w:t xml:space="preserve"> </w:t>
      </w:r>
      <w:r w:rsidR="00F13CD8" w:rsidRPr="00161861">
        <w:rPr>
          <w:rFonts w:cs="Arial"/>
          <w:sz w:val="22"/>
        </w:rPr>
        <w:t>R</w:t>
      </w:r>
      <w:r w:rsidR="00A233C3" w:rsidRPr="00161861">
        <w:rPr>
          <w:rFonts w:cs="Arial"/>
          <w:sz w:val="22"/>
        </w:rPr>
        <w:t>ather, the statutory intention is that the person’s views and preferences which reflect their values,</w:t>
      </w:r>
      <w:r w:rsidR="00D51C9A" w:rsidRPr="00161861">
        <w:rPr>
          <w:rFonts w:cs="Arial"/>
          <w:sz w:val="22"/>
        </w:rPr>
        <w:t xml:space="preserve"> </w:t>
      </w:r>
      <w:r w:rsidR="00A233C3" w:rsidRPr="00161861">
        <w:rPr>
          <w:rFonts w:cs="Arial"/>
          <w:sz w:val="22"/>
        </w:rPr>
        <w:t>life experience and relationships</w:t>
      </w:r>
      <w:r w:rsidR="00523942" w:rsidRPr="00161861">
        <w:rPr>
          <w:rFonts w:cs="Arial"/>
          <w:sz w:val="22"/>
        </w:rPr>
        <w:t xml:space="preserve"> </w:t>
      </w:r>
      <w:r w:rsidR="00414615" w:rsidRPr="00161861">
        <w:rPr>
          <w:rFonts w:cs="Arial"/>
          <w:sz w:val="22"/>
        </w:rPr>
        <w:t>in</w:t>
      </w:r>
      <w:r w:rsidR="00523942" w:rsidRPr="00161861">
        <w:rPr>
          <w:rFonts w:cs="Arial"/>
          <w:sz w:val="22"/>
        </w:rPr>
        <w:t xml:space="preserve"> a wider sense (not just medical but social and psychological)</w:t>
      </w:r>
      <w:r w:rsidR="00523942" w:rsidRPr="00161861">
        <w:rPr>
          <w:rStyle w:val="EndnoteReference"/>
          <w:rFonts w:cs="Arial"/>
          <w:sz w:val="22"/>
        </w:rPr>
        <w:endnoteReference w:id="14"/>
      </w:r>
      <w:r w:rsidR="00A233C3" w:rsidRPr="00161861">
        <w:rPr>
          <w:rFonts w:cs="Arial"/>
          <w:sz w:val="22"/>
        </w:rPr>
        <w:t xml:space="preserve"> are included in a holistic consideration of the issue.</w:t>
      </w:r>
      <w:r w:rsidR="004C61D1" w:rsidRPr="00161861">
        <w:rPr>
          <w:rFonts w:cs="Arial"/>
          <w:sz w:val="22"/>
        </w:rPr>
        <w:t xml:space="preserve"> </w:t>
      </w:r>
      <w:r w:rsidRPr="00161861">
        <w:rPr>
          <w:rFonts w:cs="Arial"/>
          <w:sz w:val="22"/>
        </w:rPr>
        <w:t xml:space="preserve">Importantly, the Tribunal must have regard to the views and preferences of the patient to the extent that is reasonable in the circumstances </w:t>
      </w:r>
      <w:r w:rsidRPr="00161861">
        <w:rPr>
          <w:rFonts w:cs="Arial"/>
          <w:i/>
          <w:sz w:val="22"/>
        </w:rPr>
        <w:t>even where they have been found to lack capacity to give informed consent.</w:t>
      </w:r>
      <w:r w:rsidRPr="00161861">
        <w:rPr>
          <w:rStyle w:val="EndnoteReference"/>
          <w:rFonts w:cs="Arial"/>
          <w:sz w:val="22"/>
        </w:rPr>
        <w:endnoteReference w:id="15"/>
      </w:r>
      <w:r w:rsidR="00B869D9" w:rsidRPr="00161861">
        <w:rPr>
          <w:rFonts w:cs="Arial"/>
          <w:i/>
          <w:sz w:val="22"/>
        </w:rPr>
        <w:t xml:space="preserve"> </w:t>
      </w:r>
    </w:p>
    <w:p w14:paraId="44AB5874" w14:textId="6238EB24" w:rsidR="003B7199" w:rsidRPr="00161861" w:rsidRDefault="0053581C" w:rsidP="004405B0">
      <w:pPr>
        <w:pStyle w:val="ListParagraph"/>
        <w:spacing w:before="240" w:after="240" w:line="264" w:lineRule="auto"/>
        <w:jc w:val="both"/>
        <w:rPr>
          <w:rFonts w:cs="Arial"/>
          <w:sz w:val="22"/>
        </w:rPr>
      </w:pPr>
      <w:r w:rsidRPr="00161861">
        <w:rPr>
          <w:rFonts w:cs="Arial"/>
          <w:sz w:val="22"/>
        </w:rPr>
        <w:t>However,</w:t>
      </w:r>
      <w:r w:rsidR="00523942" w:rsidRPr="00161861">
        <w:rPr>
          <w:rFonts w:cs="Arial"/>
          <w:sz w:val="22"/>
        </w:rPr>
        <w:t xml:space="preserve"> a person’s self-determination, health and medical treatment are interrelated.</w:t>
      </w:r>
      <w:r w:rsidR="00523942" w:rsidRPr="00161861">
        <w:rPr>
          <w:rStyle w:val="EndnoteReference"/>
          <w:rFonts w:cs="Arial"/>
          <w:sz w:val="22"/>
        </w:rPr>
        <w:endnoteReference w:id="16"/>
      </w:r>
      <w:r w:rsidR="00CD089F" w:rsidRPr="00161861">
        <w:rPr>
          <w:rFonts w:cs="Arial"/>
          <w:sz w:val="22"/>
        </w:rPr>
        <w:t xml:space="preserve"> </w:t>
      </w:r>
      <w:r w:rsidR="0048394E" w:rsidRPr="00161861">
        <w:rPr>
          <w:rFonts w:cs="Arial"/>
          <w:sz w:val="22"/>
        </w:rPr>
        <w:t>In PBU &amp; NJE, Justice Bell also emphasised that the provisions of the Act are predicated on the ‘central purpose of ensuring that persons with mental illness have access to and receive needed medical treatment</w:t>
      </w:r>
      <w:r w:rsidR="00AB10E4" w:rsidRPr="00161861">
        <w:rPr>
          <w:rFonts w:cs="Arial"/>
          <w:sz w:val="22"/>
        </w:rPr>
        <w:t xml:space="preserve"> consistent with the person’s right to health</w:t>
      </w:r>
      <w:r w:rsidR="00653326" w:rsidRPr="00161861">
        <w:rPr>
          <w:rFonts w:cs="Arial"/>
          <w:sz w:val="22"/>
        </w:rPr>
        <w:t>.</w:t>
      </w:r>
      <w:r w:rsidR="00A553FC" w:rsidRPr="00161861">
        <w:rPr>
          <w:rFonts w:cs="Arial"/>
          <w:sz w:val="22"/>
        </w:rPr>
        <w:t>’</w:t>
      </w:r>
      <w:r w:rsidR="00E01A56" w:rsidRPr="00161861">
        <w:rPr>
          <w:rStyle w:val="EndnoteReference"/>
          <w:rFonts w:cs="Arial"/>
          <w:sz w:val="22"/>
        </w:rPr>
        <w:endnoteReference w:id="17"/>
      </w:r>
      <w:r w:rsidR="00E01A56" w:rsidRPr="00161861">
        <w:rPr>
          <w:rFonts w:cs="Arial"/>
          <w:sz w:val="22"/>
        </w:rPr>
        <w:t xml:space="preserve"> </w:t>
      </w:r>
      <w:r w:rsidR="00F13CD8" w:rsidRPr="00161861">
        <w:rPr>
          <w:rFonts w:cs="Arial"/>
          <w:sz w:val="22"/>
        </w:rPr>
        <w:t>This means w</w:t>
      </w:r>
      <w:r w:rsidR="0048394E" w:rsidRPr="00161861">
        <w:rPr>
          <w:rFonts w:cs="Arial"/>
          <w:sz w:val="22"/>
        </w:rPr>
        <w:t xml:space="preserve">here the criteria under the Act are met, an ECT Order is a </w:t>
      </w:r>
      <w:r w:rsidR="00E01A56" w:rsidRPr="00161861">
        <w:rPr>
          <w:rFonts w:cs="Arial"/>
          <w:sz w:val="22"/>
        </w:rPr>
        <w:t>necessary means of ensuring that patients are given that treatment and that their right to health is respected.</w:t>
      </w:r>
      <w:r w:rsidR="00E01A56" w:rsidRPr="00161861">
        <w:rPr>
          <w:rStyle w:val="EndnoteReference"/>
          <w:rFonts w:cs="Arial"/>
          <w:sz w:val="22"/>
        </w:rPr>
        <w:endnoteReference w:id="18"/>
      </w:r>
      <w:r w:rsidRPr="00161861">
        <w:rPr>
          <w:rFonts w:cs="Arial"/>
          <w:sz w:val="22"/>
        </w:rPr>
        <w:t xml:space="preserve"> </w:t>
      </w:r>
    </w:p>
    <w:p w14:paraId="63FDC2B9" w14:textId="6467349F" w:rsidR="00D51C9A" w:rsidRPr="00161861" w:rsidRDefault="00414615" w:rsidP="004405B0">
      <w:pPr>
        <w:pStyle w:val="ListParagraph"/>
        <w:spacing w:before="240" w:after="240" w:line="264" w:lineRule="auto"/>
        <w:jc w:val="both"/>
        <w:rPr>
          <w:rFonts w:cs="Arial"/>
          <w:sz w:val="22"/>
        </w:rPr>
      </w:pPr>
      <w:r w:rsidRPr="00161861">
        <w:rPr>
          <w:rFonts w:cs="Arial"/>
          <w:sz w:val="22"/>
        </w:rPr>
        <w:t xml:space="preserve">It follows that </w:t>
      </w:r>
      <w:r w:rsidR="003B7199" w:rsidRPr="00161861">
        <w:rPr>
          <w:rFonts w:cs="Arial"/>
          <w:sz w:val="22"/>
        </w:rPr>
        <w:t>m</w:t>
      </w:r>
      <w:r w:rsidR="000D004E" w:rsidRPr="00161861">
        <w:rPr>
          <w:rFonts w:cs="Arial"/>
          <w:sz w:val="22"/>
        </w:rPr>
        <w:t>edical</w:t>
      </w:r>
      <w:r w:rsidR="000D549B" w:rsidRPr="00161861">
        <w:rPr>
          <w:rFonts w:cs="Arial"/>
          <w:sz w:val="22"/>
        </w:rPr>
        <w:t xml:space="preserve"> or clinical</w:t>
      </w:r>
      <w:r w:rsidR="000D004E" w:rsidRPr="00161861">
        <w:rPr>
          <w:rFonts w:cs="Arial"/>
          <w:sz w:val="22"/>
        </w:rPr>
        <w:t xml:space="preserve"> considerations </w:t>
      </w:r>
      <w:r w:rsidR="007D233E" w:rsidRPr="00161861">
        <w:rPr>
          <w:rFonts w:cs="Arial"/>
          <w:sz w:val="22"/>
        </w:rPr>
        <w:t>must also be</w:t>
      </w:r>
      <w:r w:rsidR="000D004E" w:rsidRPr="00161861">
        <w:rPr>
          <w:rFonts w:cs="Arial"/>
          <w:sz w:val="22"/>
        </w:rPr>
        <w:t xml:space="preserve"> weighed in the balance when determining whether there is no less restrictive way for the person to be treated. </w:t>
      </w:r>
      <w:r w:rsidR="006D2FDC" w:rsidRPr="00161861">
        <w:rPr>
          <w:rFonts w:cs="Arial"/>
          <w:sz w:val="22"/>
        </w:rPr>
        <w:t xml:space="preserve">Medical </w:t>
      </w:r>
      <w:r w:rsidR="0053581C" w:rsidRPr="00161861">
        <w:rPr>
          <w:rFonts w:cs="Arial"/>
          <w:sz w:val="22"/>
        </w:rPr>
        <w:t xml:space="preserve">and related </w:t>
      </w:r>
      <w:r w:rsidR="000D004E" w:rsidRPr="00161861">
        <w:rPr>
          <w:rFonts w:cs="Arial"/>
          <w:sz w:val="22"/>
        </w:rPr>
        <w:t>considerations may include</w:t>
      </w:r>
      <w:r w:rsidR="00D74036" w:rsidRPr="00161861">
        <w:rPr>
          <w:rFonts w:cs="Arial"/>
          <w:sz w:val="22"/>
        </w:rPr>
        <w:t xml:space="preserve"> (but are not limited to)</w:t>
      </w:r>
      <w:r w:rsidR="00D51C9A" w:rsidRPr="00161861">
        <w:rPr>
          <w:rFonts w:cs="Arial"/>
          <w:sz w:val="22"/>
        </w:rPr>
        <w:t xml:space="preserve"> the following:</w:t>
      </w:r>
    </w:p>
    <w:p w14:paraId="4E2240C6" w14:textId="33BCEAAF" w:rsidR="000D004E" w:rsidRPr="00161861" w:rsidRDefault="00D51C9A" w:rsidP="004405B0">
      <w:pPr>
        <w:pStyle w:val="ListParagraph"/>
        <w:numPr>
          <w:ilvl w:val="0"/>
          <w:numId w:val="39"/>
        </w:numPr>
        <w:spacing w:before="240" w:after="240" w:line="264" w:lineRule="auto"/>
        <w:ind w:left="1134" w:hanging="425"/>
        <w:jc w:val="both"/>
        <w:rPr>
          <w:rFonts w:cs="Arial"/>
          <w:sz w:val="22"/>
        </w:rPr>
      </w:pPr>
      <w:r w:rsidRPr="00161861">
        <w:rPr>
          <w:rFonts w:cs="Arial"/>
          <w:sz w:val="22"/>
        </w:rPr>
        <w:t>t</w:t>
      </w:r>
      <w:r w:rsidR="00D73381" w:rsidRPr="00161861">
        <w:rPr>
          <w:rFonts w:cs="Arial"/>
          <w:sz w:val="22"/>
        </w:rPr>
        <w:t>he state of the person’s health and the severity of their symptoms</w:t>
      </w:r>
    </w:p>
    <w:p w14:paraId="60BE3B35" w14:textId="12393807" w:rsidR="00D73381" w:rsidRPr="00161861" w:rsidRDefault="00D73381" w:rsidP="004405B0">
      <w:pPr>
        <w:pStyle w:val="ListParagraph"/>
        <w:numPr>
          <w:ilvl w:val="0"/>
          <w:numId w:val="39"/>
        </w:numPr>
        <w:spacing w:before="240" w:after="240" w:line="264" w:lineRule="auto"/>
        <w:ind w:left="1134" w:hanging="425"/>
        <w:jc w:val="both"/>
        <w:rPr>
          <w:rFonts w:cs="Arial"/>
          <w:sz w:val="22"/>
        </w:rPr>
      </w:pPr>
      <w:r w:rsidRPr="00161861">
        <w:rPr>
          <w:rFonts w:cs="Arial"/>
          <w:sz w:val="22"/>
        </w:rPr>
        <w:t>whether alternative treatments have been tried and have failed to treat the person’s mental illness</w:t>
      </w:r>
    </w:p>
    <w:p w14:paraId="48FFE5B1" w14:textId="25A9A1C1" w:rsidR="00D73381" w:rsidRPr="00161861" w:rsidRDefault="00D73381" w:rsidP="004405B0">
      <w:pPr>
        <w:pStyle w:val="ListParagraph"/>
        <w:numPr>
          <w:ilvl w:val="0"/>
          <w:numId w:val="39"/>
        </w:numPr>
        <w:spacing w:before="240" w:after="240" w:line="264" w:lineRule="auto"/>
        <w:ind w:left="1134" w:hanging="425"/>
        <w:jc w:val="both"/>
        <w:rPr>
          <w:rFonts w:cs="Arial"/>
          <w:sz w:val="22"/>
        </w:rPr>
      </w:pPr>
      <w:r w:rsidRPr="00161861">
        <w:rPr>
          <w:rFonts w:cs="Arial"/>
          <w:sz w:val="22"/>
        </w:rPr>
        <w:t>whether the person’s illness is resistant to alternative treatment</w:t>
      </w:r>
      <w:r w:rsidR="004829D8" w:rsidRPr="00161861">
        <w:rPr>
          <w:rFonts w:cs="Arial"/>
          <w:sz w:val="22"/>
        </w:rPr>
        <w:t>s</w:t>
      </w:r>
      <w:r w:rsidRPr="00161861">
        <w:rPr>
          <w:rFonts w:cs="Arial"/>
          <w:sz w:val="22"/>
        </w:rPr>
        <w:t xml:space="preserve"> (such as antipsychotic medication)</w:t>
      </w:r>
    </w:p>
    <w:p w14:paraId="20A2FC14" w14:textId="3CA1B585" w:rsidR="00D73381" w:rsidRPr="00161861" w:rsidRDefault="00D73381" w:rsidP="004405B0">
      <w:pPr>
        <w:pStyle w:val="ListParagraph"/>
        <w:numPr>
          <w:ilvl w:val="0"/>
          <w:numId w:val="39"/>
        </w:numPr>
        <w:spacing w:before="240" w:after="240" w:line="264" w:lineRule="auto"/>
        <w:ind w:left="1134" w:hanging="425"/>
        <w:jc w:val="both"/>
        <w:rPr>
          <w:rFonts w:cs="Arial"/>
          <w:sz w:val="22"/>
        </w:rPr>
      </w:pPr>
      <w:r w:rsidRPr="00161861">
        <w:rPr>
          <w:rFonts w:cs="Arial"/>
          <w:sz w:val="22"/>
        </w:rPr>
        <w:t xml:space="preserve">whether alternative forms of treatment will introduce undesirable delay in alleviating or reducing the person’s symptoms or ill-effects of illness </w:t>
      </w:r>
      <w:r w:rsidR="00F13CD8" w:rsidRPr="00161861">
        <w:rPr>
          <w:rFonts w:cs="Arial"/>
          <w:sz w:val="22"/>
        </w:rPr>
        <w:t>noting</w:t>
      </w:r>
      <w:r w:rsidRPr="00161861">
        <w:rPr>
          <w:rFonts w:cs="Arial"/>
          <w:sz w:val="22"/>
        </w:rPr>
        <w:t xml:space="preserve"> the person’s views of such delay will be important. For instance, some patients may prefer to be in hospital for longer </w:t>
      </w:r>
      <w:r w:rsidR="00CC4814" w:rsidRPr="00161861">
        <w:rPr>
          <w:rFonts w:cs="Arial"/>
          <w:sz w:val="22"/>
        </w:rPr>
        <w:t>and trial different medication</w:t>
      </w:r>
      <w:r w:rsidR="00653326" w:rsidRPr="00161861">
        <w:rPr>
          <w:rFonts w:cs="Arial"/>
          <w:sz w:val="22"/>
        </w:rPr>
        <w:t>s</w:t>
      </w:r>
      <w:r w:rsidR="00CC4814" w:rsidRPr="00161861">
        <w:rPr>
          <w:rFonts w:cs="Arial"/>
          <w:sz w:val="22"/>
        </w:rPr>
        <w:t xml:space="preserve"> </w:t>
      </w:r>
      <w:r w:rsidR="00E61C1C" w:rsidRPr="00161861">
        <w:rPr>
          <w:rFonts w:cs="Arial"/>
          <w:sz w:val="22"/>
        </w:rPr>
        <w:t xml:space="preserve">rather </w:t>
      </w:r>
      <w:r w:rsidRPr="00161861">
        <w:rPr>
          <w:rFonts w:cs="Arial"/>
          <w:sz w:val="22"/>
        </w:rPr>
        <w:t>than receive ECT</w:t>
      </w:r>
      <w:r w:rsidR="00E61C1C" w:rsidRPr="00161861">
        <w:rPr>
          <w:rFonts w:cs="Arial"/>
          <w:sz w:val="22"/>
        </w:rPr>
        <w:t xml:space="preserve"> and possibly be discharged sooner</w:t>
      </w:r>
    </w:p>
    <w:p w14:paraId="7D96F155" w14:textId="60234314" w:rsidR="00C567C0" w:rsidRPr="00161861" w:rsidRDefault="000F42C2" w:rsidP="004405B0">
      <w:pPr>
        <w:pStyle w:val="ListParagraph"/>
        <w:numPr>
          <w:ilvl w:val="0"/>
          <w:numId w:val="39"/>
        </w:numPr>
        <w:spacing w:before="240" w:after="240" w:line="264" w:lineRule="auto"/>
        <w:ind w:left="1134" w:hanging="425"/>
        <w:jc w:val="both"/>
        <w:rPr>
          <w:rFonts w:cs="Arial"/>
          <w:sz w:val="22"/>
        </w:rPr>
      </w:pPr>
      <w:r w:rsidRPr="00161861">
        <w:rPr>
          <w:rFonts w:cs="Arial"/>
          <w:sz w:val="22"/>
        </w:rPr>
        <w:t>t</w:t>
      </w:r>
      <w:r w:rsidR="00C567C0" w:rsidRPr="00161861">
        <w:rPr>
          <w:rFonts w:cs="Arial"/>
          <w:sz w:val="22"/>
        </w:rPr>
        <w:t>he severity of the</w:t>
      </w:r>
      <w:r w:rsidR="00F13CD8" w:rsidRPr="00161861">
        <w:rPr>
          <w:rFonts w:cs="Arial"/>
          <w:sz w:val="22"/>
        </w:rPr>
        <w:t xml:space="preserve"> physical, mental and social</w:t>
      </w:r>
      <w:r w:rsidR="00C567C0" w:rsidRPr="00161861">
        <w:rPr>
          <w:rFonts w:cs="Arial"/>
          <w:sz w:val="22"/>
        </w:rPr>
        <w:t xml:space="preserve"> side effects of previous ECT on the person</w:t>
      </w:r>
      <w:r w:rsidRPr="00161861">
        <w:rPr>
          <w:rFonts w:cs="Arial"/>
          <w:sz w:val="22"/>
        </w:rPr>
        <w:t xml:space="preserve"> (an alternative treatment option that produces significantly fewer debilitating side effects could </w:t>
      </w:r>
      <w:proofErr w:type="gramStart"/>
      <w:r w:rsidRPr="00161861">
        <w:rPr>
          <w:rFonts w:cs="Arial"/>
          <w:sz w:val="22"/>
        </w:rPr>
        <w:t>be seen as</w:t>
      </w:r>
      <w:proofErr w:type="gramEnd"/>
      <w:r w:rsidRPr="00161861">
        <w:rPr>
          <w:rFonts w:cs="Arial"/>
          <w:sz w:val="22"/>
        </w:rPr>
        <w:t xml:space="preserve"> less intrusive, and accordingly, less restrictive</w:t>
      </w:r>
      <w:r w:rsidR="00F13CD8" w:rsidRPr="00161861">
        <w:rPr>
          <w:rFonts w:cs="Arial"/>
          <w:sz w:val="22"/>
        </w:rPr>
        <w:t>)</w:t>
      </w:r>
      <w:r w:rsidRPr="00161861">
        <w:rPr>
          <w:rFonts w:cs="Arial"/>
          <w:sz w:val="22"/>
        </w:rPr>
        <w:t xml:space="preserve"> </w:t>
      </w:r>
    </w:p>
    <w:p w14:paraId="3FFAC3E0" w14:textId="1E1ADBC6" w:rsidR="0053581C" w:rsidRPr="00161861" w:rsidRDefault="0053581C" w:rsidP="004405B0">
      <w:pPr>
        <w:pStyle w:val="ListParagraph"/>
        <w:numPr>
          <w:ilvl w:val="0"/>
          <w:numId w:val="39"/>
        </w:numPr>
        <w:spacing w:before="240" w:after="240" w:line="264" w:lineRule="auto"/>
        <w:ind w:left="1134" w:hanging="425"/>
        <w:jc w:val="both"/>
        <w:rPr>
          <w:rFonts w:cs="Arial"/>
          <w:sz w:val="22"/>
        </w:rPr>
      </w:pPr>
      <w:r w:rsidRPr="00161861">
        <w:rPr>
          <w:rFonts w:cs="Arial"/>
          <w:sz w:val="22"/>
        </w:rPr>
        <w:t xml:space="preserve">the severity of side effects or other restrictive elements of </w:t>
      </w:r>
      <w:r w:rsidR="00F13CD8" w:rsidRPr="00161861">
        <w:rPr>
          <w:rFonts w:cs="Arial"/>
          <w:sz w:val="22"/>
        </w:rPr>
        <w:t xml:space="preserve">alternative </w:t>
      </w:r>
      <w:r w:rsidRPr="00161861">
        <w:rPr>
          <w:rFonts w:cs="Arial"/>
          <w:sz w:val="22"/>
        </w:rPr>
        <w:t>treatments (</w:t>
      </w:r>
      <w:r w:rsidR="00F13CD8" w:rsidRPr="00161861">
        <w:rPr>
          <w:rFonts w:cs="Arial"/>
          <w:sz w:val="22"/>
        </w:rPr>
        <w:t>for example,</w:t>
      </w:r>
      <w:r w:rsidRPr="00161861">
        <w:rPr>
          <w:rFonts w:cs="Arial"/>
          <w:sz w:val="22"/>
        </w:rPr>
        <w:t xml:space="preserve"> blood tests associated with some medication types)</w:t>
      </w:r>
    </w:p>
    <w:p w14:paraId="061D390C" w14:textId="2DD0A5DD" w:rsidR="000D004E" w:rsidRPr="00161861" w:rsidRDefault="00D51C9A" w:rsidP="004405B0">
      <w:pPr>
        <w:pStyle w:val="ListParagraph"/>
        <w:numPr>
          <w:ilvl w:val="0"/>
          <w:numId w:val="39"/>
        </w:numPr>
        <w:spacing w:before="240" w:after="240" w:line="264" w:lineRule="auto"/>
        <w:ind w:left="1134" w:hanging="425"/>
        <w:jc w:val="both"/>
        <w:rPr>
          <w:rFonts w:cs="Arial"/>
          <w:sz w:val="22"/>
        </w:rPr>
      </w:pPr>
      <w:r w:rsidRPr="00161861">
        <w:rPr>
          <w:rFonts w:cs="Arial"/>
          <w:sz w:val="22"/>
        </w:rPr>
        <w:t>w</w:t>
      </w:r>
      <w:r w:rsidR="00D73381" w:rsidRPr="00161861">
        <w:rPr>
          <w:rFonts w:cs="Arial"/>
          <w:sz w:val="22"/>
        </w:rPr>
        <w:t>hether the person’s illness is likely to deteriorate without immediate ECT.</w:t>
      </w:r>
    </w:p>
    <w:p w14:paraId="42847735" w14:textId="46CC4C52" w:rsidR="00F13CD8" w:rsidRPr="00161861" w:rsidRDefault="00F13CD8" w:rsidP="004405B0">
      <w:pPr>
        <w:pStyle w:val="ListParagraph"/>
        <w:spacing w:before="240" w:after="240" w:line="264" w:lineRule="auto"/>
        <w:jc w:val="both"/>
        <w:rPr>
          <w:rFonts w:cs="Arial"/>
          <w:sz w:val="22"/>
        </w:rPr>
      </w:pPr>
      <w:r w:rsidRPr="00161861">
        <w:rPr>
          <w:rFonts w:cs="Arial"/>
          <w:sz w:val="22"/>
        </w:rPr>
        <w:t xml:space="preserve">The </w:t>
      </w:r>
      <w:r w:rsidR="00B82B9F" w:rsidRPr="00161861">
        <w:rPr>
          <w:rFonts w:cs="Arial"/>
          <w:sz w:val="22"/>
        </w:rPr>
        <w:t xml:space="preserve">PBU &amp; NJE decision clarified </w:t>
      </w:r>
      <w:r w:rsidR="006827FC" w:rsidRPr="00161861">
        <w:rPr>
          <w:rFonts w:cs="Arial"/>
          <w:sz w:val="22"/>
        </w:rPr>
        <w:t>that the</w:t>
      </w:r>
      <w:r w:rsidRPr="00161861">
        <w:rPr>
          <w:rFonts w:cs="Arial"/>
          <w:sz w:val="22"/>
        </w:rPr>
        <w:t xml:space="preserve"> no less restrictive</w:t>
      </w:r>
      <w:r w:rsidR="003220A2" w:rsidRPr="00161861">
        <w:rPr>
          <w:rFonts w:cs="Arial"/>
          <w:sz w:val="22"/>
        </w:rPr>
        <w:t xml:space="preserve"> test</w:t>
      </w:r>
      <w:r w:rsidRPr="00161861">
        <w:rPr>
          <w:rFonts w:cs="Arial"/>
          <w:sz w:val="22"/>
        </w:rPr>
        <w:t xml:space="preserve"> </w:t>
      </w:r>
      <w:r w:rsidR="0092613F" w:rsidRPr="00161861">
        <w:rPr>
          <w:rFonts w:cs="Arial"/>
          <w:sz w:val="22"/>
        </w:rPr>
        <w:t xml:space="preserve">is not </w:t>
      </w:r>
      <w:r w:rsidR="00EB4C5E" w:rsidRPr="00161861">
        <w:rPr>
          <w:rFonts w:cs="Arial"/>
          <w:sz w:val="22"/>
        </w:rPr>
        <w:t>limited to treatment that is immediately necessary to address a serious deterioration in health or serious harm to the person or another person (</w:t>
      </w:r>
      <w:r w:rsidR="003558EE" w:rsidRPr="00161861">
        <w:rPr>
          <w:rFonts w:cs="Arial"/>
          <w:sz w:val="22"/>
        </w:rPr>
        <w:t>the treatment</w:t>
      </w:r>
      <w:r w:rsidR="00EB4C5E" w:rsidRPr="00161861">
        <w:rPr>
          <w:rFonts w:cs="Arial"/>
          <w:sz w:val="22"/>
        </w:rPr>
        <w:t xml:space="preserve"> criteria in section 5(b)</w:t>
      </w:r>
      <w:r w:rsidR="003558EE" w:rsidRPr="00161861">
        <w:rPr>
          <w:rFonts w:cs="Arial"/>
          <w:sz w:val="22"/>
        </w:rPr>
        <w:t xml:space="preserve"> of the Act</w:t>
      </w:r>
      <w:r w:rsidR="00785EB6" w:rsidRPr="00161861">
        <w:rPr>
          <w:rFonts w:cs="Arial"/>
          <w:sz w:val="22"/>
        </w:rPr>
        <w:t>)</w:t>
      </w:r>
      <w:r w:rsidR="00EB4C5E" w:rsidRPr="00161861">
        <w:rPr>
          <w:rFonts w:cs="Arial"/>
          <w:sz w:val="22"/>
        </w:rPr>
        <w:t>. That is,</w:t>
      </w:r>
      <w:r w:rsidR="00523475" w:rsidRPr="00161861">
        <w:rPr>
          <w:rFonts w:cs="Arial"/>
          <w:sz w:val="22"/>
        </w:rPr>
        <w:t xml:space="preserve"> the requirement does not mean the patient </w:t>
      </w:r>
      <w:r w:rsidR="00AE0031" w:rsidRPr="00161861">
        <w:rPr>
          <w:rFonts w:cs="Arial"/>
          <w:sz w:val="22"/>
        </w:rPr>
        <w:t xml:space="preserve">can only </w:t>
      </w:r>
      <w:r w:rsidR="00523475" w:rsidRPr="00161861">
        <w:rPr>
          <w:rFonts w:cs="Arial"/>
          <w:sz w:val="22"/>
        </w:rPr>
        <w:t xml:space="preserve">be treated to a minimum threshold or receive </w:t>
      </w:r>
      <w:r w:rsidR="00485B1E" w:rsidRPr="00161861">
        <w:rPr>
          <w:rFonts w:cs="Arial"/>
          <w:sz w:val="22"/>
        </w:rPr>
        <w:t xml:space="preserve">the </w:t>
      </w:r>
      <w:r w:rsidR="00523475" w:rsidRPr="00161861">
        <w:rPr>
          <w:rFonts w:cs="Arial"/>
          <w:sz w:val="22"/>
        </w:rPr>
        <w:t>minimum</w:t>
      </w:r>
      <w:r w:rsidR="00485B1E" w:rsidRPr="00161861">
        <w:rPr>
          <w:rFonts w:cs="Arial"/>
          <w:sz w:val="22"/>
        </w:rPr>
        <w:t xml:space="preserve"> necessary</w:t>
      </w:r>
      <w:r w:rsidR="00523475" w:rsidRPr="00161861">
        <w:rPr>
          <w:rFonts w:cs="Arial"/>
          <w:sz w:val="22"/>
        </w:rPr>
        <w:t xml:space="preserve"> treatment</w:t>
      </w:r>
      <w:r w:rsidRPr="00161861">
        <w:rPr>
          <w:rFonts w:cs="Arial"/>
          <w:sz w:val="22"/>
        </w:rPr>
        <w:t>.</w:t>
      </w:r>
      <w:r w:rsidR="00523475" w:rsidRPr="00161861">
        <w:rPr>
          <w:rFonts w:cs="Arial"/>
          <w:sz w:val="22"/>
        </w:rPr>
        <w:t xml:space="preserve"> </w:t>
      </w:r>
      <w:r w:rsidR="001E1B6F" w:rsidRPr="00161861">
        <w:rPr>
          <w:rFonts w:cs="Arial"/>
          <w:sz w:val="22"/>
        </w:rPr>
        <w:t>The test is intended to ensure the provision of treatment in a manner that respects the human rights of patients, not to reduce the standard of care that a doctor must provide</w:t>
      </w:r>
      <w:r w:rsidRPr="00161861">
        <w:rPr>
          <w:rFonts w:cs="Arial"/>
          <w:sz w:val="22"/>
        </w:rPr>
        <w:t>.</w:t>
      </w:r>
      <w:r w:rsidR="001E1B6F" w:rsidRPr="00161861">
        <w:rPr>
          <w:rStyle w:val="EndnoteReference"/>
          <w:rFonts w:cs="Arial"/>
          <w:sz w:val="22"/>
        </w:rPr>
        <w:endnoteReference w:id="19"/>
      </w:r>
      <w:r w:rsidR="00EB4C5E" w:rsidRPr="00161861">
        <w:rPr>
          <w:rFonts w:cs="Arial"/>
          <w:sz w:val="22"/>
        </w:rPr>
        <w:t xml:space="preserve">  </w:t>
      </w:r>
    </w:p>
    <w:p w14:paraId="35E90BC6" w14:textId="43D137F9" w:rsidR="00275627" w:rsidRPr="00B45684" w:rsidRDefault="00F13CD8" w:rsidP="004405B0">
      <w:pPr>
        <w:pStyle w:val="ListParagraph"/>
        <w:spacing w:before="240" w:after="240" w:line="264" w:lineRule="auto"/>
        <w:jc w:val="both"/>
        <w:rPr>
          <w:rFonts w:cs="Arial"/>
          <w:sz w:val="21"/>
          <w:szCs w:val="21"/>
        </w:rPr>
        <w:sectPr w:rsidR="00275627" w:rsidRPr="00B45684" w:rsidSect="007936B0">
          <w:headerReference w:type="default" r:id="rId9"/>
          <w:footerReference w:type="default" r:id="rId10"/>
          <w:footerReference w:type="first" r:id="rId11"/>
          <w:endnotePr>
            <w:numFmt w:val="decimal"/>
          </w:endnotePr>
          <w:type w:val="continuous"/>
          <w:pgSz w:w="11906" w:h="16838"/>
          <w:pgMar w:top="1560" w:right="1440" w:bottom="1276" w:left="1440" w:header="708" w:footer="708" w:gutter="0"/>
          <w:cols w:space="708"/>
          <w:titlePg/>
          <w:docGrid w:linePitch="360"/>
        </w:sectPr>
      </w:pPr>
      <w:r w:rsidRPr="00161861">
        <w:rPr>
          <w:rFonts w:cs="Arial"/>
          <w:sz w:val="22"/>
        </w:rPr>
        <w:t xml:space="preserve">Finally, </w:t>
      </w:r>
      <w:r w:rsidR="00365EA4" w:rsidRPr="00161861">
        <w:rPr>
          <w:rFonts w:cs="Arial"/>
          <w:sz w:val="22"/>
        </w:rPr>
        <w:t xml:space="preserve">maintaining the current </w:t>
      </w:r>
      <w:r w:rsidR="003220A2" w:rsidRPr="00161861">
        <w:rPr>
          <w:rFonts w:cs="Arial"/>
          <w:sz w:val="22"/>
        </w:rPr>
        <w:t xml:space="preserve">treatment </w:t>
      </w:r>
      <w:r w:rsidRPr="00161861">
        <w:rPr>
          <w:rFonts w:cs="Arial"/>
          <w:sz w:val="22"/>
        </w:rPr>
        <w:t>may</w:t>
      </w:r>
      <w:r w:rsidR="00E61C1C" w:rsidRPr="00161861">
        <w:rPr>
          <w:rFonts w:cs="Arial"/>
          <w:sz w:val="22"/>
        </w:rPr>
        <w:t xml:space="preserve"> be</w:t>
      </w:r>
      <w:r w:rsidR="0092613F" w:rsidRPr="00161861">
        <w:rPr>
          <w:rFonts w:cs="Arial"/>
          <w:sz w:val="22"/>
        </w:rPr>
        <w:t xml:space="preserve"> the</w:t>
      </w:r>
      <w:r w:rsidR="003220A2" w:rsidRPr="00161861">
        <w:rPr>
          <w:rFonts w:cs="Arial"/>
          <w:sz w:val="22"/>
        </w:rPr>
        <w:t xml:space="preserve"> </w:t>
      </w:r>
      <w:r w:rsidR="00365EA4" w:rsidRPr="00161861">
        <w:rPr>
          <w:rFonts w:cs="Arial"/>
          <w:sz w:val="22"/>
        </w:rPr>
        <w:t>le</w:t>
      </w:r>
      <w:r w:rsidR="00AB10E4" w:rsidRPr="00161861">
        <w:rPr>
          <w:rFonts w:cs="Arial"/>
          <w:sz w:val="22"/>
        </w:rPr>
        <w:t>ast</w:t>
      </w:r>
      <w:r w:rsidR="00365EA4" w:rsidRPr="00161861">
        <w:rPr>
          <w:rFonts w:cs="Arial"/>
          <w:sz w:val="22"/>
        </w:rPr>
        <w:t xml:space="preserve"> restrictive way for the person to be treated.</w:t>
      </w:r>
      <w:r w:rsidR="009E4035" w:rsidRPr="00B45684">
        <w:rPr>
          <w:rStyle w:val="EndnoteReference"/>
          <w:rFonts w:cs="Arial"/>
          <w:sz w:val="21"/>
          <w:szCs w:val="21"/>
        </w:rPr>
        <w:endnoteReference w:id="20"/>
      </w:r>
    </w:p>
    <w:p w14:paraId="22B1B152" w14:textId="6065EB39" w:rsidR="00C15A9C" w:rsidRPr="00B45684" w:rsidRDefault="00F7619F" w:rsidP="00F7619F">
      <w:pPr>
        <w:pStyle w:val="Heading1"/>
        <w:rPr>
          <w:rFonts w:cs="Arial"/>
        </w:rPr>
      </w:pPr>
      <w:bookmarkStart w:id="42" w:name="_Toc9328594"/>
      <w:bookmarkStart w:id="43" w:name="_Toc9328778"/>
      <w:bookmarkStart w:id="44" w:name="_Toc9517090"/>
      <w:r w:rsidRPr="00B45684">
        <w:rPr>
          <w:rFonts w:cs="Arial"/>
        </w:rPr>
        <w:t>Duration of ECT Orders</w:t>
      </w:r>
      <w:bookmarkEnd w:id="42"/>
      <w:bookmarkEnd w:id="43"/>
      <w:bookmarkEnd w:id="44"/>
    </w:p>
    <w:p w14:paraId="15EC5402" w14:textId="3F7EB766" w:rsidR="00111C46" w:rsidRPr="00161861" w:rsidRDefault="000745C4" w:rsidP="004405B0">
      <w:pPr>
        <w:pStyle w:val="ListParagraph"/>
        <w:spacing w:before="240" w:after="240" w:line="264" w:lineRule="auto"/>
        <w:jc w:val="both"/>
        <w:rPr>
          <w:rFonts w:cs="Arial"/>
          <w:sz w:val="22"/>
        </w:rPr>
      </w:pPr>
      <w:r w:rsidRPr="00161861">
        <w:rPr>
          <w:rFonts w:cs="Arial"/>
          <w:sz w:val="22"/>
        </w:rPr>
        <w:t>I</w:t>
      </w:r>
      <w:r w:rsidR="002703B3" w:rsidRPr="00161861">
        <w:rPr>
          <w:rFonts w:cs="Arial"/>
          <w:sz w:val="22"/>
        </w:rPr>
        <w:t xml:space="preserve">f </w:t>
      </w:r>
      <w:r w:rsidR="00111C46" w:rsidRPr="00161861">
        <w:rPr>
          <w:rFonts w:cs="Arial"/>
          <w:sz w:val="22"/>
        </w:rPr>
        <w:t xml:space="preserve">the Tribunal grants an application for an ECT Order, the </w:t>
      </w:r>
      <w:r w:rsidR="00135B73" w:rsidRPr="00161861">
        <w:rPr>
          <w:rFonts w:cs="Arial"/>
          <w:sz w:val="22"/>
        </w:rPr>
        <w:t xml:space="preserve">Order the Tribunal makes must specify </w:t>
      </w:r>
      <w:r w:rsidR="00111C46" w:rsidRPr="00161861">
        <w:rPr>
          <w:rFonts w:cs="Arial"/>
          <w:sz w:val="22"/>
        </w:rPr>
        <w:t xml:space="preserve">the </w:t>
      </w:r>
      <w:r w:rsidR="0063409D" w:rsidRPr="00161861">
        <w:rPr>
          <w:rFonts w:cs="Arial"/>
          <w:sz w:val="22"/>
        </w:rPr>
        <w:t xml:space="preserve">maximum </w:t>
      </w:r>
      <w:r w:rsidR="00111C46" w:rsidRPr="00161861">
        <w:rPr>
          <w:rFonts w:cs="Arial"/>
          <w:sz w:val="22"/>
        </w:rPr>
        <w:t xml:space="preserve">number of </w:t>
      </w:r>
      <w:r w:rsidR="0063409D" w:rsidRPr="00161861">
        <w:rPr>
          <w:rFonts w:cs="Arial"/>
          <w:sz w:val="22"/>
        </w:rPr>
        <w:t xml:space="preserve">authorised </w:t>
      </w:r>
      <w:r w:rsidR="00111C46" w:rsidRPr="00161861">
        <w:rPr>
          <w:rFonts w:cs="Arial"/>
          <w:sz w:val="22"/>
        </w:rPr>
        <w:t xml:space="preserve">ECT treatments (up to 12) and the duration of the </w:t>
      </w:r>
      <w:r w:rsidR="00135B73" w:rsidRPr="00161861">
        <w:rPr>
          <w:rFonts w:cs="Arial"/>
          <w:sz w:val="22"/>
        </w:rPr>
        <w:t xml:space="preserve">ECT </w:t>
      </w:r>
      <w:r w:rsidR="00111C46" w:rsidRPr="00161861">
        <w:rPr>
          <w:rFonts w:cs="Arial"/>
          <w:sz w:val="22"/>
        </w:rPr>
        <w:t>Order (up to 6 months).</w:t>
      </w:r>
    </w:p>
    <w:p w14:paraId="057FD29D" w14:textId="22BD894F" w:rsidR="00BD1068" w:rsidRPr="00161861" w:rsidRDefault="00C15A9C" w:rsidP="004405B0">
      <w:pPr>
        <w:pStyle w:val="ListParagraph"/>
        <w:spacing w:before="240" w:after="240" w:line="264" w:lineRule="auto"/>
        <w:jc w:val="both"/>
        <w:rPr>
          <w:rFonts w:cs="Arial"/>
          <w:sz w:val="22"/>
        </w:rPr>
      </w:pPr>
      <w:r w:rsidRPr="00161861">
        <w:rPr>
          <w:rFonts w:cs="Arial"/>
          <w:sz w:val="22"/>
        </w:rPr>
        <w:t>In</w:t>
      </w:r>
      <w:r w:rsidR="00F13CD8" w:rsidRPr="00161861">
        <w:rPr>
          <w:rFonts w:cs="Arial"/>
          <w:sz w:val="22"/>
        </w:rPr>
        <w:t xml:space="preserve"> the case of compulsory patients</w:t>
      </w:r>
      <w:r w:rsidRPr="00161861">
        <w:rPr>
          <w:rFonts w:cs="Arial"/>
          <w:sz w:val="22"/>
        </w:rPr>
        <w:t>, the Tribunal ma</w:t>
      </w:r>
      <w:r w:rsidR="0002488D" w:rsidRPr="00161861">
        <w:rPr>
          <w:rFonts w:cs="Arial"/>
          <w:sz w:val="22"/>
        </w:rPr>
        <w:t>y consider it preferable to set</w:t>
      </w:r>
      <w:r w:rsidRPr="00161861">
        <w:rPr>
          <w:rFonts w:cs="Arial"/>
          <w:sz w:val="22"/>
        </w:rPr>
        <w:t xml:space="preserve"> the duration of an ECT Order </w:t>
      </w:r>
      <w:r w:rsidR="00AD73A6" w:rsidRPr="00161861">
        <w:rPr>
          <w:rFonts w:cs="Arial"/>
          <w:sz w:val="22"/>
        </w:rPr>
        <w:t xml:space="preserve">so that it </w:t>
      </w:r>
      <w:r w:rsidR="0002488D" w:rsidRPr="00161861">
        <w:rPr>
          <w:rFonts w:cs="Arial"/>
          <w:sz w:val="22"/>
        </w:rPr>
        <w:t xml:space="preserve">aligns as closely as possible </w:t>
      </w:r>
      <w:r w:rsidRPr="00161861">
        <w:rPr>
          <w:rFonts w:cs="Arial"/>
          <w:sz w:val="22"/>
        </w:rPr>
        <w:t>with the duration of the underlying T</w:t>
      </w:r>
      <w:r w:rsidR="000072E4" w:rsidRPr="00161861">
        <w:rPr>
          <w:rFonts w:cs="Arial"/>
          <w:sz w:val="22"/>
        </w:rPr>
        <w:t xml:space="preserve">reatment </w:t>
      </w:r>
      <w:r w:rsidRPr="00161861">
        <w:rPr>
          <w:rFonts w:cs="Arial"/>
          <w:sz w:val="22"/>
        </w:rPr>
        <w:t>O</w:t>
      </w:r>
      <w:r w:rsidR="000072E4" w:rsidRPr="00161861">
        <w:rPr>
          <w:rFonts w:cs="Arial"/>
          <w:sz w:val="22"/>
        </w:rPr>
        <w:t>rder</w:t>
      </w:r>
      <w:r w:rsidRPr="00161861">
        <w:rPr>
          <w:rFonts w:cs="Arial"/>
          <w:sz w:val="22"/>
        </w:rPr>
        <w:t xml:space="preserve"> or T</w:t>
      </w:r>
      <w:r w:rsidR="000072E4" w:rsidRPr="00161861">
        <w:rPr>
          <w:rFonts w:cs="Arial"/>
          <w:sz w:val="22"/>
        </w:rPr>
        <w:t xml:space="preserve">emporary </w:t>
      </w:r>
      <w:r w:rsidRPr="00161861">
        <w:rPr>
          <w:rFonts w:cs="Arial"/>
          <w:sz w:val="22"/>
        </w:rPr>
        <w:t>T</w:t>
      </w:r>
      <w:r w:rsidR="000072E4" w:rsidRPr="00161861">
        <w:rPr>
          <w:rFonts w:cs="Arial"/>
          <w:sz w:val="22"/>
        </w:rPr>
        <w:t xml:space="preserve">reatment </w:t>
      </w:r>
      <w:r w:rsidR="002703B3" w:rsidRPr="00161861">
        <w:rPr>
          <w:rFonts w:cs="Arial"/>
          <w:sz w:val="22"/>
        </w:rPr>
        <w:t>O</w:t>
      </w:r>
      <w:r w:rsidR="000072E4" w:rsidRPr="00161861">
        <w:rPr>
          <w:rFonts w:cs="Arial"/>
          <w:sz w:val="22"/>
        </w:rPr>
        <w:t>rder</w:t>
      </w:r>
      <w:r w:rsidR="002703B3" w:rsidRPr="00161861">
        <w:rPr>
          <w:rFonts w:cs="Arial"/>
          <w:sz w:val="22"/>
        </w:rPr>
        <w:t>.</w:t>
      </w:r>
      <w:r w:rsidR="0089050D" w:rsidRPr="00161861">
        <w:rPr>
          <w:rFonts w:cs="Arial"/>
          <w:sz w:val="22"/>
        </w:rPr>
        <w:t xml:space="preserve"> </w:t>
      </w:r>
      <w:r w:rsidR="00BD1068" w:rsidRPr="00161861">
        <w:rPr>
          <w:rFonts w:cs="Arial"/>
          <w:sz w:val="22"/>
        </w:rPr>
        <w:t xml:space="preserve">There are two main reasons for this. First, having expiry dates on all compulsory </w:t>
      </w:r>
      <w:r w:rsidR="00DB3166" w:rsidRPr="00161861">
        <w:rPr>
          <w:rFonts w:cs="Arial"/>
          <w:sz w:val="22"/>
        </w:rPr>
        <w:t>O</w:t>
      </w:r>
      <w:r w:rsidR="00BD1068" w:rsidRPr="00161861">
        <w:rPr>
          <w:rFonts w:cs="Arial"/>
          <w:sz w:val="22"/>
        </w:rPr>
        <w:t xml:space="preserve">rders is about emphasising to patients that their compulsory status is for a specific </w:t>
      </w:r>
      <w:proofErr w:type="gramStart"/>
      <w:r w:rsidR="00BD1068" w:rsidRPr="00161861">
        <w:rPr>
          <w:rFonts w:cs="Arial"/>
          <w:sz w:val="22"/>
        </w:rPr>
        <w:t>period of time</w:t>
      </w:r>
      <w:proofErr w:type="gramEnd"/>
      <w:r w:rsidR="00BD1068" w:rsidRPr="00161861">
        <w:rPr>
          <w:rFonts w:cs="Arial"/>
          <w:sz w:val="22"/>
        </w:rPr>
        <w:t xml:space="preserve"> and will not extend beyond that unless </w:t>
      </w:r>
      <w:r w:rsidR="002B04AF" w:rsidRPr="00161861">
        <w:rPr>
          <w:rFonts w:cs="Arial"/>
          <w:sz w:val="22"/>
        </w:rPr>
        <w:t>another hearing regarding their compulsory status is held</w:t>
      </w:r>
      <w:r w:rsidR="00BD1068" w:rsidRPr="00161861">
        <w:rPr>
          <w:rFonts w:cs="Arial"/>
          <w:sz w:val="22"/>
        </w:rPr>
        <w:t>. There is a risk that an ECT Order extending beyond a Treatment Order or T</w:t>
      </w:r>
      <w:r w:rsidR="000072E4" w:rsidRPr="00161861">
        <w:rPr>
          <w:rFonts w:cs="Arial"/>
          <w:sz w:val="22"/>
        </w:rPr>
        <w:t xml:space="preserve">emporary </w:t>
      </w:r>
      <w:r w:rsidR="00BD1068" w:rsidRPr="00161861">
        <w:rPr>
          <w:rFonts w:cs="Arial"/>
          <w:sz w:val="22"/>
        </w:rPr>
        <w:t>T</w:t>
      </w:r>
      <w:r w:rsidR="000072E4" w:rsidRPr="00161861">
        <w:rPr>
          <w:rFonts w:cs="Arial"/>
          <w:sz w:val="22"/>
        </w:rPr>
        <w:t xml:space="preserve">reatment </w:t>
      </w:r>
      <w:r w:rsidR="00BD1068" w:rsidRPr="00161861">
        <w:rPr>
          <w:rFonts w:cs="Arial"/>
          <w:sz w:val="22"/>
        </w:rPr>
        <w:t>O</w:t>
      </w:r>
      <w:r w:rsidR="000072E4" w:rsidRPr="00161861">
        <w:rPr>
          <w:rFonts w:cs="Arial"/>
          <w:sz w:val="22"/>
        </w:rPr>
        <w:t xml:space="preserve">rder </w:t>
      </w:r>
      <w:r w:rsidR="00BD1068" w:rsidRPr="00161861">
        <w:rPr>
          <w:rFonts w:cs="Arial"/>
          <w:sz w:val="22"/>
        </w:rPr>
        <w:t>expiry date may dilute or confuse this by inadvertently suggesting that the Tribunal consider</w:t>
      </w:r>
      <w:r w:rsidR="0063409D" w:rsidRPr="00161861">
        <w:rPr>
          <w:rFonts w:cs="Arial"/>
          <w:sz w:val="22"/>
        </w:rPr>
        <w:t>s</w:t>
      </w:r>
      <w:r w:rsidR="00BD1068" w:rsidRPr="00161861">
        <w:rPr>
          <w:rFonts w:cs="Arial"/>
          <w:sz w:val="22"/>
        </w:rPr>
        <w:t xml:space="preserve"> the person is going to be a compulsory patient for longer. Secondly, ensuring ECT Orders do not extend beyond the date of the underlying Order usually makes it more likely that all matters arising in relation to a patient will be dealt with at once</w:t>
      </w:r>
      <w:r w:rsidR="000745C4" w:rsidRPr="00161861">
        <w:rPr>
          <w:rFonts w:cs="Arial"/>
          <w:sz w:val="22"/>
        </w:rPr>
        <w:t xml:space="preserve"> and thereby reduce</w:t>
      </w:r>
      <w:r w:rsidR="00653326" w:rsidRPr="00161861">
        <w:rPr>
          <w:rFonts w:cs="Arial"/>
          <w:sz w:val="22"/>
        </w:rPr>
        <w:t>s</w:t>
      </w:r>
      <w:r w:rsidR="000745C4" w:rsidRPr="00161861">
        <w:rPr>
          <w:rFonts w:cs="Arial"/>
          <w:sz w:val="22"/>
        </w:rPr>
        <w:t xml:space="preserve"> the possibility of a person having to have multiple hearings within a short period of time</w:t>
      </w:r>
      <w:r w:rsidR="00BD1068" w:rsidRPr="00161861">
        <w:rPr>
          <w:rFonts w:cs="Arial"/>
          <w:sz w:val="22"/>
        </w:rPr>
        <w:t xml:space="preserve">. </w:t>
      </w:r>
    </w:p>
    <w:p w14:paraId="55C9D467" w14:textId="5A5DF3CC" w:rsidR="00C4384F" w:rsidRPr="00161861" w:rsidRDefault="000D57FF" w:rsidP="004405B0">
      <w:pPr>
        <w:pStyle w:val="ListParagraph"/>
        <w:spacing w:before="240" w:after="240" w:line="264" w:lineRule="auto"/>
        <w:jc w:val="both"/>
        <w:rPr>
          <w:rFonts w:cs="Arial"/>
          <w:sz w:val="22"/>
        </w:rPr>
      </w:pPr>
      <w:r w:rsidRPr="00161861">
        <w:rPr>
          <w:rFonts w:cs="Arial"/>
          <w:sz w:val="22"/>
        </w:rPr>
        <w:t>Despite this</w:t>
      </w:r>
      <w:r w:rsidR="0089050D" w:rsidRPr="00161861">
        <w:rPr>
          <w:rFonts w:cs="Arial"/>
          <w:sz w:val="22"/>
        </w:rPr>
        <w:t>, the Tribunal may at</w:t>
      </w:r>
      <w:r w:rsidR="00C15A9C" w:rsidRPr="00161861">
        <w:rPr>
          <w:rFonts w:cs="Arial"/>
          <w:sz w:val="22"/>
        </w:rPr>
        <w:t xml:space="preserve"> its discretion set a duration for </w:t>
      </w:r>
      <w:r w:rsidR="00111C46" w:rsidRPr="00161861">
        <w:rPr>
          <w:rFonts w:cs="Arial"/>
          <w:sz w:val="22"/>
        </w:rPr>
        <w:t xml:space="preserve">an </w:t>
      </w:r>
      <w:r w:rsidR="00C15A9C" w:rsidRPr="00161861">
        <w:rPr>
          <w:rFonts w:cs="Arial"/>
          <w:sz w:val="22"/>
        </w:rPr>
        <w:t>ECT</w:t>
      </w:r>
      <w:r w:rsidR="00111C46" w:rsidRPr="00161861">
        <w:rPr>
          <w:rFonts w:cs="Arial"/>
          <w:sz w:val="22"/>
        </w:rPr>
        <w:t xml:space="preserve"> Order</w:t>
      </w:r>
      <w:r w:rsidR="00C15A9C" w:rsidRPr="00161861">
        <w:rPr>
          <w:rFonts w:cs="Arial"/>
          <w:sz w:val="22"/>
        </w:rPr>
        <w:t xml:space="preserve"> that is longer than the durati</w:t>
      </w:r>
      <w:r w:rsidR="0089050D" w:rsidRPr="00161861">
        <w:rPr>
          <w:rFonts w:cs="Arial"/>
          <w:sz w:val="22"/>
        </w:rPr>
        <w:t xml:space="preserve">on of the underlying </w:t>
      </w:r>
      <w:r w:rsidR="000072E4" w:rsidRPr="00161861">
        <w:rPr>
          <w:rFonts w:cs="Arial"/>
          <w:sz w:val="22"/>
        </w:rPr>
        <w:t>Order</w:t>
      </w:r>
      <w:r w:rsidR="0089050D" w:rsidRPr="00161861">
        <w:rPr>
          <w:rFonts w:cs="Arial"/>
          <w:sz w:val="22"/>
        </w:rPr>
        <w:t>.</w:t>
      </w:r>
      <w:r w:rsidR="00C105D7" w:rsidRPr="00161861">
        <w:rPr>
          <w:rFonts w:cs="Arial"/>
          <w:sz w:val="22"/>
        </w:rPr>
        <w:t xml:space="preserve"> </w:t>
      </w:r>
      <w:r w:rsidR="0089050D" w:rsidRPr="00161861">
        <w:rPr>
          <w:rFonts w:cs="Arial"/>
          <w:sz w:val="22"/>
        </w:rPr>
        <w:t>Importantly, if the</w:t>
      </w:r>
      <w:r w:rsidR="000D0235" w:rsidRPr="00161861">
        <w:rPr>
          <w:rFonts w:cs="Arial"/>
          <w:sz w:val="22"/>
        </w:rPr>
        <w:t xml:space="preserve"> </w:t>
      </w:r>
      <w:r w:rsidR="00C15A9C" w:rsidRPr="00161861">
        <w:rPr>
          <w:rFonts w:cs="Arial"/>
          <w:sz w:val="22"/>
        </w:rPr>
        <w:t>underlying Order</w:t>
      </w:r>
      <w:r w:rsidR="000D0235" w:rsidRPr="00161861">
        <w:rPr>
          <w:rFonts w:cs="Arial"/>
          <w:sz w:val="22"/>
        </w:rPr>
        <w:t xml:space="preserve"> to which a patient is subject</w:t>
      </w:r>
      <w:r w:rsidR="00C15A9C" w:rsidRPr="00161861">
        <w:rPr>
          <w:rFonts w:cs="Arial"/>
          <w:sz w:val="22"/>
        </w:rPr>
        <w:t xml:space="preserve"> is revoked or expires, any ECT Order</w:t>
      </w:r>
      <w:r w:rsidR="000D0235" w:rsidRPr="00161861">
        <w:rPr>
          <w:rFonts w:cs="Arial"/>
          <w:sz w:val="22"/>
        </w:rPr>
        <w:t xml:space="preserve"> for that patient</w:t>
      </w:r>
      <w:r w:rsidR="00C15A9C" w:rsidRPr="00161861">
        <w:rPr>
          <w:rFonts w:cs="Arial"/>
          <w:sz w:val="22"/>
        </w:rPr>
        <w:t xml:space="preserve"> ceases to have effect.</w:t>
      </w:r>
      <w:r w:rsidR="00135B73" w:rsidRPr="00161861">
        <w:rPr>
          <w:rFonts w:cs="Arial"/>
          <w:sz w:val="22"/>
        </w:rPr>
        <w:t xml:space="preserve"> This means that ECT</w:t>
      </w:r>
      <w:r w:rsidR="002B12FE" w:rsidRPr="00161861">
        <w:rPr>
          <w:rFonts w:cs="Arial"/>
          <w:sz w:val="22"/>
        </w:rPr>
        <w:t xml:space="preserve"> cannot be administered</w:t>
      </w:r>
      <w:r w:rsidR="00135B73" w:rsidRPr="00161861">
        <w:rPr>
          <w:rFonts w:cs="Arial"/>
          <w:sz w:val="22"/>
        </w:rPr>
        <w:t xml:space="preserve"> in reliance on that ECT Order. </w:t>
      </w:r>
      <w:r w:rsidR="00C15A9C" w:rsidRPr="00161861">
        <w:rPr>
          <w:rFonts w:cs="Arial"/>
          <w:sz w:val="22"/>
        </w:rPr>
        <w:t xml:space="preserve">This is because </w:t>
      </w:r>
      <w:r w:rsidR="002C779C" w:rsidRPr="00161861">
        <w:rPr>
          <w:rFonts w:cs="Arial"/>
          <w:sz w:val="22"/>
        </w:rPr>
        <w:t xml:space="preserve">when an underlying Order is revoked or expires </w:t>
      </w:r>
      <w:r w:rsidR="00C15A9C" w:rsidRPr="00161861">
        <w:rPr>
          <w:rFonts w:cs="Arial"/>
          <w:sz w:val="22"/>
        </w:rPr>
        <w:t>the person is no longer a ‘patient’</w:t>
      </w:r>
      <w:r w:rsidR="00AD73A6" w:rsidRPr="00161861">
        <w:rPr>
          <w:rFonts w:cs="Arial"/>
          <w:sz w:val="22"/>
        </w:rPr>
        <w:t xml:space="preserve"> within the meaning of the Act</w:t>
      </w:r>
      <w:r w:rsidR="00C15A9C" w:rsidRPr="00161861">
        <w:rPr>
          <w:rFonts w:cs="Arial"/>
          <w:sz w:val="22"/>
        </w:rPr>
        <w:t>.</w:t>
      </w:r>
      <w:r w:rsidR="00DA053F" w:rsidRPr="00161861">
        <w:rPr>
          <w:rFonts w:cs="Arial"/>
          <w:sz w:val="22"/>
        </w:rPr>
        <w:t xml:space="preserve"> </w:t>
      </w:r>
      <w:r w:rsidR="000745C4" w:rsidRPr="00161861">
        <w:rPr>
          <w:rFonts w:cs="Arial"/>
          <w:sz w:val="22"/>
        </w:rPr>
        <w:t>Conversely</w:t>
      </w:r>
      <w:r w:rsidR="000D0235" w:rsidRPr="00161861">
        <w:rPr>
          <w:rFonts w:cs="Arial"/>
          <w:sz w:val="22"/>
        </w:rPr>
        <w:t>,</w:t>
      </w:r>
      <w:r w:rsidR="00C105D7" w:rsidRPr="00161861">
        <w:rPr>
          <w:rFonts w:cs="Arial"/>
          <w:sz w:val="22"/>
        </w:rPr>
        <w:t xml:space="preserve"> </w:t>
      </w:r>
      <w:r w:rsidR="000D0235" w:rsidRPr="00161861">
        <w:rPr>
          <w:rFonts w:cs="Arial"/>
          <w:sz w:val="22"/>
        </w:rPr>
        <w:t>if during the life of an ECT Order, the underlying Order is replaced with another Order in a</w:t>
      </w:r>
      <w:r w:rsidR="0089050D" w:rsidRPr="00161861">
        <w:rPr>
          <w:rFonts w:cs="Arial"/>
          <w:sz w:val="22"/>
        </w:rPr>
        <w:t>n unbroken chain of Orders the person</w:t>
      </w:r>
      <w:r w:rsidR="00111C46" w:rsidRPr="00161861">
        <w:rPr>
          <w:rFonts w:cs="Arial"/>
          <w:sz w:val="22"/>
        </w:rPr>
        <w:t xml:space="preserve"> do</w:t>
      </w:r>
      <w:r w:rsidR="0089050D" w:rsidRPr="00161861">
        <w:rPr>
          <w:rFonts w:cs="Arial"/>
          <w:sz w:val="22"/>
        </w:rPr>
        <w:t>es</w:t>
      </w:r>
      <w:r w:rsidR="00111C46" w:rsidRPr="00161861">
        <w:rPr>
          <w:rFonts w:cs="Arial"/>
          <w:sz w:val="22"/>
        </w:rPr>
        <w:t xml:space="preserve"> not stop being a patient and </w:t>
      </w:r>
      <w:r w:rsidR="000D0235" w:rsidRPr="00161861">
        <w:rPr>
          <w:rFonts w:cs="Arial"/>
          <w:sz w:val="22"/>
        </w:rPr>
        <w:t>the ECT Order will continue t</w:t>
      </w:r>
      <w:r w:rsidR="00A7469F" w:rsidRPr="00161861">
        <w:rPr>
          <w:rFonts w:cs="Arial"/>
          <w:sz w:val="22"/>
        </w:rPr>
        <w:t xml:space="preserve">o have effect. </w:t>
      </w:r>
    </w:p>
    <w:p w14:paraId="64318FDE" w14:textId="77777777" w:rsidR="00E8603C" w:rsidRPr="00B45684" w:rsidRDefault="00E8603C" w:rsidP="004405B0">
      <w:pPr>
        <w:spacing w:before="240" w:after="240" w:line="264" w:lineRule="auto"/>
        <w:rPr>
          <w:rFonts w:eastAsiaTheme="majorEastAsia" w:cs="Arial"/>
          <w:b/>
          <w:bCs/>
          <w:color w:val="365F91" w:themeColor="accent1" w:themeShade="BF"/>
          <w:sz w:val="26"/>
          <w:szCs w:val="28"/>
        </w:rPr>
      </w:pPr>
      <w:r w:rsidRPr="00B45684">
        <w:rPr>
          <w:rFonts w:cs="Arial"/>
        </w:rPr>
        <w:br w:type="page"/>
      </w:r>
    </w:p>
    <w:p w14:paraId="121DFCD7" w14:textId="0ED7FC79" w:rsidR="00D63278" w:rsidRPr="00B45684" w:rsidRDefault="00F7619F" w:rsidP="00F7619F">
      <w:pPr>
        <w:pStyle w:val="Heading1"/>
        <w:rPr>
          <w:rFonts w:cs="Arial"/>
        </w:rPr>
      </w:pPr>
      <w:bookmarkStart w:id="45" w:name="_Toc9328595"/>
      <w:bookmarkStart w:id="46" w:name="_Toc9328779"/>
      <w:bookmarkStart w:id="47" w:name="_Toc9517091"/>
      <w:r w:rsidRPr="00B45684">
        <w:rPr>
          <w:rFonts w:cs="Arial"/>
        </w:rPr>
        <w:t>Effect of multiple ECT Orders</w:t>
      </w:r>
      <w:bookmarkEnd w:id="45"/>
      <w:bookmarkEnd w:id="46"/>
      <w:bookmarkEnd w:id="47"/>
    </w:p>
    <w:p w14:paraId="23797AE1" w14:textId="42EB8282" w:rsidR="00D63278" w:rsidRPr="00161861" w:rsidRDefault="001703A5" w:rsidP="004405B0">
      <w:pPr>
        <w:pStyle w:val="ListParagraph"/>
        <w:spacing w:before="240" w:after="240" w:line="264" w:lineRule="auto"/>
        <w:jc w:val="both"/>
        <w:rPr>
          <w:rFonts w:cs="Arial"/>
          <w:sz w:val="22"/>
        </w:rPr>
      </w:pPr>
      <w:r w:rsidRPr="00161861">
        <w:rPr>
          <w:rFonts w:cs="Arial"/>
          <w:sz w:val="22"/>
        </w:rPr>
        <w:t xml:space="preserve">The following situation </w:t>
      </w:r>
      <w:r w:rsidR="0081157E" w:rsidRPr="00161861">
        <w:rPr>
          <w:rFonts w:cs="Arial"/>
          <w:sz w:val="22"/>
        </w:rPr>
        <w:t>sometimes</w:t>
      </w:r>
      <w:r w:rsidRPr="00161861">
        <w:rPr>
          <w:rFonts w:cs="Arial"/>
          <w:sz w:val="22"/>
        </w:rPr>
        <w:t xml:space="preserve"> arises:</w:t>
      </w:r>
    </w:p>
    <w:p w14:paraId="066BDB1D" w14:textId="01D89BBD" w:rsidR="001703A5" w:rsidRPr="00161861" w:rsidRDefault="008D3E13" w:rsidP="004405B0">
      <w:pPr>
        <w:pStyle w:val="ListParagraph"/>
        <w:numPr>
          <w:ilvl w:val="0"/>
          <w:numId w:val="15"/>
        </w:numPr>
        <w:spacing w:before="240" w:after="240" w:line="264" w:lineRule="auto"/>
        <w:jc w:val="both"/>
        <w:rPr>
          <w:rFonts w:cs="Arial"/>
          <w:sz w:val="22"/>
        </w:rPr>
      </w:pPr>
      <w:r w:rsidRPr="00161861">
        <w:rPr>
          <w:rFonts w:cs="Arial"/>
          <w:sz w:val="22"/>
        </w:rPr>
        <w:t>t</w:t>
      </w:r>
      <w:r w:rsidR="001703A5" w:rsidRPr="00161861">
        <w:rPr>
          <w:rFonts w:cs="Arial"/>
          <w:sz w:val="22"/>
        </w:rPr>
        <w:t>he Tribunal grants an applicat</w:t>
      </w:r>
      <w:r w:rsidR="0069635C" w:rsidRPr="00161861">
        <w:rPr>
          <w:rFonts w:cs="Arial"/>
          <w:sz w:val="22"/>
        </w:rPr>
        <w:t xml:space="preserve">ion to perform a course of ECT </w:t>
      </w:r>
      <w:r w:rsidR="001703A5" w:rsidRPr="00161861">
        <w:rPr>
          <w:rFonts w:cs="Arial"/>
          <w:sz w:val="22"/>
        </w:rPr>
        <w:t>on a person and makes an ECT Ord</w:t>
      </w:r>
      <w:r w:rsidR="00DA053F" w:rsidRPr="00161861">
        <w:rPr>
          <w:rFonts w:cs="Arial"/>
          <w:sz w:val="22"/>
        </w:rPr>
        <w:t>er specifying the number of treatments</w:t>
      </w:r>
      <w:r w:rsidR="001703A5" w:rsidRPr="00161861">
        <w:rPr>
          <w:rFonts w:cs="Arial"/>
          <w:sz w:val="22"/>
        </w:rPr>
        <w:t xml:space="preserve"> to be</w:t>
      </w:r>
      <w:r w:rsidR="00E23CAF" w:rsidRPr="00161861">
        <w:rPr>
          <w:rFonts w:cs="Arial"/>
          <w:sz w:val="22"/>
        </w:rPr>
        <w:t xml:space="preserve"> performed </w:t>
      </w:r>
      <w:proofErr w:type="gramStart"/>
      <w:r w:rsidR="00E23CAF" w:rsidRPr="00161861">
        <w:rPr>
          <w:rFonts w:cs="Arial"/>
          <w:sz w:val="22"/>
        </w:rPr>
        <w:t>in the course of</w:t>
      </w:r>
      <w:proofErr w:type="gramEnd"/>
      <w:r w:rsidR="00E23CAF" w:rsidRPr="00161861">
        <w:rPr>
          <w:rFonts w:cs="Arial"/>
          <w:sz w:val="22"/>
        </w:rPr>
        <w:t xml:space="preserve"> ECT</w:t>
      </w:r>
    </w:p>
    <w:p w14:paraId="72C1A50C" w14:textId="0093CACB" w:rsidR="001703A5" w:rsidRPr="00161861" w:rsidRDefault="008D3E13" w:rsidP="004405B0">
      <w:pPr>
        <w:pStyle w:val="ListParagraph"/>
        <w:numPr>
          <w:ilvl w:val="0"/>
          <w:numId w:val="15"/>
        </w:numPr>
        <w:spacing w:before="240" w:after="240" w:line="264" w:lineRule="auto"/>
        <w:jc w:val="both"/>
        <w:rPr>
          <w:rFonts w:cs="Arial"/>
          <w:sz w:val="22"/>
        </w:rPr>
      </w:pPr>
      <w:proofErr w:type="gramStart"/>
      <w:r w:rsidRPr="00161861">
        <w:rPr>
          <w:rFonts w:cs="Arial"/>
          <w:sz w:val="22"/>
        </w:rPr>
        <w:t>d</w:t>
      </w:r>
      <w:r w:rsidR="001703A5" w:rsidRPr="00161861">
        <w:rPr>
          <w:rFonts w:cs="Arial"/>
          <w:sz w:val="22"/>
        </w:rPr>
        <w:t>uring the course of</w:t>
      </w:r>
      <w:proofErr w:type="gramEnd"/>
      <w:r w:rsidR="001703A5" w:rsidRPr="00161861">
        <w:rPr>
          <w:rFonts w:cs="Arial"/>
          <w:sz w:val="22"/>
        </w:rPr>
        <w:t xml:space="preserve"> ECT (</w:t>
      </w:r>
      <w:r w:rsidR="00F13CD8" w:rsidRPr="00161861">
        <w:rPr>
          <w:rFonts w:cs="Arial"/>
          <w:sz w:val="22"/>
        </w:rPr>
        <w:t>in other words,</w:t>
      </w:r>
      <w:r w:rsidR="001703A5" w:rsidRPr="00161861">
        <w:rPr>
          <w:rFonts w:cs="Arial"/>
          <w:sz w:val="22"/>
        </w:rPr>
        <w:t xml:space="preserve"> while there is still time remaining and ECT treatments left), the </w:t>
      </w:r>
      <w:r w:rsidR="00F13CD8" w:rsidRPr="00161861">
        <w:rPr>
          <w:rFonts w:cs="Arial"/>
          <w:sz w:val="22"/>
        </w:rPr>
        <w:t>a</w:t>
      </w:r>
      <w:r w:rsidR="00C35652" w:rsidRPr="00161861">
        <w:rPr>
          <w:rFonts w:cs="Arial"/>
          <w:sz w:val="22"/>
        </w:rPr>
        <w:t>pplicant</w:t>
      </w:r>
      <w:r w:rsidR="00F13CD8" w:rsidRPr="00161861">
        <w:rPr>
          <w:rFonts w:cs="Arial"/>
          <w:sz w:val="22"/>
        </w:rPr>
        <w:t xml:space="preserve"> </w:t>
      </w:r>
      <w:r w:rsidR="001703A5" w:rsidRPr="00161861">
        <w:rPr>
          <w:rFonts w:cs="Arial"/>
          <w:sz w:val="22"/>
        </w:rPr>
        <w:t xml:space="preserve">psychiatrist makes another </w:t>
      </w:r>
      <w:r w:rsidR="003D74C1" w:rsidRPr="00161861">
        <w:rPr>
          <w:rFonts w:cs="Arial"/>
          <w:sz w:val="22"/>
        </w:rPr>
        <w:t xml:space="preserve">ECT </w:t>
      </w:r>
      <w:r w:rsidR="001703A5" w:rsidRPr="00161861">
        <w:rPr>
          <w:rFonts w:cs="Arial"/>
          <w:sz w:val="22"/>
        </w:rPr>
        <w:t>applicatio</w:t>
      </w:r>
      <w:r w:rsidR="00E23CAF" w:rsidRPr="00161861">
        <w:rPr>
          <w:rFonts w:cs="Arial"/>
          <w:sz w:val="22"/>
        </w:rPr>
        <w:t xml:space="preserve">n </w:t>
      </w:r>
      <w:r w:rsidR="003D74C1" w:rsidRPr="00161861">
        <w:rPr>
          <w:rFonts w:cs="Arial"/>
          <w:sz w:val="22"/>
        </w:rPr>
        <w:t>relating to</w:t>
      </w:r>
      <w:r w:rsidR="00E23CAF" w:rsidRPr="00161861">
        <w:rPr>
          <w:rFonts w:cs="Arial"/>
          <w:sz w:val="22"/>
        </w:rPr>
        <w:t xml:space="preserve"> that person</w:t>
      </w:r>
    </w:p>
    <w:p w14:paraId="09E5C270" w14:textId="580156D1" w:rsidR="001703A5" w:rsidRPr="00161861" w:rsidRDefault="008D3E13" w:rsidP="004405B0">
      <w:pPr>
        <w:pStyle w:val="ListParagraph"/>
        <w:numPr>
          <w:ilvl w:val="0"/>
          <w:numId w:val="15"/>
        </w:numPr>
        <w:spacing w:before="240" w:after="240" w:line="264" w:lineRule="auto"/>
        <w:jc w:val="both"/>
        <w:rPr>
          <w:rFonts w:cs="Arial"/>
          <w:sz w:val="22"/>
        </w:rPr>
      </w:pPr>
      <w:r w:rsidRPr="00161861">
        <w:rPr>
          <w:rFonts w:cs="Arial"/>
          <w:sz w:val="22"/>
        </w:rPr>
        <w:t>t</w:t>
      </w:r>
      <w:r w:rsidR="001703A5" w:rsidRPr="00161861">
        <w:rPr>
          <w:rFonts w:cs="Arial"/>
          <w:sz w:val="22"/>
        </w:rPr>
        <w:t xml:space="preserve">he Tribunal then grants the new application to perform a course of ECT on the person and makes a new ECT Order specifying the number of </w:t>
      </w:r>
      <w:r w:rsidR="00DA053F" w:rsidRPr="00161861">
        <w:rPr>
          <w:rFonts w:cs="Arial"/>
          <w:sz w:val="22"/>
        </w:rPr>
        <w:t xml:space="preserve">treatments </w:t>
      </w:r>
      <w:r w:rsidR="001703A5" w:rsidRPr="00161861">
        <w:rPr>
          <w:rFonts w:cs="Arial"/>
          <w:sz w:val="22"/>
        </w:rPr>
        <w:t xml:space="preserve">authorised </w:t>
      </w:r>
      <w:proofErr w:type="gramStart"/>
      <w:r w:rsidR="001703A5" w:rsidRPr="00161861">
        <w:rPr>
          <w:rFonts w:cs="Arial"/>
          <w:sz w:val="22"/>
        </w:rPr>
        <w:t>in the course of</w:t>
      </w:r>
      <w:proofErr w:type="gramEnd"/>
      <w:r w:rsidR="001703A5" w:rsidRPr="00161861">
        <w:rPr>
          <w:rFonts w:cs="Arial"/>
          <w:sz w:val="22"/>
        </w:rPr>
        <w:t xml:space="preserve"> ECT.</w:t>
      </w:r>
    </w:p>
    <w:p w14:paraId="4E60E694" w14:textId="13827CC7" w:rsidR="00003922" w:rsidRPr="00161861" w:rsidRDefault="003D74C1" w:rsidP="004405B0">
      <w:pPr>
        <w:pStyle w:val="ListParagraph"/>
        <w:spacing w:before="240" w:after="240" w:line="264" w:lineRule="auto"/>
        <w:jc w:val="both"/>
        <w:rPr>
          <w:rFonts w:cs="Arial"/>
          <w:sz w:val="22"/>
        </w:rPr>
      </w:pPr>
      <w:r w:rsidRPr="00161861">
        <w:rPr>
          <w:rFonts w:cs="Arial"/>
          <w:sz w:val="22"/>
        </w:rPr>
        <w:t xml:space="preserve">The Tribunal is sometimes asked </w:t>
      </w:r>
      <w:r w:rsidR="00F229E6" w:rsidRPr="00161861">
        <w:rPr>
          <w:rFonts w:cs="Arial"/>
          <w:sz w:val="22"/>
        </w:rPr>
        <w:t xml:space="preserve">whether </w:t>
      </w:r>
      <w:r w:rsidR="00DA053F" w:rsidRPr="00161861">
        <w:rPr>
          <w:rFonts w:cs="Arial"/>
          <w:sz w:val="22"/>
        </w:rPr>
        <w:t>the remaining treatments</w:t>
      </w:r>
      <w:r w:rsidR="001703A5" w:rsidRPr="00161861">
        <w:rPr>
          <w:rFonts w:cs="Arial"/>
          <w:sz w:val="22"/>
        </w:rPr>
        <w:t xml:space="preserve"> under the existing ECT Order </w:t>
      </w:r>
      <w:r w:rsidR="00F229E6" w:rsidRPr="00161861">
        <w:rPr>
          <w:rFonts w:cs="Arial"/>
          <w:sz w:val="22"/>
        </w:rPr>
        <w:t xml:space="preserve">can </w:t>
      </w:r>
      <w:r w:rsidR="001703A5" w:rsidRPr="00161861">
        <w:rPr>
          <w:rFonts w:cs="Arial"/>
          <w:sz w:val="22"/>
        </w:rPr>
        <w:t xml:space="preserve">be performed before commencing the new course of ECT under the </w:t>
      </w:r>
      <w:r w:rsidR="00E23CAF" w:rsidRPr="00161861">
        <w:rPr>
          <w:rFonts w:cs="Arial"/>
          <w:sz w:val="22"/>
        </w:rPr>
        <w:t>new ECT Order</w:t>
      </w:r>
      <w:r w:rsidR="00F13CD8" w:rsidRPr="00161861">
        <w:rPr>
          <w:rFonts w:cs="Arial"/>
          <w:sz w:val="22"/>
        </w:rPr>
        <w:t>.</w:t>
      </w:r>
      <w:r w:rsidR="00E23CAF" w:rsidRPr="00161861">
        <w:rPr>
          <w:rFonts w:cs="Arial"/>
          <w:sz w:val="22"/>
        </w:rPr>
        <w:t xml:space="preserve"> The answer </w:t>
      </w:r>
      <w:r w:rsidR="00E61C1C" w:rsidRPr="00161861">
        <w:rPr>
          <w:rFonts w:cs="Arial"/>
          <w:sz w:val="22"/>
        </w:rPr>
        <w:t xml:space="preserve">is </w:t>
      </w:r>
      <w:r w:rsidR="00F13CD8" w:rsidRPr="00161861">
        <w:rPr>
          <w:rFonts w:cs="Arial"/>
          <w:sz w:val="22"/>
        </w:rPr>
        <w:t>they cannot.</w:t>
      </w:r>
      <w:r w:rsidR="001703A5" w:rsidRPr="00161861">
        <w:rPr>
          <w:rFonts w:cs="Arial"/>
          <w:sz w:val="22"/>
        </w:rPr>
        <w:t xml:space="preserve"> </w:t>
      </w:r>
      <w:r w:rsidR="00F13CD8" w:rsidRPr="00161861">
        <w:rPr>
          <w:rFonts w:cs="Arial"/>
          <w:sz w:val="22"/>
        </w:rPr>
        <w:t>T</w:t>
      </w:r>
      <w:r w:rsidR="001703A5" w:rsidRPr="00161861">
        <w:rPr>
          <w:rFonts w:cs="Arial"/>
          <w:sz w:val="22"/>
        </w:rPr>
        <w:t xml:space="preserve">he making of a new ECT Order in relation to a person will displace, or impliedly repeal, any existing ECT Order in relation to that person. This means </w:t>
      </w:r>
      <w:r w:rsidRPr="00161861">
        <w:rPr>
          <w:rFonts w:cs="Arial"/>
          <w:sz w:val="22"/>
        </w:rPr>
        <w:t>authorised treatments do not accumulate or</w:t>
      </w:r>
      <w:r w:rsidR="002C779C" w:rsidRPr="00161861">
        <w:rPr>
          <w:rFonts w:cs="Arial"/>
          <w:sz w:val="22"/>
        </w:rPr>
        <w:t xml:space="preserve"> cannot be</w:t>
      </w:r>
      <w:r w:rsidR="001703A5" w:rsidRPr="00161861">
        <w:rPr>
          <w:rFonts w:cs="Arial"/>
          <w:sz w:val="22"/>
        </w:rPr>
        <w:t xml:space="preserve"> ‘stockpile</w:t>
      </w:r>
      <w:r w:rsidR="002C779C" w:rsidRPr="00161861">
        <w:rPr>
          <w:rFonts w:cs="Arial"/>
          <w:sz w:val="22"/>
        </w:rPr>
        <w:t>d</w:t>
      </w:r>
      <w:r w:rsidR="001703A5" w:rsidRPr="00161861">
        <w:rPr>
          <w:rFonts w:cs="Arial"/>
          <w:sz w:val="22"/>
        </w:rPr>
        <w:t>’.</w:t>
      </w:r>
      <w:r w:rsidR="00003922" w:rsidRPr="00161861">
        <w:rPr>
          <w:rFonts w:cs="Arial"/>
          <w:sz w:val="22"/>
        </w:rPr>
        <w:t xml:space="preserve"> </w:t>
      </w:r>
    </w:p>
    <w:p w14:paraId="767A95D4" w14:textId="7F9E044F" w:rsidR="00C873CA" w:rsidRPr="00161861" w:rsidRDefault="00003922" w:rsidP="004405B0">
      <w:pPr>
        <w:pStyle w:val="ListParagraph"/>
        <w:spacing w:before="240" w:after="240" w:line="264" w:lineRule="auto"/>
        <w:jc w:val="both"/>
        <w:rPr>
          <w:rFonts w:cs="Arial"/>
          <w:sz w:val="22"/>
        </w:rPr>
      </w:pPr>
      <w:r w:rsidRPr="00161861">
        <w:rPr>
          <w:rFonts w:cs="Arial"/>
          <w:sz w:val="22"/>
        </w:rPr>
        <w:t xml:space="preserve">Allowing </w:t>
      </w:r>
      <w:r w:rsidR="003D74C1" w:rsidRPr="00161861">
        <w:rPr>
          <w:rFonts w:cs="Arial"/>
          <w:sz w:val="22"/>
        </w:rPr>
        <w:t>authorised</w:t>
      </w:r>
      <w:r w:rsidR="00F13CD8" w:rsidRPr="00161861">
        <w:rPr>
          <w:rFonts w:cs="Arial"/>
          <w:sz w:val="22"/>
        </w:rPr>
        <w:t xml:space="preserve"> ECT</w:t>
      </w:r>
      <w:r w:rsidR="003D74C1" w:rsidRPr="00161861">
        <w:rPr>
          <w:rFonts w:cs="Arial"/>
          <w:sz w:val="22"/>
        </w:rPr>
        <w:t xml:space="preserve"> treatments to </w:t>
      </w:r>
      <w:r w:rsidRPr="00161861">
        <w:rPr>
          <w:rFonts w:cs="Arial"/>
          <w:sz w:val="22"/>
        </w:rPr>
        <w:t xml:space="preserve">‘stockpile’ would undermine the </w:t>
      </w:r>
      <w:r w:rsidR="00F13CD8" w:rsidRPr="00161861">
        <w:rPr>
          <w:rFonts w:cs="Arial"/>
          <w:sz w:val="22"/>
        </w:rPr>
        <w:t xml:space="preserve">principles and </w:t>
      </w:r>
      <w:r w:rsidRPr="00161861">
        <w:rPr>
          <w:rFonts w:cs="Arial"/>
          <w:sz w:val="22"/>
        </w:rPr>
        <w:t xml:space="preserve">objectives of the Act. The objectives of the Act include providing for persons to receive treatment in the least restrictive way possible with the least possible restrictions on human rights and dignity and protecting the rights of the persons receiving treatment. If an existing ECT Order continued in force after a new ECT Order was made and </w:t>
      </w:r>
      <w:r w:rsidR="00696E75" w:rsidRPr="00161861">
        <w:rPr>
          <w:rFonts w:cs="Arial"/>
          <w:sz w:val="22"/>
        </w:rPr>
        <w:t xml:space="preserve">treatments </w:t>
      </w:r>
      <w:r w:rsidRPr="00161861">
        <w:rPr>
          <w:rFonts w:cs="Arial"/>
          <w:sz w:val="22"/>
        </w:rPr>
        <w:t>‘stockpile</w:t>
      </w:r>
      <w:r w:rsidR="00696E75" w:rsidRPr="00161861">
        <w:rPr>
          <w:rFonts w:cs="Arial"/>
          <w:sz w:val="22"/>
        </w:rPr>
        <w:t>d</w:t>
      </w:r>
      <w:r w:rsidR="00DA053F" w:rsidRPr="00161861">
        <w:rPr>
          <w:rFonts w:cs="Arial"/>
          <w:sz w:val="22"/>
        </w:rPr>
        <w:t>’</w:t>
      </w:r>
      <w:r w:rsidRPr="00161861">
        <w:rPr>
          <w:rFonts w:cs="Arial"/>
          <w:sz w:val="22"/>
        </w:rPr>
        <w:t>, a patient could</w:t>
      </w:r>
      <w:r w:rsidR="00DA053F" w:rsidRPr="00161861">
        <w:rPr>
          <w:rFonts w:cs="Arial"/>
          <w:sz w:val="22"/>
        </w:rPr>
        <w:t xml:space="preserve"> be subject to </w:t>
      </w:r>
      <w:proofErr w:type="gramStart"/>
      <w:r w:rsidR="00DA053F" w:rsidRPr="00161861">
        <w:rPr>
          <w:rFonts w:cs="Arial"/>
          <w:sz w:val="22"/>
        </w:rPr>
        <w:t>a number of</w:t>
      </w:r>
      <w:proofErr w:type="gramEnd"/>
      <w:r w:rsidR="00DA053F" w:rsidRPr="00161861">
        <w:rPr>
          <w:rFonts w:cs="Arial"/>
          <w:sz w:val="22"/>
        </w:rPr>
        <w:t xml:space="preserve"> treatments </w:t>
      </w:r>
      <w:r w:rsidRPr="00161861">
        <w:rPr>
          <w:rFonts w:cs="Arial"/>
          <w:sz w:val="22"/>
        </w:rPr>
        <w:t>in the period of time set by the new ECT Order</w:t>
      </w:r>
      <w:r w:rsidR="00DA053F" w:rsidRPr="00161861">
        <w:rPr>
          <w:rFonts w:cs="Arial"/>
          <w:sz w:val="22"/>
        </w:rPr>
        <w:t xml:space="preserve"> that exceeds the number of treatments</w:t>
      </w:r>
      <w:r w:rsidRPr="00161861">
        <w:rPr>
          <w:rFonts w:cs="Arial"/>
          <w:sz w:val="22"/>
        </w:rPr>
        <w:t xml:space="preserve"> the Tribunal </w:t>
      </w:r>
      <w:r w:rsidR="00F13CD8" w:rsidRPr="00161861">
        <w:rPr>
          <w:rFonts w:cs="Arial"/>
          <w:sz w:val="22"/>
        </w:rPr>
        <w:t xml:space="preserve">approved </w:t>
      </w:r>
      <w:r w:rsidRPr="00161861">
        <w:rPr>
          <w:rFonts w:cs="Arial"/>
          <w:sz w:val="22"/>
        </w:rPr>
        <w:t xml:space="preserve">under that </w:t>
      </w:r>
      <w:r w:rsidR="004B0A46" w:rsidRPr="00161861">
        <w:rPr>
          <w:rFonts w:cs="Arial"/>
          <w:sz w:val="22"/>
        </w:rPr>
        <w:t>(new</w:t>
      </w:r>
      <w:r w:rsidR="00AB10E4" w:rsidRPr="00161861">
        <w:rPr>
          <w:rFonts w:cs="Arial"/>
          <w:sz w:val="22"/>
        </w:rPr>
        <w:t xml:space="preserve"> or</w:t>
      </w:r>
      <w:r w:rsidR="004B0A46" w:rsidRPr="00161861">
        <w:rPr>
          <w:rFonts w:cs="Arial"/>
          <w:sz w:val="22"/>
        </w:rPr>
        <w:t xml:space="preserve"> subsequent) </w:t>
      </w:r>
      <w:r w:rsidRPr="00161861">
        <w:rPr>
          <w:rFonts w:cs="Arial"/>
          <w:sz w:val="22"/>
        </w:rPr>
        <w:t xml:space="preserve">Order. It follows that a patient might receive a greater </w:t>
      </w:r>
      <w:r w:rsidR="004B0A46" w:rsidRPr="00161861">
        <w:rPr>
          <w:rFonts w:cs="Arial"/>
          <w:sz w:val="22"/>
        </w:rPr>
        <w:t xml:space="preserve">number of ECTs </w:t>
      </w:r>
      <w:r w:rsidRPr="00161861">
        <w:rPr>
          <w:rFonts w:cs="Arial"/>
          <w:sz w:val="22"/>
        </w:rPr>
        <w:t>than the Tribunal considered reflected the least restrictive way for the p</w:t>
      </w:r>
      <w:r w:rsidR="00F13CD8" w:rsidRPr="00161861">
        <w:rPr>
          <w:rFonts w:cs="Arial"/>
          <w:sz w:val="22"/>
        </w:rPr>
        <w:t>erson</w:t>
      </w:r>
      <w:r w:rsidRPr="00161861">
        <w:rPr>
          <w:rFonts w:cs="Arial"/>
          <w:sz w:val="22"/>
        </w:rPr>
        <w:t xml:space="preserve"> to be treated</w:t>
      </w:r>
      <w:r w:rsidR="001734B6" w:rsidRPr="00161861">
        <w:rPr>
          <w:rFonts w:cs="Arial"/>
          <w:sz w:val="22"/>
        </w:rPr>
        <w:t xml:space="preserve"> </w:t>
      </w:r>
      <w:r w:rsidR="00DA053F" w:rsidRPr="00161861">
        <w:rPr>
          <w:rFonts w:cs="Arial"/>
          <w:sz w:val="22"/>
        </w:rPr>
        <w:t>at the time of the most recent Tribunal hearing.</w:t>
      </w:r>
    </w:p>
    <w:p w14:paraId="57D2CC97" w14:textId="77777777" w:rsidR="001D532D" w:rsidRPr="00161861" w:rsidRDefault="001D532D" w:rsidP="004405B0">
      <w:pPr>
        <w:pBdr>
          <w:top w:val="single" w:sz="4" w:space="1" w:color="auto"/>
          <w:left w:val="single" w:sz="4" w:space="4" w:color="auto"/>
          <w:bottom w:val="single" w:sz="4" w:space="1" w:color="auto"/>
          <w:right w:val="single" w:sz="4" w:space="4" w:color="auto"/>
        </w:pBdr>
        <w:shd w:val="clear" w:color="auto" w:fill="D9D9D9" w:themeFill="background1" w:themeFillShade="D9"/>
        <w:spacing w:before="240" w:after="240" w:line="264" w:lineRule="auto"/>
        <w:jc w:val="both"/>
        <w:rPr>
          <w:rFonts w:cs="Arial"/>
          <w:b/>
        </w:rPr>
      </w:pPr>
      <w:r w:rsidRPr="00161861">
        <w:rPr>
          <w:rFonts w:cs="Arial"/>
          <w:b/>
        </w:rPr>
        <w:t>Example</w:t>
      </w:r>
    </w:p>
    <w:p w14:paraId="4CFFB052" w14:textId="478B11BE" w:rsidR="00765184" w:rsidRPr="00161861" w:rsidRDefault="00D705A8" w:rsidP="004405B0">
      <w:pPr>
        <w:pBdr>
          <w:top w:val="single" w:sz="4" w:space="1" w:color="auto"/>
          <w:left w:val="single" w:sz="4" w:space="4" w:color="auto"/>
          <w:bottom w:val="single" w:sz="4" w:space="1" w:color="auto"/>
          <w:right w:val="single" w:sz="4" w:space="4" w:color="auto"/>
        </w:pBdr>
        <w:shd w:val="clear" w:color="auto" w:fill="D9D9D9" w:themeFill="background1" w:themeFillShade="D9"/>
        <w:spacing w:before="240" w:after="240" w:line="264" w:lineRule="auto"/>
        <w:jc w:val="both"/>
        <w:rPr>
          <w:rFonts w:cs="Arial"/>
        </w:rPr>
      </w:pPr>
      <w:r w:rsidRPr="00161861">
        <w:rPr>
          <w:rFonts w:cs="Arial"/>
        </w:rPr>
        <w:t>After conducting a hearing of an ECT application for ‘Joe’*, an adult patient, t</w:t>
      </w:r>
      <w:r w:rsidR="00765184" w:rsidRPr="00161861">
        <w:rPr>
          <w:rFonts w:cs="Arial"/>
        </w:rPr>
        <w:t>he Tribunal made an ECT Order authorising the performance of</w:t>
      </w:r>
      <w:r w:rsidR="001734B6" w:rsidRPr="00161861">
        <w:rPr>
          <w:rFonts w:cs="Arial"/>
        </w:rPr>
        <w:t xml:space="preserve"> up to</w:t>
      </w:r>
      <w:r w:rsidR="00765184" w:rsidRPr="00161861">
        <w:rPr>
          <w:rFonts w:cs="Arial"/>
        </w:rPr>
        <w:t xml:space="preserve"> </w:t>
      </w:r>
      <w:r w:rsidR="006910FB" w:rsidRPr="00161861">
        <w:rPr>
          <w:rFonts w:cs="Arial"/>
        </w:rPr>
        <w:t>12</w:t>
      </w:r>
      <w:r w:rsidR="00765184" w:rsidRPr="00161861">
        <w:rPr>
          <w:rFonts w:cs="Arial"/>
        </w:rPr>
        <w:t xml:space="preserve"> ECTs in the period of </w:t>
      </w:r>
      <w:r w:rsidR="006910FB" w:rsidRPr="00161861">
        <w:rPr>
          <w:rFonts w:cs="Arial"/>
        </w:rPr>
        <w:t>six weeks</w:t>
      </w:r>
      <w:r w:rsidR="00765184" w:rsidRPr="00161861">
        <w:rPr>
          <w:rFonts w:cs="Arial"/>
        </w:rPr>
        <w:t xml:space="preserve"> from that date. One month later, after performing </w:t>
      </w:r>
      <w:r w:rsidR="006910FB" w:rsidRPr="00161861">
        <w:rPr>
          <w:rFonts w:cs="Arial"/>
        </w:rPr>
        <w:t>10</w:t>
      </w:r>
      <w:r w:rsidR="00765184" w:rsidRPr="00161861">
        <w:rPr>
          <w:rFonts w:cs="Arial"/>
        </w:rPr>
        <w:t xml:space="preserve"> of the ECTs, the authorised psychiatrist ma</w:t>
      </w:r>
      <w:r w:rsidRPr="00161861">
        <w:rPr>
          <w:rFonts w:cs="Arial"/>
        </w:rPr>
        <w:t>de</w:t>
      </w:r>
      <w:r w:rsidR="00765184" w:rsidRPr="00161861">
        <w:rPr>
          <w:rFonts w:cs="Arial"/>
        </w:rPr>
        <w:t xml:space="preserve"> a fresh application for ECT (as they are entitled to do under section 93(3)</w:t>
      </w:r>
      <w:r w:rsidR="0069635C" w:rsidRPr="00161861">
        <w:rPr>
          <w:rFonts w:cs="Arial"/>
        </w:rPr>
        <w:t>)</w:t>
      </w:r>
      <w:r w:rsidR="00765184" w:rsidRPr="00161861">
        <w:rPr>
          <w:rFonts w:cs="Arial"/>
        </w:rPr>
        <w:t xml:space="preserve">. The </w:t>
      </w:r>
      <w:r w:rsidR="00F13CD8" w:rsidRPr="00161861">
        <w:rPr>
          <w:rFonts w:cs="Arial"/>
        </w:rPr>
        <w:t xml:space="preserve">Tribunal </w:t>
      </w:r>
      <w:r w:rsidR="00765184" w:rsidRPr="00161861">
        <w:rPr>
          <w:rFonts w:cs="Arial"/>
        </w:rPr>
        <w:t xml:space="preserve">division </w:t>
      </w:r>
      <w:proofErr w:type="gramStart"/>
      <w:r w:rsidR="00765184" w:rsidRPr="00161861">
        <w:rPr>
          <w:rFonts w:cs="Arial"/>
        </w:rPr>
        <w:t>t</w:t>
      </w:r>
      <w:r w:rsidRPr="00161861">
        <w:rPr>
          <w:rFonts w:cs="Arial"/>
        </w:rPr>
        <w:t>ook</w:t>
      </w:r>
      <w:r w:rsidR="0081157E" w:rsidRPr="00161861">
        <w:rPr>
          <w:rFonts w:cs="Arial"/>
        </w:rPr>
        <w:t xml:space="preserve"> </w:t>
      </w:r>
      <w:r w:rsidR="00765184" w:rsidRPr="00161861">
        <w:rPr>
          <w:rFonts w:cs="Arial"/>
        </w:rPr>
        <w:t>into account</w:t>
      </w:r>
      <w:proofErr w:type="gramEnd"/>
      <w:r w:rsidR="00765184" w:rsidRPr="00161861">
        <w:rPr>
          <w:rFonts w:cs="Arial"/>
        </w:rPr>
        <w:t xml:space="preserve"> </w:t>
      </w:r>
      <w:r w:rsidR="0081157E" w:rsidRPr="00161861">
        <w:rPr>
          <w:rFonts w:cs="Arial"/>
        </w:rPr>
        <w:t>Joe</w:t>
      </w:r>
      <w:r w:rsidR="00765184" w:rsidRPr="00161861">
        <w:rPr>
          <w:rFonts w:cs="Arial"/>
        </w:rPr>
        <w:t>’s circumstances on the day of the hearing and ma</w:t>
      </w:r>
      <w:r w:rsidRPr="00161861">
        <w:rPr>
          <w:rFonts w:cs="Arial"/>
        </w:rPr>
        <w:t>de</w:t>
      </w:r>
      <w:r w:rsidR="00765184" w:rsidRPr="00161861">
        <w:rPr>
          <w:rFonts w:cs="Arial"/>
        </w:rPr>
        <w:t xml:space="preserve"> a new ECT Order </w:t>
      </w:r>
      <w:r w:rsidRPr="00161861">
        <w:rPr>
          <w:rFonts w:cs="Arial"/>
        </w:rPr>
        <w:t xml:space="preserve">for </w:t>
      </w:r>
      <w:r w:rsidR="006910FB" w:rsidRPr="00161861">
        <w:rPr>
          <w:rFonts w:cs="Arial"/>
        </w:rPr>
        <w:t>six</w:t>
      </w:r>
      <w:r w:rsidRPr="00161861">
        <w:rPr>
          <w:rFonts w:cs="Arial"/>
        </w:rPr>
        <w:t xml:space="preserve"> ECTs in one month. </w:t>
      </w:r>
    </w:p>
    <w:p w14:paraId="13F7BDDC" w14:textId="0156FE59" w:rsidR="00D705A8" w:rsidRPr="00161861" w:rsidRDefault="00D705A8" w:rsidP="004405B0">
      <w:pPr>
        <w:pBdr>
          <w:top w:val="single" w:sz="4" w:space="1" w:color="auto"/>
          <w:left w:val="single" w:sz="4" w:space="4" w:color="auto"/>
          <w:bottom w:val="single" w:sz="4" w:space="1" w:color="auto"/>
          <w:right w:val="single" w:sz="4" w:space="4" w:color="auto"/>
        </w:pBdr>
        <w:shd w:val="clear" w:color="auto" w:fill="D9D9D9" w:themeFill="background1" w:themeFillShade="D9"/>
        <w:spacing w:before="240" w:after="240" w:line="264" w:lineRule="auto"/>
        <w:jc w:val="both"/>
        <w:rPr>
          <w:rFonts w:cs="Arial"/>
        </w:rPr>
      </w:pPr>
      <w:r w:rsidRPr="00161861">
        <w:rPr>
          <w:rFonts w:cs="Arial"/>
        </w:rPr>
        <w:t xml:space="preserve">In this case, the service may only perform </w:t>
      </w:r>
      <w:r w:rsidR="001734B6" w:rsidRPr="00161861">
        <w:rPr>
          <w:rFonts w:cs="Arial"/>
        </w:rPr>
        <w:t xml:space="preserve">a further </w:t>
      </w:r>
      <w:r w:rsidR="006910FB" w:rsidRPr="00161861">
        <w:rPr>
          <w:rFonts w:cs="Arial"/>
        </w:rPr>
        <w:t>six</w:t>
      </w:r>
      <w:r w:rsidRPr="00161861">
        <w:rPr>
          <w:rFonts w:cs="Arial"/>
        </w:rPr>
        <w:t xml:space="preserve"> ECTs</w:t>
      </w:r>
      <w:r w:rsidR="0081157E" w:rsidRPr="00161861">
        <w:rPr>
          <w:rFonts w:cs="Arial"/>
        </w:rPr>
        <w:t xml:space="preserve"> on Joe</w:t>
      </w:r>
      <w:r w:rsidRPr="00161861">
        <w:rPr>
          <w:rFonts w:cs="Arial"/>
        </w:rPr>
        <w:t xml:space="preserve"> in one month, even though there were two ECTs left on the previous ECT Order.</w:t>
      </w:r>
    </w:p>
    <w:p w14:paraId="49153473" w14:textId="77777777" w:rsidR="00E8603C" w:rsidRPr="00B45684" w:rsidRDefault="00E8603C" w:rsidP="004405B0">
      <w:pPr>
        <w:spacing w:before="240" w:after="240" w:line="264" w:lineRule="auto"/>
        <w:rPr>
          <w:rFonts w:eastAsiaTheme="majorEastAsia" w:cs="Arial"/>
          <w:b/>
          <w:bCs/>
          <w:color w:val="365F91" w:themeColor="accent1" w:themeShade="BF"/>
          <w:sz w:val="26"/>
          <w:szCs w:val="28"/>
        </w:rPr>
      </w:pPr>
      <w:r w:rsidRPr="00B45684">
        <w:rPr>
          <w:rFonts w:cs="Arial"/>
        </w:rPr>
        <w:br w:type="page"/>
      </w:r>
    </w:p>
    <w:p w14:paraId="37A2BF3D" w14:textId="5D23C3A1" w:rsidR="00D41741" w:rsidRPr="00B45684" w:rsidRDefault="00F7619F" w:rsidP="00F7619F">
      <w:pPr>
        <w:pStyle w:val="Heading1"/>
        <w:rPr>
          <w:rFonts w:cs="Arial"/>
        </w:rPr>
      </w:pPr>
      <w:bookmarkStart w:id="48" w:name="_Toc9328596"/>
      <w:bookmarkStart w:id="49" w:name="_Toc9328780"/>
      <w:bookmarkStart w:id="50" w:name="_Toc9517092"/>
      <w:r w:rsidRPr="00B45684">
        <w:rPr>
          <w:rFonts w:cs="Arial"/>
        </w:rPr>
        <w:t>Application for ECT Order shortly after the refusal of an ECT application</w:t>
      </w:r>
      <w:bookmarkEnd w:id="48"/>
      <w:bookmarkEnd w:id="49"/>
      <w:bookmarkEnd w:id="50"/>
    </w:p>
    <w:p w14:paraId="798F626B" w14:textId="5A9477B0" w:rsidR="00FD3B29" w:rsidRPr="00161861" w:rsidRDefault="00FD3B29" w:rsidP="004405B0">
      <w:pPr>
        <w:pStyle w:val="ListParagraph"/>
        <w:spacing w:before="240" w:after="240" w:line="264" w:lineRule="auto"/>
        <w:jc w:val="both"/>
        <w:rPr>
          <w:rFonts w:cs="Arial"/>
          <w:sz w:val="22"/>
        </w:rPr>
      </w:pPr>
      <w:r w:rsidRPr="00161861">
        <w:rPr>
          <w:rFonts w:cs="Arial"/>
          <w:sz w:val="22"/>
        </w:rPr>
        <w:t>Sometimes an a</w:t>
      </w:r>
      <w:r w:rsidR="00C35652" w:rsidRPr="00161861">
        <w:rPr>
          <w:rFonts w:cs="Arial"/>
          <w:sz w:val="22"/>
        </w:rPr>
        <w:t>pplicant</w:t>
      </w:r>
      <w:r w:rsidRPr="00161861">
        <w:rPr>
          <w:rFonts w:cs="Arial"/>
          <w:sz w:val="22"/>
        </w:rPr>
        <w:t xml:space="preserve"> psychiatrist may make a new applicatio</w:t>
      </w:r>
      <w:r w:rsidR="00BB27D0" w:rsidRPr="00161861">
        <w:rPr>
          <w:rFonts w:cs="Arial"/>
          <w:sz w:val="22"/>
        </w:rPr>
        <w:t xml:space="preserve">n for ECT within </w:t>
      </w:r>
      <w:r w:rsidR="00696E75" w:rsidRPr="00161861">
        <w:rPr>
          <w:rFonts w:cs="Arial"/>
          <w:sz w:val="22"/>
        </w:rPr>
        <w:t>a short period</w:t>
      </w:r>
      <w:r w:rsidR="00BB27D0" w:rsidRPr="00161861">
        <w:rPr>
          <w:rFonts w:cs="Arial"/>
          <w:sz w:val="22"/>
        </w:rPr>
        <w:t xml:space="preserve"> of</w:t>
      </w:r>
      <w:r w:rsidRPr="00161861">
        <w:rPr>
          <w:rFonts w:cs="Arial"/>
          <w:sz w:val="22"/>
        </w:rPr>
        <w:t xml:space="preserve"> </w:t>
      </w:r>
      <w:r w:rsidR="000D6461" w:rsidRPr="00161861">
        <w:rPr>
          <w:rFonts w:cs="Arial"/>
          <w:sz w:val="22"/>
        </w:rPr>
        <w:t xml:space="preserve">a Tribunal </w:t>
      </w:r>
      <w:r w:rsidRPr="00161861">
        <w:rPr>
          <w:rFonts w:cs="Arial"/>
          <w:sz w:val="22"/>
        </w:rPr>
        <w:t>hearing at which a previous application for ECT was refused.</w:t>
      </w:r>
      <w:r w:rsidR="00696E75" w:rsidRPr="00161861">
        <w:rPr>
          <w:rFonts w:cs="Arial"/>
          <w:sz w:val="22"/>
        </w:rPr>
        <w:t xml:space="preserve"> This is permitted under the Act which implicitly recognises that circumstances can change quickly and significantly.</w:t>
      </w:r>
    </w:p>
    <w:p w14:paraId="0CBFAC38" w14:textId="4B8B4C52" w:rsidR="00BB27D0" w:rsidRPr="00161861" w:rsidRDefault="00FD3B29" w:rsidP="004405B0">
      <w:pPr>
        <w:pStyle w:val="ListParagraph"/>
        <w:spacing w:before="240" w:after="240" w:line="264" w:lineRule="auto"/>
        <w:jc w:val="both"/>
        <w:rPr>
          <w:rFonts w:cs="Arial"/>
          <w:sz w:val="22"/>
        </w:rPr>
      </w:pPr>
      <w:r w:rsidRPr="00161861">
        <w:rPr>
          <w:rFonts w:cs="Arial"/>
          <w:sz w:val="22"/>
        </w:rPr>
        <w:t xml:space="preserve">In such situations, it is </w:t>
      </w:r>
      <w:proofErr w:type="gramStart"/>
      <w:r w:rsidRPr="00161861">
        <w:rPr>
          <w:rFonts w:cs="Arial"/>
          <w:sz w:val="22"/>
        </w:rPr>
        <w:t>sufficient</w:t>
      </w:r>
      <w:proofErr w:type="gramEnd"/>
      <w:r w:rsidRPr="00161861">
        <w:rPr>
          <w:rFonts w:cs="Arial"/>
          <w:sz w:val="22"/>
        </w:rPr>
        <w:t xml:space="preserve"> that the division of the Tribunal hearing the second application receive a copy of the determination of the previous division (</w:t>
      </w:r>
      <w:r w:rsidR="001E7DAF" w:rsidRPr="00161861">
        <w:rPr>
          <w:rFonts w:cs="Arial"/>
          <w:sz w:val="22"/>
        </w:rPr>
        <w:t>the determination will specify</w:t>
      </w:r>
      <w:r w:rsidR="009D5248" w:rsidRPr="00161861">
        <w:rPr>
          <w:rFonts w:cs="Arial"/>
          <w:sz w:val="22"/>
        </w:rPr>
        <w:t xml:space="preserve"> which criterion or criteria was or were not met.</w:t>
      </w:r>
      <w:r w:rsidR="003D440E" w:rsidRPr="00161861">
        <w:rPr>
          <w:rFonts w:cs="Arial"/>
          <w:sz w:val="22"/>
        </w:rPr>
        <w:t>)</w:t>
      </w:r>
      <w:r w:rsidR="009D5248" w:rsidRPr="00161861">
        <w:rPr>
          <w:rFonts w:cs="Arial"/>
          <w:sz w:val="22"/>
        </w:rPr>
        <w:t xml:space="preserve"> </w:t>
      </w:r>
      <w:r w:rsidR="001E7DAF" w:rsidRPr="00161861">
        <w:rPr>
          <w:rFonts w:cs="Arial"/>
          <w:i/>
          <w:sz w:val="22"/>
        </w:rPr>
        <w:t xml:space="preserve"> </w:t>
      </w:r>
    </w:p>
    <w:p w14:paraId="09DC5197" w14:textId="4FB10A90" w:rsidR="00FD10D9" w:rsidRPr="00161861" w:rsidRDefault="00FD3B29" w:rsidP="004405B0">
      <w:pPr>
        <w:pStyle w:val="ListParagraph"/>
        <w:spacing w:before="240" w:after="240" w:line="264" w:lineRule="auto"/>
        <w:jc w:val="both"/>
        <w:rPr>
          <w:rFonts w:cs="Arial"/>
          <w:sz w:val="22"/>
        </w:rPr>
      </w:pPr>
      <w:r w:rsidRPr="00161861">
        <w:rPr>
          <w:rFonts w:cs="Arial"/>
          <w:sz w:val="22"/>
        </w:rPr>
        <w:t xml:space="preserve">The new division </w:t>
      </w:r>
      <w:r w:rsidR="001F36C2" w:rsidRPr="00161861">
        <w:rPr>
          <w:rFonts w:cs="Arial"/>
          <w:sz w:val="22"/>
        </w:rPr>
        <w:t xml:space="preserve">will be aware of the decision of the </w:t>
      </w:r>
      <w:r w:rsidRPr="00161861">
        <w:rPr>
          <w:rFonts w:cs="Arial"/>
          <w:sz w:val="22"/>
        </w:rPr>
        <w:t>earlier division; however, it is not bound by it.</w:t>
      </w:r>
      <w:r w:rsidR="00BB27D0" w:rsidRPr="00161861">
        <w:rPr>
          <w:rFonts w:cs="Arial"/>
          <w:sz w:val="22"/>
        </w:rPr>
        <w:t xml:space="preserve"> </w:t>
      </w:r>
      <w:r w:rsidRPr="00161861">
        <w:rPr>
          <w:rFonts w:cs="Arial"/>
          <w:sz w:val="22"/>
        </w:rPr>
        <w:t>Rather, the Tribunal’s task is to consider whether the ECT criteria are met (in which case it must make an ECT Order) or not met (in which case it must refuse to make an ECT Order).</w:t>
      </w:r>
    </w:p>
    <w:p w14:paraId="4E521AE1" w14:textId="444E1922" w:rsidR="006910FB" w:rsidRPr="00161861" w:rsidRDefault="0025082F" w:rsidP="004405B0">
      <w:pPr>
        <w:pStyle w:val="ListParagraph"/>
        <w:spacing w:before="240" w:after="240" w:line="264" w:lineRule="auto"/>
        <w:jc w:val="both"/>
        <w:rPr>
          <w:rFonts w:cs="Arial"/>
          <w:sz w:val="22"/>
        </w:rPr>
      </w:pPr>
      <w:r w:rsidRPr="00161861">
        <w:rPr>
          <w:rFonts w:cs="Arial"/>
          <w:sz w:val="22"/>
        </w:rPr>
        <w:t xml:space="preserve">The decision and reasons of the earlier division </w:t>
      </w:r>
      <w:r w:rsidR="003558EE" w:rsidRPr="00161861">
        <w:rPr>
          <w:rFonts w:cs="Arial"/>
          <w:sz w:val="22"/>
        </w:rPr>
        <w:t>may</w:t>
      </w:r>
      <w:r w:rsidR="006910FB" w:rsidRPr="00161861">
        <w:rPr>
          <w:rFonts w:cs="Arial"/>
          <w:sz w:val="22"/>
        </w:rPr>
        <w:t xml:space="preserve"> b</w:t>
      </w:r>
      <w:r w:rsidRPr="00161861">
        <w:rPr>
          <w:rFonts w:cs="Arial"/>
          <w:sz w:val="22"/>
        </w:rPr>
        <w:t>e relevant</w:t>
      </w:r>
      <w:r w:rsidR="003558EE" w:rsidRPr="00161861">
        <w:rPr>
          <w:rFonts w:cs="Arial"/>
          <w:sz w:val="22"/>
        </w:rPr>
        <w:t xml:space="preserve"> in the following circumstances.</w:t>
      </w:r>
    </w:p>
    <w:p w14:paraId="5AA61740" w14:textId="67CBD8C1" w:rsidR="00FD10D9" w:rsidRPr="00161861" w:rsidRDefault="003558EE" w:rsidP="004405B0">
      <w:pPr>
        <w:pStyle w:val="ListParagraph"/>
        <w:numPr>
          <w:ilvl w:val="0"/>
          <w:numId w:val="26"/>
        </w:numPr>
        <w:spacing w:before="240" w:after="240" w:line="264" w:lineRule="auto"/>
        <w:jc w:val="both"/>
        <w:rPr>
          <w:rFonts w:cs="Arial"/>
          <w:sz w:val="22"/>
        </w:rPr>
      </w:pPr>
      <w:r w:rsidRPr="00161861">
        <w:rPr>
          <w:rFonts w:cs="Arial"/>
          <w:sz w:val="22"/>
        </w:rPr>
        <w:t>I</w:t>
      </w:r>
      <w:r w:rsidR="0025082F" w:rsidRPr="00161861">
        <w:rPr>
          <w:rFonts w:cs="Arial"/>
          <w:sz w:val="22"/>
        </w:rPr>
        <w:t>f the application</w:t>
      </w:r>
      <w:r w:rsidR="004B0A46" w:rsidRPr="00161861">
        <w:rPr>
          <w:rFonts w:cs="Arial"/>
          <w:sz w:val="22"/>
        </w:rPr>
        <w:t xml:space="preserve"> was refused</w:t>
      </w:r>
      <w:r w:rsidR="0025082F" w:rsidRPr="00161861">
        <w:rPr>
          <w:rFonts w:cs="Arial"/>
          <w:sz w:val="22"/>
        </w:rPr>
        <w:t xml:space="preserve"> on the basis that </w:t>
      </w:r>
      <w:r w:rsidR="004B0A46" w:rsidRPr="00161861">
        <w:rPr>
          <w:rFonts w:cs="Arial"/>
          <w:sz w:val="22"/>
        </w:rPr>
        <w:t>a</w:t>
      </w:r>
      <w:r w:rsidR="0025082F" w:rsidRPr="00161861">
        <w:rPr>
          <w:rFonts w:cs="Arial"/>
          <w:sz w:val="22"/>
        </w:rPr>
        <w:t xml:space="preserve"> less restrictive means of treatment was available and the fresh application was made before this other means of treatment had been attempted</w:t>
      </w:r>
      <w:r w:rsidR="00F13CD8" w:rsidRPr="00161861">
        <w:rPr>
          <w:rFonts w:cs="Arial"/>
          <w:sz w:val="22"/>
        </w:rPr>
        <w:t>,</w:t>
      </w:r>
      <w:r w:rsidR="006910FB" w:rsidRPr="00161861">
        <w:rPr>
          <w:rFonts w:cs="Arial"/>
          <w:sz w:val="22"/>
        </w:rPr>
        <w:t xml:space="preserve"> the reasons for this will likely be explored in the second hearing</w:t>
      </w:r>
      <w:r w:rsidR="00AB10E4" w:rsidRPr="00161861">
        <w:rPr>
          <w:rFonts w:cs="Arial"/>
          <w:sz w:val="22"/>
        </w:rPr>
        <w:t>.</w:t>
      </w:r>
    </w:p>
    <w:p w14:paraId="6E860B52" w14:textId="1E531E27" w:rsidR="0025082F" w:rsidRPr="00161861" w:rsidRDefault="003558EE" w:rsidP="004405B0">
      <w:pPr>
        <w:pStyle w:val="ListParagraph"/>
        <w:numPr>
          <w:ilvl w:val="0"/>
          <w:numId w:val="26"/>
        </w:numPr>
        <w:spacing w:before="240" w:after="240" w:line="264" w:lineRule="auto"/>
        <w:jc w:val="both"/>
        <w:rPr>
          <w:rFonts w:cs="Arial"/>
          <w:sz w:val="22"/>
        </w:rPr>
      </w:pPr>
      <w:r w:rsidRPr="00161861">
        <w:rPr>
          <w:rFonts w:cs="Arial"/>
          <w:sz w:val="22"/>
        </w:rPr>
        <w:t>I</w:t>
      </w:r>
      <w:r w:rsidR="006910FB" w:rsidRPr="00161861">
        <w:rPr>
          <w:rFonts w:cs="Arial"/>
          <w:sz w:val="22"/>
        </w:rPr>
        <w:t xml:space="preserve">f </w:t>
      </w:r>
      <w:r w:rsidR="002B7A59" w:rsidRPr="00161861">
        <w:rPr>
          <w:rFonts w:cs="Arial"/>
          <w:sz w:val="22"/>
        </w:rPr>
        <w:t xml:space="preserve">an application </w:t>
      </w:r>
      <w:r w:rsidR="004B0A46" w:rsidRPr="00161861">
        <w:rPr>
          <w:rFonts w:cs="Arial"/>
          <w:sz w:val="22"/>
        </w:rPr>
        <w:t xml:space="preserve">was refused </w:t>
      </w:r>
      <w:r w:rsidR="002B7A59" w:rsidRPr="00161861">
        <w:rPr>
          <w:rFonts w:cs="Arial"/>
          <w:sz w:val="22"/>
        </w:rPr>
        <w:t xml:space="preserve">because </w:t>
      </w:r>
      <w:r w:rsidR="00696E75" w:rsidRPr="00161861">
        <w:rPr>
          <w:rFonts w:cs="Arial"/>
          <w:sz w:val="22"/>
        </w:rPr>
        <w:t>the person had capacity</w:t>
      </w:r>
      <w:r w:rsidR="004B0A46" w:rsidRPr="00161861">
        <w:rPr>
          <w:rFonts w:cs="Arial"/>
          <w:sz w:val="22"/>
        </w:rPr>
        <w:t>.</w:t>
      </w:r>
      <w:r w:rsidR="00696E75" w:rsidRPr="00161861">
        <w:rPr>
          <w:rFonts w:cs="Arial"/>
          <w:sz w:val="22"/>
        </w:rPr>
        <w:t xml:space="preserve"> </w:t>
      </w:r>
      <w:r w:rsidR="004B0A46" w:rsidRPr="00161861">
        <w:rPr>
          <w:rFonts w:cs="Arial"/>
          <w:sz w:val="22"/>
        </w:rPr>
        <w:t>T</w:t>
      </w:r>
      <w:r w:rsidR="00696E75" w:rsidRPr="00161861">
        <w:rPr>
          <w:rFonts w:cs="Arial"/>
          <w:sz w:val="22"/>
        </w:rPr>
        <w:t>he treating team would need to have a clear explanation regarding which domain of capacity was now impaired, and the basis of this conclusion.</w:t>
      </w:r>
    </w:p>
    <w:p w14:paraId="407A009B" w14:textId="3CA486EC" w:rsidR="002B7A59" w:rsidRPr="00161861" w:rsidRDefault="002B7A59" w:rsidP="004405B0">
      <w:pPr>
        <w:pStyle w:val="ListParagraph"/>
        <w:spacing w:before="240" w:after="240" w:line="264" w:lineRule="auto"/>
        <w:jc w:val="both"/>
        <w:rPr>
          <w:rFonts w:cs="Arial"/>
          <w:sz w:val="22"/>
        </w:rPr>
      </w:pPr>
      <w:r w:rsidRPr="00161861">
        <w:rPr>
          <w:rFonts w:cs="Arial"/>
          <w:sz w:val="22"/>
        </w:rPr>
        <w:t>However, even in these situations the new Tribunal division must reach its own decision on the material before it.</w:t>
      </w:r>
    </w:p>
    <w:p w14:paraId="1A9FE59A" w14:textId="0173F446" w:rsidR="000005F8" w:rsidRPr="00161861" w:rsidRDefault="00FD3B29" w:rsidP="004405B0">
      <w:pPr>
        <w:pStyle w:val="ListParagraph"/>
        <w:spacing w:before="240" w:after="240" w:line="264" w:lineRule="auto"/>
        <w:jc w:val="both"/>
        <w:rPr>
          <w:rFonts w:cs="Arial"/>
          <w:sz w:val="22"/>
        </w:rPr>
      </w:pPr>
      <w:r w:rsidRPr="00161861">
        <w:rPr>
          <w:rFonts w:cs="Arial"/>
          <w:sz w:val="22"/>
        </w:rPr>
        <w:t xml:space="preserve">For the avoidance of doubt, </w:t>
      </w:r>
      <w:r w:rsidR="00587117" w:rsidRPr="00161861">
        <w:rPr>
          <w:rFonts w:cs="Arial"/>
          <w:sz w:val="22"/>
        </w:rPr>
        <w:t>it is not a pre-condition to an application being lodged</w:t>
      </w:r>
      <w:r w:rsidR="00384209" w:rsidRPr="00161861">
        <w:rPr>
          <w:rFonts w:cs="Arial"/>
          <w:sz w:val="22"/>
        </w:rPr>
        <w:t xml:space="preserve"> that the treating team establish a change in circumstances.  However, </w:t>
      </w:r>
      <w:r w:rsidR="008868C7" w:rsidRPr="00161861">
        <w:rPr>
          <w:rFonts w:cs="Arial"/>
          <w:sz w:val="22"/>
        </w:rPr>
        <w:t xml:space="preserve">it is highly likely </w:t>
      </w:r>
      <w:r w:rsidR="00384209" w:rsidRPr="00161861">
        <w:rPr>
          <w:rFonts w:cs="Arial"/>
          <w:sz w:val="22"/>
        </w:rPr>
        <w:t>this will be a subject of inquiry in the determination of the second application.</w:t>
      </w:r>
    </w:p>
    <w:p w14:paraId="3DA714A0" w14:textId="77777777" w:rsidR="000005F8" w:rsidRPr="00B45684" w:rsidRDefault="000005F8" w:rsidP="004405B0">
      <w:pPr>
        <w:spacing w:before="240" w:after="240" w:line="264" w:lineRule="auto"/>
        <w:jc w:val="both"/>
        <w:rPr>
          <w:rFonts w:cs="Arial"/>
        </w:rPr>
      </w:pPr>
      <w:r w:rsidRPr="00B45684">
        <w:rPr>
          <w:rFonts w:cs="Arial"/>
        </w:rPr>
        <w:br w:type="page"/>
      </w:r>
    </w:p>
    <w:p w14:paraId="765F3D2A" w14:textId="51C0AAE5" w:rsidR="00F93AB3" w:rsidRPr="00B45684" w:rsidRDefault="00E8603C" w:rsidP="00F7619F">
      <w:pPr>
        <w:pStyle w:val="Heading1"/>
        <w:rPr>
          <w:rFonts w:cs="Arial"/>
        </w:rPr>
      </w:pPr>
      <w:bookmarkStart w:id="51" w:name="_Toc9328597"/>
      <w:bookmarkStart w:id="52" w:name="_Toc9328781"/>
      <w:bookmarkStart w:id="53" w:name="_Toc9517093"/>
      <w:r w:rsidRPr="00B45684">
        <w:rPr>
          <w:rFonts w:cs="Arial"/>
        </w:rPr>
        <w:t>APPENDIX</w:t>
      </w:r>
      <w:r w:rsidR="00F7619F" w:rsidRPr="00B45684">
        <w:rPr>
          <w:rFonts w:cs="Arial"/>
        </w:rPr>
        <w:t xml:space="preserve"> - Summary of relevant provisions of the Act</w:t>
      </w:r>
      <w:bookmarkEnd w:id="51"/>
      <w:bookmarkEnd w:id="52"/>
      <w:bookmarkEnd w:id="53"/>
    </w:p>
    <w:p w14:paraId="390A0C21" w14:textId="031FCF45" w:rsidR="00D41741" w:rsidRPr="00B45684" w:rsidRDefault="000005F8" w:rsidP="004405B0">
      <w:pPr>
        <w:pStyle w:val="Heading2"/>
        <w:rPr>
          <w:rFonts w:cs="Arial"/>
        </w:rPr>
      </w:pPr>
      <w:bookmarkStart w:id="54" w:name="_Toc9328598"/>
      <w:bookmarkStart w:id="55" w:name="_Toc9328782"/>
      <w:r w:rsidRPr="00B45684">
        <w:rPr>
          <w:rFonts w:cs="Arial"/>
        </w:rPr>
        <w:t>Criteria applying to different types of ECT applications</w:t>
      </w:r>
      <w:bookmarkEnd w:id="54"/>
      <w:bookmarkEnd w:id="55"/>
    </w:p>
    <w:p w14:paraId="5DC4C4AB" w14:textId="77777777" w:rsidR="000005F8" w:rsidRPr="00161861" w:rsidRDefault="000005F8" w:rsidP="004405B0">
      <w:pPr>
        <w:pStyle w:val="ListParagraph"/>
        <w:spacing w:before="240" w:after="240" w:line="264" w:lineRule="auto"/>
        <w:jc w:val="both"/>
        <w:rPr>
          <w:rFonts w:cs="Arial"/>
          <w:sz w:val="22"/>
        </w:rPr>
      </w:pPr>
      <w:r w:rsidRPr="00161861">
        <w:rPr>
          <w:rFonts w:cs="Arial"/>
          <w:sz w:val="22"/>
        </w:rPr>
        <w:t>For adult patients, the Tribunal may only approve ECT if it is satisfied that:</w:t>
      </w:r>
    </w:p>
    <w:p w14:paraId="60B9C1AA" w14:textId="77777777" w:rsidR="000005F8" w:rsidRPr="00161861" w:rsidRDefault="000005F8" w:rsidP="004405B0">
      <w:pPr>
        <w:pStyle w:val="ListParagraph"/>
        <w:numPr>
          <w:ilvl w:val="0"/>
          <w:numId w:val="6"/>
        </w:numPr>
        <w:spacing w:before="240" w:after="240" w:line="264" w:lineRule="auto"/>
        <w:ind w:left="1134"/>
        <w:jc w:val="both"/>
        <w:rPr>
          <w:rFonts w:cs="Arial"/>
          <w:sz w:val="22"/>
        </w:rPr>
      </w:pPr>
      <w:r w:rsidRPr="00161861">
        <w:rPr>
          <w:rFonts w:cs="Arial"/>
          <w:sz w:val="22"/>
        </w:rPr>
        <w:t>the patient does not have capacity to give informed consent and</w:t>
      </w:r>
    </w:p>
    <w:p w14:paraId="51478607" w14:textId="77777777" w:rsidR="000005F8" w:rsidRPr="00161861" w:rsidRDefault="000005F8" w:rsidP="004405B0">
      <w:pPr>
        <w:pStyle w:val="ListParagraph"/>
        <w:numPr>
          <w:ilvl w:val="0"/>
          <w:numId w:val="6"/>
        </w:numPr>
        <w:spacing w:before="240" w:after="240" w:line="264" w:lineRule="auto"/>
        <w:ind w:left="1134"/>
        <w:jc w:val="both"/>
        <w:rPr>
          <w:rFonts w:cs="Arial"/>
          <w:sz w:val="22"/>
        </w:rPr>
      </w:pPr>
      <w:r w:rsidRPr="00161861">
        <w:rPr>
          <w:rFonts w:cs="Arial"/>
          <w:sz w:val="22"/>
        </w:rPr>
        <w:t>there is no less restrictive way for the patient to be treated.</w:t>
      </w:r>
    </w:p>
    <w:p w14:paraId="3FED8A44" w14:textId="77777777" w:rsidR="000005F8" w:rsidRPr="00161861" w:rsidRDefault="000005F8" w:rsidP="004405B0">
      <w:pPr>
        <w:pStyle w:val="ListParagraph"/>
        <w:spacing w:before="240" w:after="240" w:line="264" w:lineRule="auto"/>
        <w:jc w:val="both"/>
        <w:rPr>
          <w:rFonts w:cs="Arial"/>
          <w:sz w:val="22"/>
        </w:rPr>
      </w:pPr>
      <w:r w:rsidRPr="00161861">
        <w:rPr>
          <w:rFonts w:cs="Arial"/>
          <w:sz w:val="22"/>
        </w:rPr>
        <w:t>For a young person aged under 18 (young person) who is a compulsory patient the Tribunal may only approve ECT if it is satisfied that the young person:</w:t>
      </w:r>
    </w:p>
    <w:p w14:paraId="16DE36BC" w14:textId="77777777" w:rsidR="000005F8" w:rsidRPr="00161861" w:rsidRDefault="000005F8" w:rsidP="004405B0">
      <w:pPr>
        <w:pStyle w:val="ListParagraph"/>
        <w:numPr>
          <w:ilvl w:val="0"/>
          <w:numId w:val="7"/>
        </w:numPr>
        <w:spacing w:before="240" w:after="240" w:line="264" w:lineRule="auto"/>
        <w:ind w:left="1134" w:hanging="425"/>
        <w:jc w:val="both"/>
        <w:rPr>
          <w:rFonts w:cs="Arial"/>
          <w:sz w:val="22"/>
        </w:rPr>
      </w:pPr>
      <w:r w:rsidRPr="00161861">
        <w:rPr>
          <w:rFonts w:cs="Arial"/>
          <w:sz w:val="22"/>
        </w:rPr>
        <w:t xml:space="preserve">has personally given informed consent in writing </w:t>
      </w:r>
      <w:r w:rsidRPr="00161861">
        <w:rPr>
          <w:rFonts w:cs="Arial"/>
          <w:sz w:val="22"/>
          <w:u w:val="single"/>
        </w:rPr>
        <w:t>or</w:t>
      </w:r>
    </w:p>
    <w:p w14:paraId="65E69094" w14:textId="77777777" w:rsidR="000005F8" w:rsidRPr="00161861" w:rsidRDefault="000005F8" w:rsidP="004405B0">
      <w:pPr>
        <w:pStyle w:val="ListParagraph"/>
        <w:numPr>
          <w:ilvl w:val="0"/>
          <w:numId w:val="7"/>
        </w:numPr>
        <w:spacing w:before="240" w:after="240" w:line="264" w:lineRule="auto"/>
        <w:ind w:left="1134" w:hanging="425"/>
        <w:jc w:val="both"/>
        <w:rPr>
          <w:rFonts w:cs="Arial"/>
          <w:sz w:val="22"/>
        </w:rPr>
      </w:pPr>
      <w:r w:rsidRPr="00161861">
        <w:rPr>
          <w:rFonts w:cs="Arial"/>
          <w:sz w:val="22"/>
        </w:rPr>
        <w:t xml:space="preserve">does not have capacity to give informed consent </w:t>
      </w:r>
      <w:r w:rsidRPr="00161861">
        <w:rPr>
          <w:rFonts w:cs="Arial"/>
          <w:sz w:val="22"/>
          <w:u w:val="single"/>
        </w:rPr>
        <w:t>and</w:t>
      </w:r>
    </w:p>
    <w:p w14:paraId="59456624" w14:textId="77777777" w:rsidR="000005F8" w:rsidRPr="00161861" w:rsidRDefault="000005F8" w:rsidP="004405B0">
      <w:pPr>
        <w:pStyle w:val="ListParagraph"/>
        <w:numPr>
          <w:ilvl w:val="0"/>
          <w:numId w:val="7"/>
        </w:numPr>
        <w:spacing w:before="240" w:after="240" w:line="264" w:lineRule="auto"/>
        <w:ind w:left="1134" w:hanging="425"/>
        <w:jc w:val="both"/>
        <w:rPr>
          <w:rFonts w:cs="Arial"/>
          <w:sz w:val="22"/>
        </w:rPr>
      </w:pPr>
      <w:r w:rsidRPr="00161861">
        <w:rPr>
          <w:rFonts w:cs="Arial"/>
          <w:sz w:val="22"/>
        </w:rPr>
        <w:t>there is no less restrictive way for the young person to be treated.</w:t>
      </w:r>
    </w:p>
    <w:p w14:paraId="566C4DE4" w14:textId="77777777" w:rsidR="000005F8" w:rsidRPr="00161861" w:rsidRDefault="000005F8" w:rsidP="004405B0">
      <w:pPr>
        <w:pStyle w:val="ListParagraph"/>
        <w:spacing w:before="240" w:after="240" w:line="264" w:lineRule="auto"/>
        <w:jc w:val="both"/>
        <w:rPr>
          <w:rFonts w:cs="Arial"/>
          <w:sz w:val="22"/>
        </w:rPr>
      </w:pPr>
      <w:r w:rsidRPr="00161861">
        <w:rPr>
          <w:rFonts w:cs="Arial"/>
          <w:sz w:val="22"/>
        </w:rPr>
        <w:t>For a young person who is receiving treatment on a voluntary basis, the Tribunal may only approve ECT if it is satisfied that the young person:</w:t>
      </w:r>
    </w:p>
    <w:p w14:paraId="13F5035D" w14:textId="77777777" w:rsidR="000005F8" w:rsidRPr="00161861" w:rsidRDefault="000005F8" w:rsidP="004405B0">
      <w:pPr>
        <w:pStyle w:val="ListParagraph"/>
        <w:numPr>
          <w:ilvl w:val="0"/>
          <w:numId w:val="32"/>
        </w:numPr>
        <w:spacing w:before="240" w:after="240" w:line="264" w:lineRule="auto"/>
        <w:jc w:val="both"/>
        <w:rPr>
          <w:rFonts w:cs="Arial"/>
          <w:sz w:val="22"/>
        </w:rPr>
      </w:pPr>
      <w:r w:rsidRPr="00161861">
        <w:rPr>
          <w:rFonts w:cs="Arial"/>
          <w:sz w:val="22"/>
        </w:rPr>
        <w:t xml:space="preserve">has personally given informed consent in writing </w:t>
      </w:r>
      <w:r w:rsidRPr="00161861">
        <w:rPr>
          <w:rFonts w:cs="Arial"/>
          <w:sz w:val="22"/>
          <w:u w:val="single"/>
        </w:rPr>
        <w:t>or</w:t>
      </w:r>
    </w:p>
    <w:p w14:paraId="398ED0F7" w14:textId="77777777" w:rsidR="000005F8" w:rsidRPr="00161861" w:rsidRDefault="000005F8" w:rsidP="004405B0">
      <w:pPr>
        <w:pStyle w:val="ListParagraph"/>
        <w:numPr>
          <w:ilvl w:val="0"/>
          <w:numId w:val="32"/>
        </w:numPr>
        <w:spacing w:before="240" w:after="240" w:line="264" w:lineRule="auto"/>
        <w:jc w:val="both"/>
        <w:rPr>
          <w:rFonts w:cs="Arial"/>
          <w:sz w:val="22"/>
        </w:rPr>
      </w:pPr>
      <w:r w:rsidRPr="00161861">
        <w:rPr>
          <w:rFonts w:cs="Arial"/>
          <w:sz w:val="22"/>
        </w:rPr>
        <w:t>does not have capacity to give informed consent but</w:t>
      </w:r>
    </w:p>
    <w:p w14:paraId="36F366D4" w14:textId="77777777" w:rsidR="000005F8" w:rsidRPr="00161861" w:rsidRDefault="000005F8" w:rsidP="004405B0">
      <w:pPr>
        <w:pStyle w:val="ListParagraph"/>
        <w:numPr>
          <w:ilvl w:val="1"/>
          <w:numId w:val="16"/>
        </w:numPr>
        <w:spacing w:before="240" w:after="240" w:line="264" w:lineRule="auto"/>
        <w:ind w:left="1560"/>
        <w:jc w:val="both"/>
        <w:rPr>
          <w:rFonts w:cs="Arial"/>
          <w:sz w:val="22"/>
        </w:rPr>
      </w:pPr>
      <w:r w:rsidRPr="00161861">
        <w:rPr>
          <w:rFonts w:cs="Arial"/>
          <w:sz w:val="22"/>
        </w:rPr>
        <w:t>a person who has the legal authority to consent to treatment for the young person has given informed consent in writing; and</w:t>
      </w:r>
    </w:p>
    <w:p w14:paraId="32BC975A" w14:textId="77777777" w:rsidR="000005F8" w:rsidRPr="00161861" w:rsidRDefault="000005F8" w:rsidP="004405B0">
      <w:pPr>
        <w:pStyle w:val="ListParagraph"/>
        <w:numPr>
          <w:ilvl w:val="1"/>
          <w:numId w:val="16"/>
        </w:numPr>
        <w:spacing w:before="240" w:after="240" w:line="264" w:lineRule="auto"/>
        <w:ind w:left="1560"/>
        <w:jc w:val="both"/>
        <w:rPr>
          <w:rFonts w:cs="Arial"/>
          <w:sz w:val="22"/>
        </w:rPr>
      </w:pPr>
      <w:r w:rsidRPr="00161861">
        <w:rPr>
          <w:rFonts w:cs="Arial"/>
          <w:sz w:val="22"/>
        </w:rPr>
        <w:t>there is no less restrictive way for the young person to be treated.</w:t>
      </w:r>
    </w:p>
    <w:p w14:paraId="0807245A" w14:textId="2915C96C" w:rsidR="000005F8" w:rsidRPr="00161861" w:rsidRDefault="000005F8" w:rsidP="004405B0">
      <w:pPr>
        <w:pStyle w:val="ListParagraph"/>
        <w:spacing w:before="240" w:after="240" w:line="264" w:lineRule="auto"/>
        <w:jc w:val="both"/>
        <w:rPr>
          <w:rFonts w:cs="Arial"/>
          <w:sz w:val="22"/>
        </w:rPr>
      </w:pPr>
      <w:r w:rsidRPr="00161861">
        <w:rPr>
          <w:rFonts w:cs="Arial"/>
          <w:sz w:val="22"/>
        </w:rPr>
        <w:t>For voluntary adults, the Tribunal may only approve ECT if it is satisfied that:</w:t>
      </w:r>
      <w:r w:rsidR="00796E03" w:rsidRPr="00161861">
        <w:rPr>
          <w:rStyle w:val="EndnoteReference"/>
          <w:rFonts w:cs="Arial"/>
          <w:sz w:val="22"/>
        </w:rPr>
        <w:endnoteReference w:id="21"/>
      </w:r>
    </w:p>
    <w:p w14:paraId="150A3D35" w14:textId="77777777" w:rsidR="000005F8" w:rsidRPr="00161861" w:rsidRDefault="000005F8" w:rsidP="004405B0">
      <w:pPr>
        <w:pStyle w:val="ListParagraph"/>
        <w:numPr>
          <w:ilvl w:val="0"/>
          <w:numId w:val="31"/>
        </w:numPr>
        <w:tabs>
          <w:tab w:val="left" w:pos="1134"/>
        </w:tabs>
        <w:spacing w:before="240" w:after="240" w:line="264" w:lineRule="auto"/>
        <w:ind w:left="1134" w:hanging="425"/>
        <w:jc w:val="both"/>
        <w:rPr>
          <w:rFonts w:cs="Arial"/>
          <w:sz w:val="22"/>
        </w:rPr>
      </w:pPr>
      <w:r w:rsidRPr="00161861">
        <w:rPr>
          <w:rFonts w:cs="Arial"/>
          <w:sz w:val="22"/>
        </w:rPr>
        <w:t xml:space="preserve">the voluntary adult does not have capacity to give informed consent </w:t>
      </w:r>
      <w:r w:rsidRPr="00161861">
        <w:rPr>
          <w:rFonts w:cs="Arial"/>
          <w:sz w:val="22"/>
          <w:u w:val="single"/>
        </w:rPr>
        <w:t>and</w:t>
      </w:r>
    </w:p>
    <w:p w14:paraId="44DAC9AF" w14:textId="77777777" w:rsidR="000005F8" w:rsidRPr="00161861" w:rsidRDefault="000005F8" w:rsidP="004405B0">
      <w:pPr>
        <w:pStyle w:val="ListParagraph"/>
        <w:numPr>
          <w:ilvl w:val="0"/>
          <w:numId w:val="31"/>
        </w:numPr>
        <w:tabs>
          <w:tab w:val="left" w:pos="1134"/>
        </w:tabs>
        <w:spacing w:before="240" w:after="240" w:line="264" w:lineRule="auto"/>
        <w:ind w:left="1134" w:hanging="425"/>
        <w:jc w:val="both"/>
        <w:rPr>
          <w:rFonts w:cs="Arial"/>
          <w:sz w:val="22"/>
        </w:rPr>
      </w:pPr>
      <w:r w:rsidRPr="00161861">
        <w:rPr>
          <w:rFonts w:cs="Arial"/>
          <w:sz w:val="22"/>
        </w:rPr>
        <w:t xml:space="preserve">there is no less restrictive way for the voluntary adult to be treated and </w:t>
      </w:r>
      <w:r w:rsidRPr="00161861">
        <w:rPr>
          <w:rFonts w:cs="Arial"/>
          <w:sz w:val="22"/>
          <w:u w:val="single"/>
        </w:rPr>
        <w:t>either</w:t>
      </w:r>
    </w:p>
    <w:p w14:paraId="07B0EA36" w14:textId="77777777" w:rsidR="00796E03" w:rsidRPr="00161861" w:rsidRDefault="000005F8" w:rsidP="004405B0">
      <w:pPr>
        <w:pStyle w:val="ListParagraph"/>
        <w:numPr>
          <w:ilvl w:val="0"/>
          <w:numId w:val="28"/>
        </w:numPr>
        <w:spacing w:before="240" w:after="240" w:line="264" w:lineRule="auto"/>
        <w:ind w:left="1560"/>
        <w:jc w:val="both"/>
        <w:rPr>
          <w:rFonts w:cs="Arial"/>
          <w:sz w:val="22"/>
        </w:rPr>
      </w:pPr>
      <w:r w:rsidRPr="00161861">
        <w:rPr>
          <w:rFonts w:cs="Arial"/>
          <w:sz w:val="22"/>
        </w:rPr>
        <w:t xml:space="preserve">the voluntary adult has an instructional directive giving informed consent to ECT </w:t>
      </w:r>
      <w:r w:rsidRPr="00161861">
        <w:rPr>
          <w:rFonts w:cs="Arial"/>
          <w:sz w:val="22"/>
          <w:u w:val="single"/>
        </w:rPr>
        <w:t>or</w:t>
      </w:r>
    </w:p>
    <w:p w14:paraId="64B0E9D2" w14:textId="1332B50B" w:rsidR="000005F8" w:rsidRPr="00161861" w:rsidRDefault="000005F8" w:rsidP="004405B0">
      <w:pPr>
        <w:pStyle w:val="ListParagraph"/>
        <w:numPr>
          <w:ilvl w:val="0"/>
          <w:numId w:val="28"/>
        </w:numPr>
        <w:spacing w:before="240" w:after="240" w:line="264" w:lineRule="auto"/>
        <w:ind w:left="1560"/>
        <w:jc w:val="both"/>
        <w:rPr>
          <w:rFonts w:cs="Arial"/>
          <w:sz w:val="22"/>
        </w:rPr>
      </w:pPr>
      <w:r w:rsidRPr="00161861">
        <w:rPr>
          <w:rFonts w:cs="Arial"/>
          <w:sz w:val="22"/>
        </w:rPr>
        <w:t>the voluntary adult’s medical treatment decision maker has given informed consent in writing to the treatment.</w:t>
      </w:r>
    </w:p>
    <w:p w14:paraId="47CB4DDF" w14:textId="6A11EC4A" w:rsidR="00796E03" w:rsidRPr="00B45684" w:rsidRDefault="00796E03" w:rsidP="004405B0">
      <w:pPr>
        <w:pStyle w:val="Heading2"/>
        <w:rPr>
          <w:rFonts w:cs="Arial"/>
        </w:rPr>
      </w:pPr>
      <w:bookmarkStart w:id="56" w:name="_Toc9328599"/>
      <w:bookmarkStart w:id="57" w:name="_Toc9328783"/>
      <w:r w:rsidRPr="00B45684">
        <w:rPr>
          <w:rFonts w:cs="Arial"/>
        </w:rPr>
        <w:t>Summary of guiding principles about capacity in section 68(2)</w:t>
      </w:r>
      <w:bookmarkEnd w:id="56"/>
      <w:bookmarkEnd w:id="57"/>
    </w:p>
    <w:p w14:paraId="5D773C0D" w14:textId="5B5D641B" w:rsidR="00796E03" w:rsidRPr="00161861" w:rsidRDefault="00796E03" w:rsidP="004405B0">
      <w:pPr>
        <w:pStyle w:val="ListParagraph"/>
        <w:spacing w:before="240" w:after="240" w:line="264" w:lineRule="auto"/>
        <w:jc w:val="both"/>
        <w:rPr>
          <w:rFonts w:cs="Arial"/>
          <w:sz w:val="22"/>
        </w:rPr>
      </w:pPr>
      <w:r w:rsidRPr="00161861">
        <w:rPr>
          <w:rFonts w:cs="Arial"/>
          <w:sz w:val="22"/>
        </w:rPr>
        <w:t xml:space="preserve">The guiding principles about capacity in section 68(2) </w:t>
      </w:r>
      <w:r w:rsidR="007A4D76" w:rsidRPr="00161861">
        <w:rPr>
          <w:rFonts w:cs="Arial"/>
          <w:sz w:val="22"/>
        </w:rPr>
        <w:t>are as follows.</w:t>
      </w:r>
      <w:r w:rsidRPr="00161861">
        <w:rPr>
          <w:rFonts w:cs="Arial"/>
          <w:sz w:val="22"/>
        </w:rPr>
        <w:t xml:space="preserve"> </w:t>
      </w:r>
    </w:p>
    <w:p w14:paraId="4247A8F9" w14:textId="77777777" w:rsidR="00796E03" w:rsidRPr="00161861" w:rsidRDefault="00796E03" w:rsidP="004405B0">
      <w:pPr>
        <w:pStyle w:val="ListParagraph"/>
        <w:numPr>
          <w:ilvl w:val="0"/>
          <w:numId w:val="38"/>
        </w:numPr>
        <w:spacing w:before="240" w:after="240" w:line="264" w:lineRule="auto"/>
        <w:jc w:val="both"/>
        <w:rPr>
          <w:rFonts w:cs="Arial"/>
          <w:sz w:val="22"/>
        </w:rPr>
      </w:pPr>
      <w:r w:rsidRPr="00161861">
        <w:rPr>
          <w:rFonts w:cs="Arial"/>
          <w:sz w:val="22"/>
        </w:rPr>
        <w:t>A person’s capacity to give informed consent is specific to the decision that the person is to make.</w:t>
      </w:r>
    </w:p>
    <w:p w14:paraId="522A21A9" w14:textId="77777777" w:rsidR="00796E03" w:rsidRPr="00161861" w:rsidRDefault="00796E03" w:rsidP="004405B0">
      <w:pPr>
        <w:pStyle w:val="ListParagraph"/>
        <w:numPr>
          <w:ilvl w:val="0"/>
          <w:numId w:val="38"/>
        </w:numPr>
        <w:spacing w:before="240" w:after="240" w:line="264" w:lineRule="auto"/>
        <w:jc w:val="both"/>
        <w:rPr>
          <w:rFonts w:cs="Arial"/>
          <w:sz w:val="22"/>
        </w:rPr>
      </w:pPr>
      <w:r w:rsidRPr="00161861">
        <w:rPr>
          <w:rFonts w:cs="Arial"/>
          <w:sz w:val="22"/>
        </w:rPr>
        <w:t>A person’s capacity to give informed consent may change over time</w:t>
      </w:r>
    </w:p>
    <w:p w14:paraId="355A3BFE" w14:textId="77777777" w:rsidR="00796E03" w:rsidRPr="00161861" w:rsidRDefault="00796E03" w:rsidP="004405B0">
      <w:pPr>
        <w:pStyle w:val="ListParagraph"/>
        <w:numPr>
          <w:ilvl w:val="0"/>
          <w:numId w:val="38"/>
        </w:numPr>
        <w:spacing w:before="240" w:after="240" w:line="264" w:lineRule="auto"/>
        <w:jc w:val="both"/>
        <w:rPr>
          <w:rFonts w:cs="Arial"/>
          <w:sz w:val="22"/>
        </w:rPr>
      </w:pPr>
      <w:r w:rsidRPr="00161861">
        <w:rPr>
          <w:rFonts w:cs="Arial"/>
          <w:sz w:val="22"/>
        </w:rPr>
        <w:t>It should not be assumed that a person does not have the capacity to give informed consent based only on their age, appearance, condition or an aspect of their behaviour.</w:t>
      </w:r>
    </w:p>
    <w:p w14:paraId="61BC52D1" w14:textId="77777777" w:rsidR="00796E03" w:rsidRPr="00161861" w:rsidRDefault="00796E03" w:rsidP="004405B0">
      <w:pPr>
        <w:pStyle w:val="ListParagraph"/>
        <w:numPr>
          <w:ilvl w:val="0"/>
          <w:numId w:val="38"/>
        </w:numPr>
        <w:spacing w:before="240" w:after="240" w:line="264" w:lineRule="auto"/>
        <w:jc w:val="both"/>
        <w:rPr>
          <w:rFonts w:cs="Arial"/>
          <w:sz w:val="22"/>
        </w:rPr>
      </w:pPr>
      <w:r w:rsidRPr="00161861">
        <w:rPr>
          <w:rFonts w:cs="Arial"/>
          <w:sz w:val="22"/>
        </w:rPr>
        <w:t>A determination that a person does not have capacity to give informed consent should not be made only because the person makes a decision that could be considered unwise.</w:t>
      </w:r>
    </w:p>
    <w:p w14:paraId="10C20A13" w14:textId="35BCD9F0" w:rsidR="00796E03" w:rsidRPr="00161861" w:rsidRDefault="00796E03" w:rsidP="004405B0">
      <w:pPr>
        <w:pStyle w:val="ListParagraph"/>
        <w:numPr>
          <w:ilvl w:val="0"/>
          <w:numId w:val="38"/>
        </w:numPr>
        <w:spacing w:before="240" w:after="240" w:line="264" w:lineRule="auto"/>
        <w:jc w:val="both"/>
        <w:rPr>
          <w:rFonts w:cs="Arial"/>
          <w:sz w:val="22"/>
        </w:rPr>
      </w:pPr>
      <w:r w:rsidRPr="00161861">
        <w:rPr>
          <w:rFonts w:cs="Arial"/>
          <w:sz w:val="22"/>
        </w:rPr>
        <w:t>When assessing a person’s capacity to give informed consent, reasonable steps should be taken to conduct the assessment at a time at, and in an environment in, which the person’s capacity to give informed consent can be assessed most accurately.</w:t>
      </w:r>
    </w:p>
    <w:p w14:paraId="2E0313C0" w14:textId="5C4954F1" w:rsidR="00796E03" w:rsidRPr="00B45684" w:rsidRDefault="007A4D76" w:rsidP="004405B0">
      <w:pPr>
        <w:pStyle w:val="Heading2"/>
        <w:rPr>
          <w:rFonts w:cs="Arial"/>
        </w:rPr>
      </w:pPr>
      <w:bookmarkStart w:id="58" w:name="_Toc9328600"/>
      <w:bookmarkStart w:id="59" w:name="_Toc9328784"/>
      <w:r w:rsidRPr="00B45684">
        <w:rPr>
          <w:rFonts w:cs="Arial"/>
        </w:rPr>
        <w:t>Factors that must be considered in deciding whether there is no less restrictive way to treat a person</w:t>
      </w:r>
      <w:bookmarkEnd w:id="58"/>
      <w:bookmarkEnd w:id="59"/>
    </w:p>
    <w:p w14:paraId="5D6F13E5" w14:textId="5065FF6F" w:rsidR="00796E03" w:rsidRPr="00161861" w:rsidRDefault="00796E03" w:rsidP="004405B0">
      <w:pPr>
        <w:pStyle w:val="ListParagraph"/>
        <w:spacing w:before="240" w:after="240" w:line="264" w:lineRule="auto"/>
        <w:jc w:val="both"/>
        <w:rPr>
          <w:rFonts w:cs="Arial"/>
          <w:sz w:val="22"/>
        </w:rPr>
      </w:pPr>
      <w:r w:rsidRPr="00161861">
        <w:rPr>
          <w:rFonts w:cs="Arial"/>
          <w:sz w:val="22"/>
        </w:rPr>
        <w:t>In determining whether there is no less restrictive way for an adult patient to be treated, the Tribunal must, to the extent that it is reasonable in the circumstances, have regard to</w:t>
      </w:r>
      <w:r w:rsidR="007A4D76" w:rsidRPr="00161861">
        <w:rPr>
          <w:rFonts w:cs="Arial"/>
          <w:sz w:val="22"/>
        </w:rPr>
        <w:t>:</w:t>
      </w:r>
      <w:r w:rsidR="00FA0492" w:rsidRPr="00161861">
        <w:rPr>
          <w:rStyle w:val="EndnoteReference"/>
          <w:rFonts w:cs="Arial"/>
          <w:sz w:val="22"/>
        </w:rPr>
        <w:endnoteReference w:id="22"/>
      </w:r>
    </w:p>
    <w:p w14:paraId="095B26A4" w14:textId="77777777" w:rsidR="00796E03" w:rsidRPr="00161861" w:rsidRDefault="00796E03" w:rsidP="004405B0">
      <w:pPr>
        <w:pStyle w:val="ListParagraph"/>
        <w:numPr>
          <w:ilvl w:val="0"/>
          <w:numId w:val="35"/>
        </w:numPr>
        <w:spacing w:before="240" w:after="240" w:line="264" w:lineRule="auto"/>
        <w:ind w:left="1134"/>
        <w:jc w:val="both"/>
        <w:rPr>
          <w:rFonts w:cs="Arial"/>
          <w:sz w:val="22"/>
        </w:rPr>
      </w:pPr>
      <w:r w:rsidRPr="00161861">
        <w:rPr>
          <w:rFonts w:cs="Arial"/>
          <w:sz w:val="22"/>
        </w:rPr>
        <w:t>the views and preferences of the patient in relation to ECT and any beneficial alternative treatments that are reasonably available and the reasons for those views or preferences, including any recovery outcomes the patient would like to achieve</w:t>
      </w:r>
    </w:p>
    <w:p w14:paraId="08E60B04" w14:textId="77777777" w:rsidR="00796E03" w:rsidRPr="00161861" w:rsidRDefault="00796E03" w:rsidP="004405B0">
      <w:pPr>
        <w:pStyle w:val="ListParagraph"/>
        <w:numPr>
          <w:ilvl w:val="0"/>
          <w:numId w:val="35"/>
        </w:numPr>
        <w:spacing w:before="240" w:after="240" w:line="264" w:lineRule="auto"/>
        <w:ind w:left="1134"/>
        <w:jc w:val="both"/>
        <w:rPr>
          <w:rFonts w:cs="Arial"/>
          <w:sz w:val="22"/>
        </w:rPr>
      </w:pPr>
      <w:r w:rsidRPr="00161861">
        <w:rPr>
          <w:rFonts w:cs="Arial"/>
          <w:sz w:val="22"/>
        </w:rPr>
        <w:t>the views and preferences of the patient expressed in his or her advance statement</w:t>
      </w:r>
    </w:p>
    <w:p w14:paraId="7C415D16" w14:textId="77777777" w:rsidR="00796E03" w:rsidRPr="00161861" w:rsidRDefault="00796E03" w:rsidP="004405B0">
      <w:pPr>
        <w:pStyle w:val="ListParagraph"/>
        <w:numPr>
          <w:ilvl w:val="0"/>
          <w:numId w:val="35"/>
        </w:numPr>
        <w:spacing w:before="240" w:after="240" w:line="264" w:lineRule="auto"/>
        <w:ind w:left="1134"/>
        <w:jc w:val="both"/>
        <w:rPr>
          <w:rFonts w:cs="Arial"/>
          <w:sz w:val="22"/>
        </w:rPr>
      </w:pPr>
      <w:r w:rsidRPr="00161861">
        <w:rPr>
          <w:rFonts w:cs="Arial"/>
          <w:sz w:val="22"/>
        </w:rPr>
        <w:t>the views of the patient’s nominated person</w:t>
      </w:r>
    </w:p>
    <w:p w14:paraId="729CFD84" w14:textId="77777777" w:rsidR="00796E03" w:rsidRPr="00161861" w:rsidRDefault="00796E03" w:rsidP="004405B0">
      <w:pPr>
        <w:pStyle w:val="ListParagraph"/>
        <w:numPr>
          <w:ilvl w:val="0"/>
          <w:numId w:val="35"/>
        </w:numPr>
        <w:spacing w:before="240" w:after="240" w:line="264" w:lineRule="auto"/>
        <w:ind w:left="1134"/>
        <w:jc w:val="both"/>
        <w:rPr>
          <w:rFonts w:cs="Arial"/>
          <w:sz w:val="22"/>
        </w:rPr>
      </w:pPr>
      <w:r w:rsidRPr="00161861">
        <w:rPr>
          <w:rFonts w:cs="Arial"/>
          <w:sz w:val="22"/>
        </w:rPr>
        <w:t>the views of a guardian of the patient</w:t>
      </w:r>
    </w:p>
    <w:p w14:paraId="0BB699C8" w14:textId="3CB63E6C" w:rsidR="00796E03" w:rsidRPr="00161861" w:rsidRDefault="00796E03" w:rsidP="004405B0">
      <w:pPr>
        <w:pStyle w:val="ListParagraph"/>
        <w:numPr>
          <w:ilvl w:val="0"/>
          <w:numId w:val="35"/>
        </w:numPr>
        <w:spacing w:before="240" w:after="240" w:line="264" w:lineRule="auto"/>
        <w:ind w:left="1134"/>
        <w:jc w:val="both"/>
        <w:rPr>
          <w:rFonts w:cs="Arial"/>
          <w:sz w:val="22"/>
        </w:rPr>
      </w:pPr>
      <w:r w:rsidRPr="00161861">
        <w:rPr>
          <w:rFonts w:cs="Arial"/>
          <w:sz w:val="22"/>
        </w:rPr>
        <w:t>the views of a carer of the patient, if the authorised psychiatrist is satisfied that a decision to perform a course of ECT will directly affect the carer and the care relationship</w:t>
      </w:r>
    </w:p>
    <w:p w14:paraId="773645A0" w14:textId="44B8AD6F" w:rsidR="00796E03" w:rsidRPr="00161861" w:rsidRDefault="00796E03" w:rsidP="004405B0">
      <w:pPr>
        <w:pStyle w:val="ListParagraph"/>
        <w:numPr>
          <w:ilvl w:val="0"/>
          <w:numId w:val="35"/>
        </w:numPr>
        <w:spacing w:before="240" w:after="240" w:line="264" w:lineRule="auto"/>
        <w:ind w:left="1134"/>
        <w:jc w:val="both"/>
        <w:rPr>
          <w:rFonts w:cs="Arial"/>
          <w:sz w:val="22"/>
        </w:rPr>
      </w:pPr>
      <w:r w:rsidRPr="00161861">
        <w:rPr>
          <w:rFonts w:cs="Arial"/>
          <w:sz w:val="22"/>
        </w:rPr>
        <w:t xml:space="preserve">the likely consequences for the patient if ECT </w:t>
      </w:r>
      <w:proofErr w:type="gramStart"/>
      <w:r w:rsidRPr="00161861">
        <w:rPr>
          <w:rFonts w:cs="Arial"/>
          <w:sz w:val="22"/>
        </w:rPr>
        <w:t>is</w:t>
      </w:r>
      <w:proofErr w:type="gramEnd"/>
      <w:r w:rsidRPr="00161861">
        <w:rPr>
          <w:rFonts w:cs="Arial"/>
          <w:sz w:val="22"/>
        </w:rPr>
        <w:t xml:space="preserve"> not performed</w:t>
      </w:r>
    </w:p>
    <w:p w14:paraId="7819FF43" w14:textId="5376011D" w:rsidR="00796E03" w:rsidRPr="00161861" w:rsidRDefault="00796E03" w:rsidP="004405B0">
      <w:pPr>
        <w:pStyle w:val="ListParagraph"/>
        <w:numPr>
          <w:ilvl w:val="0"/>
          <w:numId w:val="35"/>
        </w:numPr>
        <w:spacing w:before="240" w:after="240" w:line="264" w:lineRule="auto"/>
        <w:ind w:left="1134"/>
        <w:jc w:val="both"/>
        <w:rPr>
          <w:rFonts w:cs="Arial"/>
          <w:sz w:val="22"/>
        </w:rPr>
      </w:pPr>
      <w:r w:rsidRPr="00161861">
        <w:rPr>
          <w:rFonts w:cs="Arial"/>
          <w:sz w:val="22"/>
        </w:rPr>
        <w:t>any second psychiatric opinion that has been obtained by the patient and given to the psychiatrist.</w:t>
      </w:r>
    </w:p>
    <w:p w14:paraId="18629C29" w14:textId="77777777" w:rsidR="00796E03" w:rsidRPr="00161861" w:rsidRDefault="00796E03" w:rsidP="004405B0">
      <w:pPr>
        <w:pStyle w:val="ListParagraph"/>
        <w:spacing w:before="240" w:after="240" w:line="264" w:lineRule="auto"/>
        <w:jc w:val="both"/>
        <w:rPr>
          <w:rFonts w:cs="Arial"/>
          <w:sz w:val="22"/>
        </w:rPr>
      </w:pPr>
      <w:r w:rsidRPr="00161861">
        <w:rPr>
          <w:rFonts w:cs="Arial"/>
          <w:sz w:val="22"/>
        </w:rPr>
        <w:t>The factors for young people are the same with the addition of:</w:t>
      </w:r>
    </w:p>
    <w:p w14:paraId="1A0D9D40" w14:textId="77777777" w:rsidR="00796E03" w:rsidRPr="00161861" w:rsidRDefault="00796E03" w:rsidP="004405B0">
      <w:pPr>
        <w:pStyle w:val="ListParagraph"/>
        <w:numPr>
          <w:ilvl w:val="0"/>
          <w:numId w:val="35"/>
        </w:numPr>
        <w:spacing w:before="240" w:after="240" w:line="264" w:lineRule="auto"/>
        <w:ind w:left="1134"/>
        <w:jc w:val="both"/>
        <w:rPr>
          <w:rFonts w:cs="Arial"/>
          <w:sz w:val="22"/>
        </w:rPr>
      </w:pPr>
      <w:r w:rsidRPr="00161861">
        <w:rPr>
          <w:rFonts w:cs="Arial"/>
          <w:sz w:val="22"/>
        </w:rPr>
        <w:t>the views of a parent of the young person, if the young person is under the age of 16 years</w:t>
      </w:r>
    </w:p>
    <w:p w14:paraId="17565740" w14:textId="77777777" w:rsidR="00796E03" w:rsidRPr="00161861" w:rsidRDefault="00796E03" w:rsidP="004405B0">
      <w:pPr>
        <w:pStyle w:val="ListParagraph"/>
        <w:numPr>
          <w:ilvl w:val="0"/>
          <w:numId w:val="35"/>
        </w:numPr>
        <w:spacing w:before="240" w:after="240" w:line="264" w:lineRule="auto"/>
        <w:ind w:left="1134"/>
        <w:jc w:val="both"/>
        <w:rPr>
          <w:rFonts w:cs="Arial"/>
          <w:sz w:val="22"/>
        </w:rPr>
      </w:pPr>
      <w:r w:rsidRPr="00161861">
        <w:rPr>
          <w:rFonts w:cs="Arial"/>
          <w:sz w:val="22"/>
        </w:rPr>
        <w:t>the views of a person who has the legal authority to consent to treatment for the young person (if this is the person who has consented to treatment)</w:t>
      </w:r>
    </w:p>
    <w:p w14:paraId="665DF229" w14:textId="5E8200FB" w:rsidR="00796E03" w:rsidRPr="00161861" w:rsidRDefault="00796E03" w:rsidP="004405B0">
      <w:pPr>
        <w:pStyle w:val="ListParagraph"/>
        <w:numPr>
          <w:ilvl w:val="0"/>
          <w:numId w:val="35"/>
        </w:numPr>
        <w:spacing w:before="240" w:after="240" w:line="264" w:lineRule="auto"/>
        <w:ind w:left="1134"/>
        <w:jc w:val="both"/>
        <w:rPr>
          <w:rFonts w:cs="Arial"/>
          <w:sz w:val="22"/>
        </w:rPr>
      </w:pPr>
      <w:r w:rsidRPr="00161861">
        <w:rPr>
          <w:rFonts w:cs="Arial"/>
          <w:sz w:val="22"/>
        </w:rPr>
        <w:t xml:space="preserve">the Secretary to the Department of </w:t>
      </w:r>
      <w:r w:rsidR="00AB10E4" w:rsidRPr="00161861">
        <w:rPr>
          <w:rFonts w:cs="Arial"/>
          <w:sz w:val="22"/>
        </w:rPr>
        <w:t xml:space="preserve">Health and </w:t>
      </w:r>
      <w:r w:rsidRPr="00161861">
        <w:rPr>
          <w:rFonts w:cs="Arial"/>
          <w:sz w:val="22"/>
        </w:rPr>
        <w:t>Human Services, if the young person is the subject of a custody to Secretary order or a guardianship to Secretary order.</w:t>
      </w:r>
    </w:p>
    <w:p w14:paraId="3D200CC6" w14:textId="77777777" w:rsidR="00796E03" w:rsidRPr="00161861" w:rsidRDefault="00796E03" w:rsidP="004405B0">
      <w:pPr>
        <w:pStyle w:val="ListParagraph"/>
        <w:numPr>
          <w:ilvl w:val="0"/>
          <w:numId w:val="35"/>
        </w:numPr>
        <w:spacing w:before="240" w:after="240" w:line="264" w:lineRule="auto"/>
        <w:ind w:left="1134"/>
        <w:jc w:val="both"/>
        <w:rPr>
          <w:rFonts w:cs="Arial"/>
          <w:sz w:val="22"/>
        </w:rPr>
      </w:pPr>
      <w:r w:rsidRPr="00161861">
        <w:rPr>
          <w:rFonts w:cs="Arial"/>
          <w:sz w:val="22"/>
        </w:rPr>
        <w:t>any psychiatric opinion given by another psychiatrist that has been given to the applicant psychiatrist (this is in place of the last dotpoint of the factors that must be considered for adult patients).</w:t>
      </w:r>
    </w:p>
    <w:p w14:paraId="1196E7C4" w14:textId="77777777" w:rsidR="00796E03" w:rsidRPr="00161861" w:rsidRDefault="00796E03" w:rsidP="004405B0">
      <w:pPr>
        <w:pStyle w:val="ListParagraph"/>
        <w:spacing w:before="240" w:after="240" w:line="264" w:lineRule="auto"/>
        <w:jc w:val="both"/>
        <w:rPr>
          <w:rFonts w:cs="Arial"/>
          <w:sz w:val="22"/>
        </w:rPr>
      </w:pPr>
      <w:r w:rsidRPr="00161861">
        <w:rPr>
          <w:rFonts w:cs="Arial"/>
          <w:sz w:val="22"/>
        </w:rPr>
        <w:t>The factors for voluntary adults are:</w:t>
      </w:r>
    </w:p>
    <w:p w14:paraId="654609E4" w14:textId="77777777" w:rsidR="00796E03" w:rsidRPr="00161861" w:rsidRDefault="00796E03" w:rsidP="004405B0">
      <w:pPr>
        <w:pStyle w:val="ListParagraph"/>
        <w:numPr>
          <w:ilvl w:val="0"/>
          <w:numId w:val="35"/>
        </w:numPr>
        <w:spacing w:before="240" w:after="240" w:line="264" w:lineRule="auto"/>
        <w:ind w:left="1134"/>
        <w:jc w:val="both"/>
        <w:rPr>
          <w:rFonts w:cs="Arial"/>
          <w:sz w:val="22"/>
        </w:rPr>
      </w:pPr>
      <w:r w:rsidRPr="00161861">
        <w:rPr>
          <w:rFonts w:cs="Arial"/>
          <w:sz w:val="22"/>
        </w:rPr>
        <w:t>the views and preferences of the person in relation to ECT and any beneficial alternative treatments that are reasonably available and the reasons for those views and preferences, including any recovery outcomes the person would like to achieve</w:t>
      </w:r>
    </w:p>
    <w:p w14:paraId="4AF658CD" w14:textId="77777777" w:rsidR="00796E03" w:rsidRPr="00161861" w:rsidRDefault="00796E03" w:rsidP="004405B0">
      <w:pPr>
        <w:pStyle w:val="ListParagraph"/>
        <w:numPr>
          <w:ilvl w:val="0"/>
          <w:numId w:val="35"/>
        </w:numPr>
        <w:spacing w:before="240" w:after="240" w:line="264" w:lineRule="auto"/>
        <w:ind w:left="1134"/>
        <w:jc w:val="both"/>
        <w:rPr>
          <w:rFonts w:cs="Arial"/>
          <w:sz w:val="22"/>
        </w:rPr>
      </w:pPr>
      <w:r w:rsidRPr="00161861">
        <w:rPr>
          <w:rFonts w:cs="Arial"/>
          <w:sz w:val="22"/>
        </w:rPr>
        <w:t>any values directive of the person</w:t>
      </w:r>
    </w:p>
    <w:p w14:paraId="67B99CAB" w14:textId="77777777" w:rsidR="00796E03" w:rsidRPr="00161861" w:rsidRDefault="00796E03" w:rsidP="004405B0">
      <w:pPr>
        <w:pStyle w:val="ListParagraph"/>
        <w:numPr>
          <w:ilvl w:val="0"/>
          <w:numId w:val="35"/>
        </w:numPr>
        <w:spacing w:before="240" w:after="240" w:line="264" w:lineRule="auto"/>
        <w:ind w:left="1134"/>
        <w:jc w:val="both"/>
        <w:rPr>
          <w:rFonts w:cs="Arial"/>
          <w:sz w:val="22"/>
        </w:rPr>
      </w:pPr>
      <w:r w:rsidRPr="00161861">
        <w:rPr>
          <w:rFonts w:cs="Arial"/>
          <w:sz w:val="22"/>
        </w:rPr>
        <w:t>the views of the person’s medical treatment decision maker or support person (if any)</w:t>
      </w:r>
    </w:p>
    <w:p w14:paraId="56BC310C" w14:textId="77777777" w:rsidR="00796E03" w:rsidRPr="00161861" w:rsidRDefault="00796E03" w:rsidP="004405B0">
      <w:pPr>
        <w:pStyle w:val="ListParagraph"/>
        <w:numPr>
          <w:ilvl w:val="0"/>
          <w:numId w:val="35"/>
        </w:numPr>
        <w:spacing w:before="240" w:after="240" w:line="264" w:lineRule="auto"/>
        <w:ind w:left="1134"/>
        <w:jc w:val="both"/>
        <w:rPr>
          <w:rFonts w:cs="Arial"/>
          <w:sz w:val="22"/>
        </w:rPr>
      </w:pPr>
      <w:r w:rsidRPr="00161861">
        <w:rPr>
          <w:rFonts w:cs="Arial"/>
          <w:sz w:val="22"/>
        </w:rPr>
        <w:t>the views of a carer of the person, if the psychiatrist is satisfied that the decision to perform a course of ECT will directly affect the carer and the care relationship</w:t>
      </w:r>
    </w:p>
    <w:p w14:paraId="1E0E4B20" w14:textId="77777777" w:rsidR="00161861" w:rsidRDefault="00796E03" w:rsidP="00161861">
      <w:pPr>
        <w:pStyle w:val="ListParagraph"/>
        <w:numPr>
          <w:ilvl w:val="0"/>
          <w:numId w:val="35"/>
        </w:numPr>
        <w:spacing w:before="240" w:after="240" w:line="264" w:lineRule="auto"/>
        <w:ind w:left="1134"/>
        <w:jc w:val="both"/>
        <w:rPr>
          <w:rFonts w:cs="Arial"/>
          <w:sz w:val="22"/>
        </w:rPr>
      </w:pPr>
      <w:r w:rsidRPr="00161861">
        <w:rPr>
          <w:rFonts w:cs="Arial"/>
          <w:sz w:val="22"/>
        </w:rPr>
        <w:t xml:space="preserve">the likely consequences for the person if ECT </w:t>
      </w:r>
      <w:proofErr w:type="gramStart"/>
      <w:r w:rsidRPr="00161861">
        <w:rPr>
          <w:rFonts w:cs="Arial"/>
          <w:sz w:val="22"/>
        </w:rPr>
        <w:t>is</w:t>
      </w:r>
      <w:proofErr w:type="gramEnd"/>
      <w:r w:rsidRPr="00161861">
        <w:rPr>
          <w:rFonts w:cs="Arial"/>
          <w:sz w:val="22"/>
        </w:rPr>
        <w:t xml:space="preserve"> not performed</w:t>
      </w:r>
    </w:p>
    <w:p w14:paraId="38D430D7" w14:textId="0038CC9D" w:rsidR="00796E03" w:rsidRPr="00161861" w:rsidRDefault="00796E03" w:rsidP="00161861">
      <w:pPr>
        <w:pStyle w:val="ListParagraph"/>
        <w:numPr>
          <w:ilvl w:val="0"/>
          <w:numId w:val="35"/>
        </w:numPr>
        <w:spacing w:before="240" w:after="240" w:line="264" w:lineRule="auto"/>
        <w:ind w:left="1134"/>
        <w:jc w:val="both"/>
        <w:rPr>
          <w:rFonts w:cs="Arial"/>
          <w:sz w:val="22"/>
        </w:rPr>
      </w:pPr>
      <w:r w:rsidRPr="00161861">
        <w:rPr>
          <w:rFonts w:cs="Arial"/>
          <w:sz w:val="22"/>
        </w:rPr>
        <w:t>any psychiatric opinion given by another psychiatrist that has been given to the psychiatrist making the application.</w:t>
      </w:r>
    </w:p>
    <w:sectPr w:rsidR="00796E03" w:rsidRPr="00161861" w:rsidSect="007936B0">
      <w:endnotePr>
        <w:numFmt w:val="decimal"/>
      </w:endnotePr>
      <w:type w:val="continuous"/>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CD243E" w14:textId="77777777" w:rsidR="004B0A46" w:rsidRDefault="004B0A46" w:rsidP="006963B8">
      <w:pPr>
        <w:spacing w:after="0" w:line="240" w:lineRule="auto"/>
      </w:pPr>
      <w:r>
        <w:separator/>
      </w:r>
    </w:p>
  </w:endnote>
  <w:endnote w:type="continuationSeparator" w:id="0">
    <w:p w14:paraId="2036337E" w14:textId="77777777" w:rsidR="004B0A46" w:rsidRDefault="004B0A46" w:rsidP="006963B8">
      <w:pPr>
        <w:spacing w:after="0" w:line="240" w:lineRule="auto"/>
      </w:pPr>
      <w:r>
        <w:continuationSeparator/>
      </w:r>
    </w:p>
  </w:endnote>
  <w:endnote w:id="1">
    <w:p w14:paraId="25CBEAB9" w14:textId="3EE4B974" w:rsidR="004B0A46" w:rsidRPr="003558EE" w:rsidRDefault="004B0A46">
      <w:pPr>
        <w:pStyle w:val="EndnoteText"/>
        <w:rPr>
          <w:sz w:val="18"/>
          <w:szCs w:val="18"/>
        </w:rPr>
      </w:pPr>
      <w:r w:rsidRPr="003558EE">
        <w:rPr>
          <w:rStyle w:val="EndnoteReference"/>
          <w:sz w:val="18"/>
          <w:szCs w:val="18"/>
        </w:rPr>
        <w:endnoteRef/>
      </w:r>
      <w:r w:rsidRPr="003558EE">
        <w:rPr>
          <w:sz w:val="18"/>
          <w:szCs w:val="18"/>
        </w:rPr>
        <w:t xml:space="preserve"> Section 95(2).</w:t>
      </w:r>
    </w:p>
  </w:endnote>
  <w:endnote w:id="2">
    <w:p w14:paraId="63531211" w14:textId="1574555E" w:rsidR="004B0A46" w:rsidRPr="003558EE" w:rsidRDefault="004B0A46">
      <w:pPr>
        <w:pStyle w:val="EndnoteText"/>
        <w:rPr>
          <w:sz w:val="18"/>
          <w:szCs w:val="18"/>
        </w:rPr>
      </w:pPr>
      <w:r w:rsidRPr="003558EE">
        <w:rPr>
          <w:rStyle w:val="EndnoteReference"/>
          <w:sz w:val="18"/>
          <w:szCs w:val="18"/>
        </w:rPr>
        <w:endnoteRef/>
      </w:r>
      <w:r w:rsidRPr="003558EE">
        <w:rPr>
          <w:sz w:val="18"/>
          <w:szCs w:val="18"/>
        </w:rPr>
        <w:t xml:space="preserve"> Section 181(1)(b).</w:t>
      </w:r>
    </w:p>
  </w:endnote>
  <w:endnote w:id="3">
    <w:p w14:paraId="1DB227C9" w14:textId="7EE6738B" w:rsidR="004B0A46" w:rsidRPr="003558EE" w:rsidRDefault="004B0A46">
      <w:pPr>
        <w:pStyle w:val="EndnoteText"/>
        <w:rPr>
          <w:sz w:val="18"/>
          <w:szCs w:val="18"/>
        </w:rPr>
      </w:pPr>
      <w:r w:rsidRPr="003558EE">
        <w:rPr>
          <w:rStyle w:val="EndnoteReference"/>
          <w:sz w:val="18"/>
          <w:szCs w:val="18"/>
        </w:rPr>
        <w:endnoteRef/>
      </w:r>
      <w:r w:rsidRPr="003558EE">
        <w:rPr>
          <w:sz w:val="18"/>
          <w:szCs w:val="18"/>
        </w:rPr>
        <w:t xml:space="preserve"> </w:t>
      </w:r>
      <w:r w:rsidR="00AB10E4" w:rsidRPr="00AB10E4">
        <w:rPr>
          <w:i/>
          <w:sz w:val="18"/>
          <w:szCs w:val="18"/>
        </w:rPr>
        <w:t xml:space="preserve">PBU v Mental Health Tribunal </w:t>
      </w:r>
      <w:r w:rsidR="00AB10E4" w:rsidRPr="00AB10E4">
        <w:rPr>
          <w:sz w:val="18"/>
          <w:szCs w:val="18"/>
        </w:rPr>
        <w:t>and</w:t>
      </w:r>
      <w:r w:rsidR="00AB10E4" w:rsidRPr="00AB10E4">
        <w:rPr>
          <w:i/>
          <w:sz w:val="18"/>
          <w:szCs w:val="18"/>
        </w:rPr>
        <w:t xml:space="preserve"> NJE v Mental Health Tribunal</w:t>
      </w:r>
      <w:r w:rsidR="00AB10E4" w:rsidRPr="00AB10E4">
        <w:rPr>
          <w:sz w:val="18"/>
          <w:szCs w:val="18"/>
        </w:rPr>
        <w:t xml:space="preserve"> [2018] VSC 564</w:t>
      </w:r>
      <w:r w:rsidR="00AB10E4">
        <w:rPr>
          <w:sz w:val="18"/>
          <w:szCs w:val="18"/>
        </w:rPr>
        <w:t>,</w:t>
      </w:r>
      <w:r w:rsidR="00AB10E4" w:rsidRPr="00436CDF">
        <w:t xml:space="preserve"> </w:t>
      </w:r>
      <w:r w:rsidRPr="003558EE">
        <w:rPr>
          <w:sz w:val="18"/>
          <w:szCs w:val="18"/>
        </w:rPr>
        <w:t xml:space="preserve">[67]. As Justice Bell put it: </w:t>
      </w:r>
      <w:r w:rsidRPr="003558EE">
        <w:rPr>
          <w:i/>
          <w:sz w:val="18"/>
          <w:szCs w:val="18"/>
        </w:rPr>
        <w:t>‘Together with the operative provisions of the Mental Health Act, the objectives and principles are intended to alter the balance of power between medical authority and persons having mental illness in the direction of respecting their inherent dignity and human rights.’</w:t>
      </w:r>
    </w:p>
  </w:endnote>
  <w:endnote w:id="4">
    <w:p w14:paraId="11363F30" w14:textId="16E549E2" w:rsidR="004B0A46" w:rsidRPr="003558EE" w:rsidRDefault="004B0A46">
      <w:pPr>
        <w:pStyle w:val="EndnoteText"/>
        <w:rPr>
          <w:sz w:val="18"/>
          <w:szCs w:val="18"/>
        </w:rPr>
      </w:pPr>
      <w:r w:rsidRPr="003558EE">
        <w:rPr>
          <w:rStyle w:val="EndnoteReference"/>
          <w:sz w:val="18"/>
          <w:szCs w:val="18"/>
        </w:rPr>
        <w:endnoteRef/>
      </w:r>
      <w:r w:rsidRPr="003558EE">
        <w:rPr>
          <w:sz w:val="18"/>
          <w:szCs w:val="18"/>
        </w:rPr>
        <w:t xml:space="preserve"> Section 68(2)(e).</w:t>
      </w:r>
    </w:p>
  </w:endnote>
  <w:endnote w:id="5">
    <w:p w14:paraId="57F4092A" w14:textId="48C89301" w:rsidR="00AB10E4" w:rsidRPr="00AB10E4" w:rsidRDefault="00AB10E4">
      <w:pPr>
        <w:pStyle w:val="EndnoteText"/>
        <w:rPr>
          <w:sz w:val="18"/>
          <w:szCs w:val="18"/>
        </w:rPr>
      </w:pPr>
      <w:r w:rsidRPr="00AB10E4">
        <w:rPr>
          <w:rStyle w:val="EndnoteReference"/>
          <w:sz w:val="18"/>
          <w:szCs w:val="18"/>
        </w:rPr>
        <w:endnoteRef/>
      </w:r>
      <w:r w:rsidRPr="00AB10E4">
        <w:rPr>
          <w:sz w:val="18"/>
          <w:szCs w:val="18"/>
        </w:rPr>
        <w:t xml:space="preserve"> In</w:t>
      </w:r>
      <w:r>
        <w:rPr>
          <w:sz w:val="18"/>
          <w:szCs w:val="18"/>
        </w:rPr>
        <w:t xml:space="preserve"> addition, in</w:t>
      </w:r>
      <w:r w:rsidRPr="00AB10E4">
        <w:rPr>
          <w:sz w:val="18"/>
          <w:szCs w:val="18"/>
        </w:rPr>
        <w:t xml:space="preserve"> some cases involving voluntary adults, the Tribunal must decide whether the voluntary adult’s medical decision maker has given informed consent in writing to ECT.</w:t>
      </w:r>
    </w:p>
  </w:endnote>
  <w:endnote w:id="6">
    <w:p w14:paraId="10DDE980" w14:textId="5A0E3F53" w:rsidR="004B0A46" w:rsidRPr="003558EE" w:rsidRDefault="004B0A46">
      <w:pPr>
        <w:pStyle w:val="EndnoteText"/>
        <w:rPr>
          <w:sz w:val="18"/>
          <w:szCs w:val="18"/>
        </w:rPr>
      </w:pPr>
      <w:r w:rsidRPr="003558EE">
        <w:rPr>
          <w:rStyle w:val="EndnoteReference"/>
          <w:sz w:val="18"/>
          <w:szCs w:val="18"/>
        </w:rPr>
        <w:endnoteRef/>
      </w:r>
      <w:r w:rsidRPr="003558EE">
        <w:rPr>
          <w:sz w:val="18"/>
          <w:szCs w:val="18"/>
        </w:rPr>
        <w:t xml:space="preserve"> </w:t>
      </w:r>
      <w:r w:rsidR="00D52430">
        <w:rPr>
          <w:sz w:val="18"/>
          <w:szCs w:val="18"/>
        </w:rPr>
        <w:t>PBU &amp; NJE</w:t>
      </w:r>
      <w:r w:rsidRPr="003558EE">
        <w:rPr>
          <w:sz w:val="18"/>
          <w:szCs w:val="18"/>
        </w:rPr>
        <w:t>,</w:t>
      </w:r>
      <w:r w:rsidR="00D52430">
        <w:rPr>
          <w:sz w:val="18"/>
          <w:szCs w:val="18"/>
        </w:rPr>
        <w:t xml:space="preserve"> above n. 3,</w:t>
      </w:r>
      <w:r w:rsidRPr="003558EE">
        <w:rPr>
          <w:sz w:val="18"/>
          <w:szCs w:val="18"/>
        </w:rPr>
        <w:t xml:space="preserve"> [206]</w:t>
      </w:r>
      <w:r w:rsidR="002E2C57">
        <w:rPr>
          <w:sz w:val="18"/>
          <w:szCs w:val="18"/>
        </w:rPr>
        <w:t xml:space="preserve"> </w:t>
      </w:r>
      <w:r w:rsidRPr="003558EE">
        <w:rPr>
          <w:sz w:val="18"/>
          <w:szCs w:val="18"/>
        </w:rPr>
        <w:t>(3).</w:t>
      </w:r>
    </w:p>
  </w:endnote>
  <w:endnote w:id="7">
    <w:p w14:paraId="5E19DD86" w14:textId="6A70B46B" w:rsidR="004B0A46" w:rsidRPr="003558EE" w:rsidRDefault="004B0A46">
      <w:pPr>
        <w:pStyle w:val="EndnoteText"/>
        <w:rPr>
          <w:sz w:val="18"/>
          <w:szCs w:val="18"/>
        </w:rPr>
      </w:pPr>
      <w:r w:rsidRPr="003558EE">
        <w:rPr>
          <w:rStyle w:val="EndnoteReference"/>
          <w:sz w:val="18"/>
          <w:szCs w:val="18"/>
        </w:rPr>
        <w:endnoteRef/>
      </w:r>
      <w:r w:rsidRPr="003558EE">
        <w:rPr>
          <w:sz w:val="18"/>
          <w:szCs w:val="18"/>
        </w:rPr>
        <w:t xml:space="preserve"> Ibid, [242].</w:t>
      </w:r>
    </w:p>
  </w:endnote>
  <w:endnote w:id="8">
    <w:p w14:paraId="5E626680" w14:textId="320C5005" w:rsidR="00912532" w:rsidRDefault="00912532">
      <w:pPr>
        <w:pStyle w:val="EndnoteText"/>
      </w:pPr>
      <w:r>
        <w:rPr>
          <w:rStyle w:val="EndnoteReference"/>
        </w:rPr>
        <w:endnoteRef/>
      </w:r>
      <w:r>
        <w:t xml:space="preserve"> </w:t>
      </w:r>
      <w:r w:rsidR="002E2C57" w:rsidRPr="002E2C57">
        <w:rPr>
          <w:sz w:val="18"/>
          <w:szCs w:val="18"/>
        </w:rPr>
        <w:t>Ibid, [235].</w:t>
      </w:r>
    </w:p>
  </w:endnote>
  <w:endnote w:id="9">
    <w:p w14:paraId="4DC6CA24" w14:textId="2E6CC267" w:rsidR="00A951D7" w:rsidRDefault="00A951D7">
      <w:pPr>
        <w:pStyle w:val="EndnoteText"/>
      </w:pPr>
      <w:r>
        <w:rPr>
          <w:rStyle w:val="EndnoteReference"/>
        </w:rPr>
        <w:endnoteRef/>
      </w:r>
      <w:r>
        <w:t xml:space="preserve"> </w:t>
      </w:r>
      <w:r w:rsidRPr="003558EE">
        <w:rPr>
          <w:sz w:val="18"/>
          <w:szCs w:val="18"/>
        </w:rPr>
        <w:t xml:space="preserve">Ibid, </w:t>
      </w:r>
      <w:r>
        <w:rPr>
          <w:sz w:val="18"/>
          <w:szCs w:val="18"/>
        </w:rPr>
        <w:t>[194], [206](8)</w:t>
      </w:r>
      <w:r w:rsidRPr="003558EE">
        <w:rPr>
          <w:sz w:val="18"/>
          <w:szCs w:val="18"/>
        </w:rPr>
        <w:t>.</w:t>
      </w:r>
    </w:p>
  </w:endnote>
  <w:endnote w:id="10">
    <w:p w14:paraId="2946E770" w14:textId="7E4CB8B3" w:rsidR="004B0A46" w:rsidRPr="003558EE" w:rsidRDefault="004B0A46">
      <w:pPr>
        <w:pStyle w:val="EndnoteText"/>
        <w:rPr>
          <w:sz w:val="18"/>
          <w:szCs w:val="18"/>
        </w:rPr>
      </w:pPr>
      <w:r w:rsidRPr="003558EE">
        <w:rPr>
          <w:rStyle w:val="EndnoteReference"/>
          <w:sz w:val="18"/>
          <w:szCs w:val="18"/>
        </w:rPr>
        <w:endnoteRef/>
      </w:r>
      <w:r w:rsidRPr="003558EE">
        <w:rPr>
          <w:sz w:val="18"/>
          <w:szCs w:val="18"/>
        </w:rPr>
        <w:t xml:space="preserve"> </w:t>
      </w:r>
      <w:r w:rsidR="00C6145F">
        <w:rPr>
          <w:sz w:val="18"/>
          <w:szCs w:val="18"/>
        </w:rPr>
        <w:t xml:space="preserve">Ibid, </w:t>
      </w:r>
      <w:r w:rsidRPr="003558EE">
        <w:rPr>
          <w:sz w:val="18"/>
          <w:szCs w:val="18"/>
        </w:rPr>
        <w:t>[242].</w:t>
      </w:r>
    </w:p>
  </w:endnote>
  <w:endnote w:id="11">
    <w:p w14:paraId="5AA56D8F" w14:textId="69EBA7E9" w:rsidR="004B0A46" w:rsidRPr="003558EE" w:rsidRDefault="004B0A46">
      <w:pPr>
        <w:pStyle w:val="EndnoteText"/>
        <w:rPr>
          <w:sz w:val="18"/>
          <w:szCs w:val="18"/>
        </w:rPr>
      </w:pPr>
      <w:r w:rsidRPr="003558EE">
        <w:rPr>
          <w:rStyle w:val="EndnoteReference"/>
          <w:sz w:val="18"/>
          <w:szCs w:val="18"/>
        </w:rPr>
        <w:endnoteRef/>
      </w:r>
      <w:r w:rsidRPr="003558EE">
        <w:rPr>
          <w:sz w:val="18"/>
          <w:szCs w:val="18"/>
        </w:rPr>
        <w:t xml:space="preserve"> Ibid [14</w:t>
      </w:r>
      <w:r w:rsidR="00F75990">
        <w:rPr>
          <w:sz w:val="18"/>
          <w:szCs w:val="18"/>
        </w:rPr>
        <w:t>9</w:t>
      </w:r>
      <w:r w:rsidRPr="003558EE">
        <w:rPr>
          <w:sz w:val="18"/>
          <w:szCs w:val="18"/>
        </w:rPr>
        <w:t xml:space="preserve">]. The judgment notes </w:t>
      </w:r>
      <w:r w:rsidRPr="00103158">
        <w:rPr>
          <w:i/>
          <w:sz w:val="18"/>
          <w:szCs w:val="18"/>
        </w:rPr>
        <w:t>‘this is recognised in s68(2)(b), which provides that ‘a person’s capacity to give informed consent may change over time.’</w:t>
      </w:r>
    </w:p>
  </w:endnote>
  <w:endnote w:id="12">
    <w:p w14:paraId="769CC099" w14:textId="46E591DE" w:rsidR="004B0A46" w:rsidRPr="003558EE" w:rsidRDefault="004B0A46">
      <w:pPr>
        <w:pStyle w:val="EndnoteText"/>
        <w:rPr>
          <w:sz w:val="18"/>
          <w:szCs w:val="18"/>
        </w:rPr>
      </w:pPr>
      <w:r w:rsidRPr="003558EE">
        <w:rPr>
          <w:rStyle w:val="EndnoteReference"/>
          <w:sz w:val="18"/>
          <w:szCs w:val="18"/>
        </w:rPr>
        <w:endnoteRef/>
      </w:r>
      <w:r w:rsidRPr="003558EE">
        <w:rPr>
          <w:sz w:val="18"/>
          <w:szCs w:val="18"/>
        </w:rPr>
        <w:t xml:space="preserve"> Ibid, [252].</w:t>
      </w:r>
    </w:p>
  </w:endnote>
  <w:endnote w:id="13">
    <w:p w14:paraId="7F0EBBBA" w14:textId="0005D906" w:rsidR="004B0A46" w:rsidRPr="003558EE" w:rsidRDefault="004B0A46" w:rsidP="00485B1E">
      <w:pPr>
        <w:pStyle w:val="EndnoteText"/>
        <w:rPr>
          <w:sz w:val="18"/>
          <w:szCs w:val="18"/>
        </w:rPr>
      </w:pPr>
      <w:r w:rsidRPr="003558EE">
        <w:rPr>
          <w:rStyle w:val="EndnoteReference"/>
          <w:sz w:val="18"/>
          <w:szCs w:val="18"/>
        </w:rPr>
        <w:endnoteRef/>
      </w:r>
      <w:r w:rsidRPr="003558EE">
        <w:rPr>
          <w:sz w:val="18"/>
          <w:szCs w:val="18"/>
        </w:rPr>
        <w:t xml:space="preserve"> Ibid.</w:t>
      </w:r>
    </w:p>
  </w:endnote>
  <w:endnote w:id="14">
    <w:p w14:paraId="484338CF" w14:textId="5E685F59" w:rsidR="004B0A46" w:rsidRPr="003558EE" w:rsidRDefault="004B0A46">
      <w:pPr>
        <w:pStyle w:val="EndnoteText"/>
        <w:rPr>
          <w:sz w:val="18"/>
          <w:szCs w:val="18"/>
        </w:rPr>
      </w:pPr>
      <w:r w:rsidRPr="003558EE">
        <w:rPr>
          <w:rStyle w:val="EndnoteReference"/>
          <w:sz w:val="18"/>
          <w:szCs w:val="18"/>
        </w:rPr>
        <w:endnoteRef/>
      </w:r>
      <w:r w:rsidRPr="003558EE">
        <w:rPr>
          <w:sz w:val="18"/>
          <w:szCs w:val="18"/>
        </w:rPr>
        <w:t xml:space="preserve"> Ibid, [257].</w:t>
      </w:r>
    </w:p>
  </w:endnote>
  <w:endnote w:id="15">
    <w:p w14:paraId="088A1B1C" w14:textId="522D1F56" w:rsidR="004B0A46" w:rsidRPr="003558EE" w:rsidRDefault="004B0A46">
      <w:pPr>
        <w:pStyle w:val="EndnoteText"/>
        <w:rPr>
          <w:sz w:val="18"/>
          <w:szCs w:val="18"/>
        </w:rPr>
      </w:pPr>
      <w:r w:rsidRPr="003558EE">
        <w:rPr>
          <w:rStyle w:val="EndnoteReference"/>
          <w:sz w:val="18"/>
          <w:szCs w:val="18"/>
        </w:rPr>
        <w:endnoteRef/>
      </w:r>
      <w:r w:rsidRPr="003558EE">
        <w:rPr>
          <w:sz w:val="18"/>
          <w:szCs w:val="18"/>
        </w:rPr>
        <w:t xml:space="preserve"> Ibid, [25</w:t>
      </w:r>
      <w:r w:rsidR="00F75990">
        <w:rPr>
          <w:sz w:val="18"/>
          <w:szCs w:val="18"/>
        </w:rPr>
        <w:t>6</w:t>
      </w:r>
      <w:r w:rsidRPr="003558EE">
        <w:rPr>
          <w:sz w:val="18"/>
          <w:szCs w:val="18"/>
        </w:rPr>
        <w:t>].</w:t>
      </w:r>
    </w:p>
  </w:endnote>
  <w:endnote w:id="16">
    <w:p w14:paraId="6B3121B6" w14:textId="6018A9A4" w:rsidR="004B0A46" w:rsidRPr="00F75990" w:rsidRDefault="004B0A46">
      <w:pPr>
        <w:pStyle w:val="EndnoteText"/>
        <w:rPr>
          <w:sz w:val="18"/>
          <w:szCs w:val="18"/>
        </w:rPr>
      </w:pPr>
      <w:r w:rsidRPr="003558EE">
        <w:rPr>
          <w:rStyle w:val="EndnoteReference"/>
          <w:sz w:val="18"/>
          <w:szCs w:val="18"/>
        </w:rPr>
        <w:endnoteRef/>
      </w:r>
      <w:r w:rsidRPr="003558EE">
        <w:rPr>
          <w:sz w:val="18"/>
          <w:szCs w:val="18"/>
        </w:rPr>
        <w:t xml:space="preserve"> Ibid, [257]. As Justice Bell put it, </w:t>
      </w:r>
      <w:r w:rsidRPr="003558EE">
        <w:rPr>
          <w:i/>
          <w:sz w:val="18"/>
          <w:szCs w:val="18"/>
        </w:rPr>
        <w:t>‘… discriminatory denial of capacity and paternalistic medical treatment can undermine patients’ dignity, autonomy and prospects of recovery in the long term; but, subject to safeguards, compulsory medical treatment may presently be necessary as a last resort to improve those prospects and contribute to the realisation of patient autonomy and self-actualisation.’</w:t>
      </w:r>
      <w:r w:rsidR="00F75990">
        <w:rPr>
          <w:i/>
          <w:sz w:val="18"/>
          <w:szCs w:val="18"/>
        </w:rPr>
        <w:t xml:space="preserve"> </w:t>
      </w:r>
      <w:r w:rsidR="00F75990">
        <w:rPr>
          <w:sz w:val="18"/>
          <w:szCs w:val="18"/>
        </w:rPr>
        <w:t>See also [99].</w:t>
      </w:r>
    </w:p>
  </w:endnote>
  <w:endnote w:id="17">
    <w:p w14:paraId="60B85727" w14:textId="281802EE" w:rsidR="004B0A46" w:rsidRPr="003558EE" w:rsidRDefault="004B0A46">
      <w:pPr>
        <w:pStyle w:val="EndnoteText"/>
        <w:rPr>
          <w:sz w:val="18"/>
          <w:szCs w:val="18"/>
        </w:rPr>
      </w:pPr>
      <w:r w:rsidRPr="003558EE">
        <w:rPr>
          <w:rStyle w:val="EndnoteReference"/>
          <w:sz w:val="18"/>
          <w:szCs w:val="18"/>
        </w:rPr>
        <w:endnoteRef/>
      </w:r>
      <w:r w:rsidRPr="003558EE">
        <w:rPr>
          <w:sz w:val="18"/>
          <w:szCs w:val="18"/>
        </w:rPr>
        <w:t xml:space="preserve"> Ibid, [2</w:t>
      </w:r>
      <w:r w:rsidR="00F75990">
        <w:rPr>
          <w:sz w:val="18"/>
          <w:szCs w:val="18"/>
        </w:rPr>
        <w:t>06</w:t>
      </w:r>
      <w:r w:rsidRPr="003558EE">
        <w:rPr>
          <w:sz w:val="18"/>
          <w:szCs w:val="18"/>
        </w:rPr>
        <w:t>]</w:t>
      </w:r>
      <w:r w:rsidR="00F75990">
        <w:rPr>
          <w:sz w:val="18"/>
          <w:szCs w:val="18"/>
        </w:rPr>
        <w:t>(10)</w:t>
      </w:r>
      <w:r w:rsidRPr="003558EE">
        <w:rPr>
          <w:sz w:val="18"/>
          <w:szCs w:val="18"/>
        </w:rPr>
        <w:t>.</w:t>
      </w:r>
    </w:p>
  </w:endnote>
  <w:endnote w:id="18">
    <w:p w14:paraId="298EBD79" w14:textId="60569978" w:rsidR="004B0A46" w:rsidRPr="003558EE" w:rsidRDefault="004B0A46">
      <w:pPr>
        <w:pStyle w:val="EndnoteText"/>
        <w:rPr>
          <w:sz w:val="18"/>
          <w:szCs w:val="18"/>
        </w:rPr>
      </w:pPr>
      <w:r w:rsidRPr="003558EE">
        <w:rPr>
          <w:rStyle w:val="EndnoteReference"/>
          <w:sz w:val="18"/>
          <w:szCs w:val="18"/>
        </w:rPr>
        <w:endnoteRef/>
      </w:r>
      <w:r w:rsidRPr="003558EE">
        <w:rPr>
          <w:sz w:val="18"/>
          <w:szCs w:val="18"/>
        </w:rPr>
        <w:t xml:space="preserve"> Ibid</w:t>
      </w:r>
      <w:r w:rsidR="00D52430">
        <w:rPr>
          <w:sz w:val="18"/>
          <w:szCs w:val="18"/>
        </w:rPr>
        <w:t>.</w:t>
      </w:r>
    </w:p>
  </w:endnote>
  <w:endnote w:id="19">
    <w:p w14:paraId="0F34CCDB" w14:textId="616B18F0" w:rsidR="004B0A46" w:rsidRPr="003558EE" w:rsidRDefault="004B0A46">
      <w:pPr>
        <w:pStyle w:val="EndnoteText"/>
        <w:rPr>
          <w:sz w:val="18"/>
          <w:szCs w:val="18"/>
        </w:rPr>
      </w:pPr>
      <w:r w:rsidRPr="003558EE">
        <w:rPr>
          <w:rStyle w:val="EndnoteReference"/>
          <w:sz w:val="18"/>
          <w:szCs w:val="18"/>
        </w:rPr>
        <w:endnoteRef/>
      </w:r>
      <w:r w:rsidRPr="003558EE">
        <w:rPr>
          <w:sz w:val="18"/>
          <w:szCs w:val="18"/>
        </w:rPr>
        <w:t xml:space="preserve"> Ibid, [273].</w:t>
      </w:r>
    </w:p>
  </w:endnote>
  <w:endnote w:id="20">
    <w:p w14:paraId="6BEC8606" w14:textId="00C66BF4" w:rsidR="004B0A46" w:rsidRPr="003558EE" w:rsidRDefault="004B0A46">
      <w:pPr>
        <w:pStyle w:val="EndnoteText"/>
        <w:rPr>
          <w:sz w:val="18"/>
          <w:szCs w:val="18"/>
        </w:rPr>
      </w:pPr>
      <w:r w:rsidRPr="003558EE">
        <w:rPr>
          <w:rStyle w:val="EndnoteReference"/>
          <w:sz w:val="18"/>
          <w:szCs w:val="18"/>
        </w:rPr>
        <w:endnoteRef/>
      </w:r>
      <w:r w:rsidRPr="003558EE">
        <w:rPr>
          <w:sz w:val="18"/>
          <w:szCs w:val="18"/>
        </w:rPr>
        <w:t xml:space="preserve"> Ibid, [274].</w:t>
      </w:r>
    </w:p>
  </w:endnote>
  <w:endnote w:id="21">
    <w:p w14:paraId="43DD09BA" w14:textId="4FF4D3A4" w:rsidR="004B0A46" w:rsidRPr="003558EE" w:rsidRDefault="004B0A46" w:rsidP="004371CD">
      <w:pPr>
        <w:spacing w:line="240" w:lineRule="auto"/>
        <w:rPr>
          <w:sz w:val="18"/>
          <w:szCs w:val="18"/>
        </w:rPr>
      </w:pPr>
      <w:r w:rsidRPr="003558EE">
        <w:rPr>
          <w:rStyle w:val="EndnoteReference"/>
          <w:sz w:val="18"/>
          <w:szCs w:val="18"/>
        </w:rPr>
        <w:endnoteRef/>
      </w:r>
      <w:r w:rsidRPr="003558EE">
        <w:rPr>
          <w:sz w:val="18"/>
          <w:szCs w:val="18"/>
        </w:rPr>
        <w:t xml:space="preserve"> The requirement to apply to the Tribunal for ECT treatment for voluntary adults who do not have capacity to consent was introduced by the </w:t>
      </w:r>
      <w:r w:rsidRPr="003558EE">
        <w:rPr>
          <w:i/>
          <w:sz w:val="18"/>
          <w:szCs w:val="18"/>
        </w:rPr>
        <w:t>Medical Treatment Planning and Decisions Act 2016</w:t>
      </w:r>
      <w:r w:rsidRPr="003558EE">
        <w:rPr>
          <w:sz w:val="18"/>
          <w:szCs w:val="18"/>
        </w:rPr>
        <w:t xml:space="preserve"> and came into effect in March 2018. It is beyond the scope of these guidelines to describe the reforms, including what an instructional directive is and the role of the medical treatment decision maker. Mental health services are directed to other resources prepared by the Chief Psychiatrist and the Office of the Public Advocate.  See, for example the following information from the Office of the Chief Psychiatrist: </w:t>
      </w:r>
      <w:hyperlink r:id="rId1" w:history="1">
        <w:r w:rsidRPr="003558EE">
          <w:rPr>
            <w:rStyle w:val="Hyperlink"/>
            <w:sz w:val="18"/>
            <w:szCs w:val="18"/>
          </w:rPr>
          <w:t>https://www2.health.vic.gov.au/mental-health/practice-and-service-quality/medical-treatment-planning-decisions-act</w:t>
        </w:r>
      </w:hyperlink>
      <w:r w:rsidRPr="003558EE">
        <w:rPr>
          <w:sz w:val="18"/>
          <w:szCs w:val="18"/>
        </w:rPr>
        <w:t>.</w:t>
      </w:r>
    </w:p>
  </w:endnote>
  <w:endnote w:id="22">
    <w:p w14:paraId="654C4EF9" w14:textId="14C227F3" w:rsidR="004B0A46" w:rsidRDefault="004B0A46" w:rsidP="004371CD">
      <w:pPr>
        <w:pStyle w:val="EndnoteText"/>
      </w:pPr>
      <w:r w:rsidRPr="003558EE">
        <w:rPr>
          <w:rStyle w:val="EndnoteReference"/>
          <w:sz w:val="18"/>
          <w:szCs w:val="18"/>
        </w:rPr>
        <w:endnoteRef/>
      </w:r>
      <w:r w:rsidRPr="003558EE">
        <w:rPr>
          <w:sz w:val="18"/>
          <w:szCs w:val="18"/>
        </w:rPr>
        <w:t xml:space="preserve"> Section 96(3) requires the Tribunal to have regard to the factors set out in section 93(2) in respect of adult patients; to the factors in section 94(3) in respect of young persons and to the factors in section 94A(2) in respect of voluntary adults. These factors are summarised in this Appendix.</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0132390"/>
      <w:docPartObj>
        <w:docPartGallery w:val="Page Numbers (Bottom of Page)"/>
        <w:docPartUnique/>
      </w:docPartObj>
    </w:sdtPr>
    <w:sdtEndPr/>
    <w:sdtContent>
      <w:sdt>
        <w:sdtPr>
          <w:id w:val="1306434143"/>
          <w:docPartObj>
            <w:docPartGallery w:val="Page Numbers (Top of Page)"/>
            <w:docPartUnique/>
          </w:docPartObj>
        </w:sdtPr>
        <w:sdtEndPr/>
        <w:sdtContent>
          <w:p w14:paraId="01C94546" w14:textId="3FB4324F" w:rsidR="004B0A46" w:rsidRDefault="004B0A46" w:rsidP="00CC72C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19</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27ECE" w14:textId="0E29F058" w:rsidR="004B0A46" w:rsidRDefault="004B0A46">
    <w:pPr>
      <w:pStyle w:val="Footer"/>
    </w:pPr>
    <w: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989DCC" w14:textId="77777777" w:rsidR="004B0A46" w:rsidRDefault="004B0A46" w:rsidP="006963B8">
      <w:pPr>
        <w:spacing w:after="0" w:line="240" w:lineRule="auto"/>
      </w:pPr>
      <w:r>
        <w:separator/>
      </w:r>
    </w:p>
  </w:footnote>
  <w:footnote w:type="continuationSeparator" w:id="0">
    <w:p w14:paraId="493ECCE2" w14:textId="77777777" w:rsidR="004B0A46" w:rsidRDefault="004B0A46" w:rsidP="006963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BEFC7" w14:textId="19A28B21" w:rsidR="00CC72C4" w:rsidRDefault="00CC72C4">
    <w:pPr>
      <w:pStyle w:val="Header"/>
    </w:pPr>
    <w:r>
      <w:rPr>
        <w:noProof/>
        <w:lang w:eastAsia="en-AU"/>
      </w:rPr>
      <w:drawing>
        <wp:anchor distT="0" distB="0" distL="114300" distR="114300" simplePos="0" relativeHeight="251659264" behindDoc="1" locked="0" layoutInCell="1" allowOverlap="1" wp14:anchorId="0BC02D9C" wp14:editId="24E0AA5F">
          <wp:simplePos x="0" y="0"/>
          <wp:positionH relativeFrom="margin">
            <wp:align>right</wp:align>
          </wp:positionH>
          <wp:positionV relativeFrom="paragraph">
            <wp:posOffset>-238760</wp:posOffset>
          </wp:positionV>
          <wp:extent cx="627797" cy="627797"/>
          <wp:effectExtent l="0" t="0" r="127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 Icon Lar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7797" cy="62779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2190B"/>
    <w:multiLevelType w:val="hybridMultilevel"/>
    <w:tmpl w:val="1FA438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0F4759"/>
    <w:multiLevelType w:val="hybridMultilevel"/>
    <w:tmpl w:val="653E628A"/>
    <w:lvl w:ilvl="0" w:tplc="A1CC7FC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052E7668"/>
    <w:multiLevelType w:val="hybridMultilevel"/>
    <w:tmpl w:val="72A0F03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8223C7"/>
    <w:multiLevelType w:val="hybridMultilevel"/>
    <w:tmpl w:val="A97A30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441CDF"/>
    <w:multiLevelType w:val="hybridMultilevel"/>
    <w:tmpl w:val="AB5A2F0A"/>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F01557C"/>
    <w:multiLevelType w:val="hybridMultilevel"/>
    <w:tmpl w:val="9D58C0D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06E72B6"/>
    <w:multiLevelType w:val="hybridMultilevel"/>
    <w:tmpl w:val="12E4210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31B2E67"/>
    <w:multiLevelType w:val="hybridMultilevel"/>
    <w:tmpl w:val="9FB8F79A"/>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8" w15:restartNumberingAfterBreak="0">
    <w:nsid w:val="13513927"/>
    <w:multiLevelType w:val="hybridMultilevel"/>
    <w:tmpl w:val="ABC08F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61B30D3"/>
    <w:multiLevelType w:val="hybridMultilevel"/>
    <w:tmpl w:val="C99ABBC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19CB3DF1"/>
    <w:multiLevelType w:val="hybridMultilevel"/>
    <w:tmpl w:val="3DF683F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1CE36B1D"/>
    <w:multiLevelType w:val="hybridMultilevel"/>
    <w:tmpl w:val="36167C26"/>
    <w:lvl w:ilvl="0" w:tplc="C99AD6FC">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1CFE63AA"/>
    <w:multiLevelType w:val="hybridMultilevel"/>
    <w:tmpl w:val="65003032"/>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3" w15:restartNumberingAfterBreak="0">
    <w:nsid w:val="1E875765"/>
    <w:multiLevelType w:val="hybridMultilevel"/>
    <w:tmpl w:val="EB22FF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1DC212D"/>
    <w:multiLevelType w:val="hybridMultilevel"/>
    <w:tmpl w:val="205E1E2E"/>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5" w15:restartNumberingAfterBreak="0">
    <w:nsid w:val="2C446304"/>
    <w:multiLevelType w:val="hybridMultilevel"/>
    <w:tmpl w:val="BB16C88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2D5564CD"/>
    <w:multiLevelType w:val="hybridMultilevel"/>
    <w:tmpl w:val="C026E752"/>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32BA537C"/>
    <w:multiLevelType w:val="hybridMultilevel"/>
    <w:tmpl w:val="144AA80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8" w15:restartNumberingAfterBreak="0">
    <w:nsid w:val="392C1BDD"/>
    <w:multiLevelType w:val="hybridMultilevel"/>
    <w:tmpl w:val="96FCBE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96C36A5"/>
    <w:multiLevelType w:val="hybridMultilevel"/>
    <w:tmpl w:val="182A470C"/>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BDE6ABF"/>
    <w:multiLevelType w:val="hybridMultilevel"/>
    <w:tmpl w:val="8EDC0C0A"/>
    <w:lvl w:ilvl="0" w:tplc="28B876FE">
      <w:start w:val="1"/>
      <w:numFmt w:val="decimal"/>
      <w:pStyle w:val="ListParagraph"/>
      <w:lvlText w:val="%1."/>
      <w:lvlJc w:val="left"/>
      <w:pPr>
        <w:ind w:left="436" w:hanging="360"/>
      </w:pPr>
    </w:lvl>
    <w:lvl w:ilvl="1" w:tplc="0C090019">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21" w15:restartNumberingAfterBreak="0">
    <w:nsid w:val="3F5436E8"/>
    <w:multiLevelType w:val="hybridMultilevel"/>
    <w:tmpl w:val="36141A7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3F7942C0"/>
    <w:multiLevelType w:val="hybridMultilevel"/>
    <w:tmpl w:val="D8F49194"/>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A805C9D"/>
    <w:multiLevelType w:val="hybridMultilevel"/>
    <w:tmpl w:val="5C9AF27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51903831"/>
    <w:multiLevelType w:val="hybridMultilevel"/>
    <w:tmpl w:val="E37A71E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5" w15:restartNumberingAfterBreak="0">
    <w:nsid w:val="54B45694"/>
    <w:multiLevelType w:val="hybridMultilevel"/>
    <w:tmpl w:val="6A9EBAE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559A3B6F"/>
    <w:multiLevelType w:val="hybridMultilevel"/>
    <w:tmpl w:val="647C58F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5A4A0B7E"/>
    <w:multiLevelType w:val="hybridMultilevel"/>
    <w:tmpl w:val="35B02890"/>
    <w:lvl w:ilvl="0" w:tplc="0C090001">
      <w:start w:val="1"/>
      <w:numFmt w:val="bullet"/>
      <w:lvlText w:val=""/>
      <w:lvlJc w:val="left"/>
      <w:pPr>
        <w:ind w:left="1375" w:hanging="360"/>
      </w:pPr>
      <w:rPr>
        <w:rFonts w:ascii="Symbol" w:hAnsi="Symbol" w:hint="default"/>
      </w:rPr>
    </w:lvl>
    <w:lvl w:ilvl="1" w:tplc="0C090003" w:tentative="1">
      <w:start w:val="1"/>
      <w:numFmt w:val="bullet"/>
      <w:lvlText w:val="o"/>
      <w:lvlJc w:val="left"/>
      <w:pPr>
        <w:ind w:left="2095" w:hanging="360"/>
      </w:pPr>
      <w:rPr>
        <w:rFonts w:ascii="Courier New" w:hAnsi="Courier New" w:cs="Courier New" w:hint="default"/>
      </w:rPr>
    </w:lvl>
    <w:lvl w:ilvl="2" w:tplc="0C090005" w:tentative="1">
      <w:start w:val="1"/>
      <w:numFmt w:val="bullet"/>
      <w:lvlText w:val=""/>
      <w:lvlJc w:val="left"/>
      <w:pPr>
        <w:ind w:left="2815" w:hanging="360"/>
      </w:pPr>
      <w:rPr>
        <w:rFonts w:ascii="Wingdings" w:hAnsi="Wingdings" w:hint="default"/>
      </w:rPr>
    </w:lvl>
    <w:lvl w:ilvl="3" w:tplc="0C090001" w:tentative="1">
      <w:start w:val="1"/>
      <w:numFmt w:val="bullet"/>
      <w:lvlText w:val=""/>
      <w:lvlJc w:val="left"/>
      <w:pPr>
        <w:ind w:left="3535" w:hanging="360"/>
      </w:pPr>
      <w:rPr>
        <w:rFonts w:ascii="Symbol" w:hAnsi="Symbol" w:hint="default"/>
      </w:rPr>
    </w:lvl>
    <w:lvl w:ilvl="4" w:tplc="0C090003" w:tentative="1">
      <w:start w:val="1"/>
      <w:numFmt w:val="bullet"/>
      <w:lvlText w:val="o"/>
      <w:lvlJc w:val="left"/>
      <w:pPr>
        <w:ind w:left="4255" w:hanging="360"/>
      </w:pPr>
      <w:rPr>
        <w:rFonts w:ascii="Courier New" w:hAnsi="Courier New" w:cs="Courier New" w:hint="default"/>
      </w:rPr>
    </w:lvl>
    <w:lvl w:ilvl="5" w:tplc="0C090005" w:tentative="1">
      <w:start w:val="1"/>
      <w:numFmt w:val="bullet"/>
      <w:lvlText w:val=""/>
      <w:lvlJc w:val="left"/>
      <w:pPr>
        <w:ind w:left="4975" w:hanging="360"/>
      </w:pPr>
      <w:rPr>
        <w:rFonts w:ascii="Wingdings" w:hAnsi="Wingdings" w:hint="default"/>
      </w:rPr>
    </w:lvl>
    <w:lvl w:ilvl="6" w:tplc="0C090001" w:tentative="1">
      <w:start w:val="1"/>
      <w:numFmt w:val="bullet"/>
      <w:lvlText w:val=""/>
      <w:lvlJc w:val="left"/>
      <w:pPr>
        <w:ind w:left="5695" w:hanging="360"/>
      </w:pPr>
      <w:rPr>
        <w:rFonts w:ascii="Symbol" w:hAnsi="Symbol" w:hint="default"/>
      </w:rPr>
    </w:lvl>
    <w:lvl w:ilvl="7" w:tplc="0C090003" w:tentative="1">
      <w:start w:val="1"/>
      <w:numFmt w:val="bullet"/>
      <w:lvlText w:val="o"/>
      <w:lvlJc w:val="left"/>
      <w:pPr>
        <w:ind w:left="6415" w:hanging="360"/>
      </w:pPr>
      <w:rPr>
        <w:rFonts w:ascii="Courier New" w:hAnsi="Courier New" w:cs="Courier New" w:hint="default"/>
      </w:rPr>
    </w:lvl>
    <w:lvl w:ilvl="8" w:tplc="0C090005" w:tentative="1">
      <w:start w:val="1"/>
      <w:numFmt w:val="bullet"/>
      <w:lvlText w:val=""/>
      <w:lvlJc w:val="left"/>
      <w:pPr>
        <w:ind w:left="7135" w:hanging="360"/>
      </w:pPr>
      <w:rPr>
        <w:rFonts w:ascii="Wingdings" w:hAnsi="Wingdings" w:hint="default"/>
      </w:rPr>
    </w:lvl>
  </w:abstractNum>
  <w:abstractNum w:abstractNumId="28" w15:restartNumberingAfterBreak="0">
    <w:nsid w:val="5FA2150F"/>
    <w:multiLevelType w:val="hybridMultilevel"/>
    <w:tmpl w:val="0BCE366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67707C7D"/>
    <w:multiLevelType w:val="hybridMultilevel"/>
    <w:tmpl w:val="12C805CC"/>
    <w:lvl w:ilvl="0" w:tplc="0C090001">
      <w:start w:val="1"/>
      <w:numFmt w:val="bullet"/>
      <w:lvlText w:val=""/>
      <w:lvlJc w:val="left"/>
      <w:pPr>
        <w:ind w:left="2215" w:hanging="360"/>
      </w:pPr>
      <w:rPr>
        <w:rFonts w:ascii="Symbol" w:hAnsi="Symbol" w:hint="default"/>
      </w:rPr>
    </w:lvl>
    <w:lvl w:ilvl="1" w:tplc="0C090003" w:tentative="1">
      <w:start w:val="1"/>
      <w:numFmt w:val="bullet"/>
      <w:lvlText w:val="o"/>
      <w:lvlJc w:val="left"/>
      <w:pPr>
        <w:ind w:left="2935" w:hanging="360"/>
      </w:pPr>
      <w:rPr>
        <w:rFonts w:ascii="Courier New" w:hAnsi="Courier New" w:cs="Courier New" w:hint="default"/>
      </w:rPr>
    </w:lvl>
    <w:lvl w:ilvl="2" w:tplc="0C090005" w:tentative="1">
      <w:start w:val="1"/>
      <w:numFmt w:val="bullet"/>
      <w:lvlText w:val=""/>
      <w:lvlJc w:val="left"/>
      <w:pPr>
        <w:ind w:left="3655" w:hanging="360"/>
      </w:pPr>
      <w:rPr>
        <w:rFonts w:ascii="Wingdings" w:hAnsi="Wingdings" w:hint="default"/>
      </w:rPr>
    </w:lvl>
    <w:lvl w:ilvl="3" w:tplc="0C090001" w:tentative="1">
      <w:start w:val="1"/>
      <w:numFmt w:val="bullet"/>
      <w:lvlText w:val=""/>
      <w:lvlJc w:val="left"/>
      <w:pPr>
        <w:ind w:left="4375" w:hanging="360"/>
      </w:pPr>
      <w:rPr>
        <w:rFonts w:ascii="Symbol" w:hAnsi="Symbol" w:hint="default"/>
      </w:rPr>
    </w:lvl>
    <w:lvl w:ilvl="4" w:tplc="0C090003" w:tentative="1">
      <w:start w:val="1"/>
      <w:numFmt w:val="bullet"/>
      <w:lvlText w:val="o"/>
      <w:lvlJc w:val="left"/>
      <w:pPr>
        <w:ind w:left="5095" w:hanging="360"/>
      </w:pPr>
      <w:rPr>
        <w:rFonts w:ascii="Courier New" w:hAnsi="Courier New" w:cs="Courier New" w:hint="default"/>
      </w:rPr>
    </w:lvl>
    <w:lvl w:ilvl="5" w:tplc="0C090005" w:tentative="1">
      <w:start w:val="1"/>
      <w:numFmt w:val="bullet"/>
      <w:lvlText w:val=""/>
      <w:lvlJc w:val="left"/>
      <w:pPr>
        <w:ind w:left="5815" w:hanging="360"/>
      </w:pPr>
      <w:rPr>
        <w:rFonts w:ascii="Wingdings" w:hAnsi="Wingdings" w:hint="default"/>
      </w:rPr>
    </w:lvl>
    <w:lvl w:ilvl="6" w:tplc="0C090001" w:tentative="1">
      <w:start w:val="1"/>
      <w:numFmt w:val="bullet"/>
      <w:lvlText w:val=""/>
      <w:lvlJc w:val="left"/>
      <w:pPr>
        <w:ind w:left="6535" w:hanging="360"/>
      </w:pPr>
      <w:rPr>
        <w:rFonts w:ascii="Symbol" w:hAnsi="Symbol" w:hint="default"/>
      </w:rPr>
    </w:lvl>
    <w:lvl w:ilvl="7" w:tplc="0C090003" w:tentative="1">
      <w:start w:val="1"/>
      <w:numFmt w:val="bullet"/>
      <w:lvlText w:val="o"/>
      <w:lvlJc w:val="left"/>
      <w:pPr>
        <w:ind w:left="7255" w:hanging="360"/>
      </w:pPr>
      <w:rPr>
        <w:rFonts w:ascii="Courier New" w:hAnsi="Courier New" w:cs="Courier New" w:hint="default"/>
      </w:rPr>
    </w:lvl>
    <w:lvl w:ilvl="8" w:tplc="0C090005" w:tentative="1">
      <w:start w:val="1"/>
      <w:numFmt w:val="bullet"/>
      <w:lvlText w:val=""/>
      <w:lvlJc w:val="left"/>
      <w:pPr>
        <w:ind w:left="7975" w:hanging="360"/>
      </w:pPr>
      <w:rPr>
        <w:rFonts w:ascii="Wingdings" w:hAnsi="Wingdings" w:hint="default"/>
      </w:rPr>
    </w:lvl>
  </w:abstractNum>
  <w:abstractNum w:abstractNumId="30" w15:restartNumberingAfterBreak="0">
    <w:nsid w:val="688E5A44"/>
    <w:multiLevelType w:val="hybridMultilevel"/>
    <w:tmpl w:val="4E96316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6A02169C"/>
    <w:multiLevelType w:val="hybridMultilevel"/>
    <w:tmpl w:val="028CECD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6AD82882"/>
    <w:multiLevelType w:val="hybridMultilevel"/>
    <w:tmpl w:val="573273C2"/>
    <w:lvl w:ilvl="0" w:tplc="0C090001">
      <w:start w:val="1"/>
      <w:numFmt w:val="bullet"/>
      <w:lvlText w:val=""/>
      <w:lvlJc w:val="left"/>
      <w:pPr>
        <w:ind w:left="1495" w:hanging="360"/>
      </w:pPr>
      <w:rPr>
        <w:rFonts w:ascii="Symbol" w:hAnsi="Symbol" w:hint="default"/>
      </w:rPr>
    </w:lvl>
    <w:lvl w:ilvl="1" w:tplc="0C090003" w:tentative="1">
      <w:start w:val="1"/>
      <w:numFmt w:val="bullet"/>
      <w:lvlText w:val="o"/>
      <w:lvlJc w:val="left"/>
      <w:pPr>
        <w:ind w:left="2215" w:hanging="360"/>
      </w:pPr>
      <w:rPr>
        <w:rFonts w:ascii="Courier New" w:hAnsi="Courier New" w:cs="Courier New" w:hint="default"/>
      </w:rPr>
    </w:lvl>
    <w:lvl w:ilvl="2" w:tplc="0C090005" w:tentative="1">
      <w:start w:val="1"/>
      <w:numFmt w:val="bullet"/>
      <w:lvlText w:val=""/>
      <w:lvlJc w:val="left"/>
      <w:pPr>
        <w:ind w:left="2935" w:hanging="360"/>
      </w:pPr>
      <w:rPr>
        <w:rFonts w:ascii="Wingdings" w:hAnsi="Wingdings" w:hint="default"/>
      </w:rPr>
    </w:lvl>
    <w:lvl w:ilvl="3" w:tplc="0C090001" w:tentative="1">
      <w:start w:val="1"/>
      <w:numFmt w:val="bullet"/>
      <w:lvlText w:val=""/>
      <w:lvlJc w:val="left"/>
      <w:pPr>
        <w:ind w:left="3655" w:hanging="360"/>
      </w:pPr>
      <w:rPr>
        <w:rFonts w:ascii="Symbol" w:hAnsi="Symbol" w:hint="default"/>
      </w:rPr>
    </w:lvl>
    <w:lvl w:ilvl="4" w:tplc="0C090003" w:tentative="1">
      <w:start w:val="1"/>
      <w:numFmt w:val="bullet"/>
      <w:lvlText w:val="o"/>
      <w:lvlJc w:val="left"/>
      <w:pPr>
        <w:ind w:left="4375" w:hanging="360"/>
      </w:pPr>
      <w:rPr>
        <w:rFonts w:ascii="Courier New" w:hAnsi="Courier New" w:cs="Courier New" w:hint="default"/>
      </w:rPr>
    </w:lvl>
    <w:lvl w:ilvl="5" w:tplc="0C090005" w:tentative="1">
      <w:start w:val="1"/>
      <w:numFmt w:val="bullet"/>
      <w:lvlText w:val=""/>
      <w:lvlJc w:val="left"/>
      <w:pPr>
        <w:ind w:left="5095" w:hanging="360"/>
      </w:pPr>
      <w:rPr>
        <w:rFonts w:ascii="Wingdings" w:hAnsi="Wingdings" w:hint="default"/>
      </w:rPr>
    </w:lvl>
    <w:lvl w:ilvl="6" w:tplc="0C090001" w:tentative="1">
      <w:start w:val="1"/>
      <w:numFmt w:val="bullet"/>
      <w:lvlText w:val=""/>
      <w:lvlJc w:val="left"/>
      <w:pPr>
        <w:ind w:left="5815" w:hanging="360"/>
      </w:pPr>
      <w:rPr>
        <w:rFonts w:ascii="Symbol" w:hAnsi="Symbol" w:hint="default"/>
      </w:rPr>
    </w:lvl>
    <w:lvl w:ilvl="7" w:tplc="0C090003" w:tentative="1">
      <w:start w:val="1"/>
      <w:numFmt w:val="bullet"/>
      <w:lvlText w:val="o"/>
      <w:lvlJc w:val="left"/>
      <w:pPr>
        <w:ind w:left="6535" w:hanging="360"/>
      </w:pPr>
      <w:rPr>
        <w:rFonts w:ascii="Courier New" w:hAnsi="Courier New" w:cs="Courier New" w:hint="default"/>
      </w:rPr>
    </w:lvl>
    <w:lvl w:ilvl="8" w:tplc="0C090005" w:tentative="1">
      <w:start w:val="1"/>
      <w:numFmt w:val="bullet"/>
      <w:lvlText w:val=""/>
      <w:lvlJc w:val="left"/>
      <w:pPr>
        <w:ind w:left="7255" w:hanging="360"/>
      </w:pPr>
      <w:rPr>
        <w:rFonts w:ascii="Wingdings" w:hAnsi="Wingdings" w:hint="default"/>
      </w:rPr>
    </w:lvl>
  </w:abstractNum>
  <w:abstractNum w:abstractNumId="33" w15:restartNumberingAfterBreak="0">
    <w:nsid w:val="6AE40B96"/>
    <w:multiLevelType w:val="hybridMultilevel"/>
    <w:tmpl w:val="747C4B98"/>
    <w:lvl w:ilvl="0" w:tplc="0C090001">
      <w:start w:val="1"/>
      <w:numFmt w:val="bullet"/>
      <w:lvlText w:val=""/>
      <w:lvlJc w:val="left"/>
      <w:pPr>
        <w:ind w:left="1462" w:hanging="360"/>
      </w:pPr>
      <w:rPr>
        <w:rFonts w:ascii="Symbol" w:hAnsi="Symbol" w:hint="default"/>
      </w:rPr>
    </w:lvl>
    <w:lvl w:ilvl="1" w:tplc="0C090003" w:tentative="1">
      <w:start w:val="1"/>
      <w:numFmt w:val="bullet"/>
      <w:lvlText w:val="o"/>
      <w:lvlJc w:val="left"/>
      <w:pPr>
        <w:ind w:left="2182" w:hanging="360"/>
      </w:pPr>
      <w:rPr>
        <w:rFonts w:ascii="Courier New" w:hAnsi="Courier New" w:cs="Courier New" w:hint="default"/>
      </w:rPr>
    </w:lvl>
    <w:lvl w:ilvl="2" w:tplc="0C090005" w:tentative="1">
      <w:start w:val="1"/>
      <w:numFmt w:val="bullet"/>
      <w:lvlText w:val=""/>
      <w:lvlJc w:val="left"/>
      <w:pPr>
        <w:ind w:left="2902" w:hanging="360"/>
      </w:pPr>
      <w:rPr>
        <w:rFonts w:ascii="Wingdings" w:hAnsi="Wingdings" w:hint="default"/>
      </w:rPr>
    </w:lvl>
    <w:lvl w:ilvl="3" w:tplc="0C090001" w:tentative="1">
      <w:start w:val="1"/>
      <w:numFmt w:val="bullet"/>
      <w:lvlText w:val=""/>
      <w:lvlJc w:val="left"/>
      <w:pPr>
        <w:ind w:left="3622" w:hanging="360"/>
      </w:pPr>
      <w:rPr>
        <w:rFonts w:ascii="Symbol" w:hAnsi="Symbol" w:hint="default"/>
      </w:rPr>
    </w:lvl>
    <w:lvl w:ilvl="4" w:tplc="0C090003" w:tentative="1">
      <w:start w:val="1"/>
      <w:numFmt w:val="bullet"/>
      <w:lvlText w:val="o"/>
      <w:lvlJc w:val="left"/>
      <w:pPr>
        <w:ind w:left="4342" w:hanging="360"/>
      </w:pPr>
      <w:rPr>
        <w:rFonts w:ascii="Courier New" w:hAnsi="Courier New" w:cs="Courier New" w:hint="default"/>
      </w:rPr>
    </w:lvl>
    <w:lvl w:ilvl="5" w:tplc="0C090005" w:tentative="1">
      <w:start w:val="1"/>
      <w:numFmt w:val="bullet"/>
      <w:lvlText w:val=""/>
      <w:lvlJc w:val="left"/>
      <w:pPr>
        <w:ind w:left="5062" w:hanging="360"/>
      </w:pPr>
      <w:rPr>
        <w:rFonts w:ascii="Wingdings" w:hAnsi="Wingdings" w:hint="default"/>
      </w:rPr>
    </w:lvl>
    <w:lvl w:ilvl="6" w:tplc="0C090001" w:tentative="1">
      <w:start w:val="1"/>
      <w:numFmt w:val="bullet"/>
      <w:lvlText w:val=""/>
      <w:lvlJc w:val="left"/>
      <w:pPr>
        <w:ind w:left="5782" w:hanging="360"/>
      </w:pPr>
      <w:rPr>
        <w:rFonts w:ascii="Symbol" w:hAnsi="Symbol" w:hint="default"/>
      </w:rPr>
    </w:lvl>
    <w:lvl w:ilvl="7" w:tplc="0C090003" w:tentative="1">
      <w:start w:val="1"/>
      <w:numFmt w:val="bullet"/>
      <w:lvlText w:val="o"/>
      <w:lvlJc w:val="left"/>
      <w:pPr>
        <w:ind w:left="6502" w:hanging="360"/>
      </w:pPr>
      <w:rPr>
        <w:rFonts w:ascii="Courier New" w:hAnsi="Courier New" w:cs="Courier New" w:hint="default"/>
      </w:rPr>
    </w:lvl>
    <w:lvl w:ilvl="8" w:tplc="0C090005" w:tentative="1">
      <w:start w:val="1"/>
      <w:numFmt w:val="bullet"/>
      <w:lvlText w:val=""/>
      <w:lvlJc w:val="left"/>
      <w:pPr>
        <w:ind w:left="7222" w:hanging="360"/>
      </w:pPr>
      <w:rPr>
        <w:rFonts w:ascii="Wingdings" w:hAnsi="Wingdings" w:hint="default"/>
      </w:rPr>
    </w:lvl>
  </w:abstractNum>
  <w:abstractNum w:abstractNumId="34" w15:restartNumberingAfterBreak="0">
    <w:nsid w:val="6B7540E4"/>
    <w:multiLevelType w:val="hybridMultilevel"/>
    <w:tmpl w:val="718ED89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6DB9345E"/>
    <w:multiLevelType w:val="hybridMultilevel"/>
    <w:tmpl w:val="9372EA9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6F316AFC"/>
    <w:multiLevelType w:val="hybridMultilevel"/>
    <w:tmpl w:val="2FD45616"/>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7" w15:restartNumberingAfterBreak="0">
    <w:nsid w:val="71367C74"/>
    <w:multiLevelType w:val="hybridMultilevel"/>
    <w:tmpl w:val="71846BB6"/>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8" w15:restartNumberingAfterBreak="0">
    <w:nsid w:val="7177303A"/>
    <w:multiLevelType w:val="hybridMultilevel"/>
    <w:tmpl w:val="9200AE4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39A37B6"/>
    <w:multiLevelType w:val="hybridMultilevel"/>
    <w:tmpl w:val="08EEF8F4"/>
    <w:lvl w:ilvl="0" w:tplc="CD34EFBC">
      <w:start w:val="1"/>
      <w:numFmt w:val="bullet"/>
      <w:lvlText w:val=""/>
      <w:lvlJc w:val="left"/>
      <w:pPr>
        <w:ind w:left="1440" w:hanging="360"/>
      </w:pPr>
      <w:rPr>
        <w:rFonts w:ascii="Symbol" w:hAnsi="Symbol" w:hint="default"/>
        <w:sz w:val="16"/>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0" w15:restartNumberingAfterBreak="0">
    <w:nsid w:val="749A16B8"/>
    <w:multiLevelType w:val="hybridMultilevel"/>
    <w:tmpl w:val="A7D2D6E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1" w15:restartNumberingAfterBreak="0">
    <w:nsid w:val="752A2BB9"/>
    <w:multiLevelType w:val="hybridMultilevel"/>
    <w:tmpl w:val="1E98EE6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2" w15:restartNumberingAfterBreak="0">
    <w:nsid w:val="75D663EE"/>
    <w:multiLevelType w:val="hybridMultilevel"/>
    <w:tmpl w:val="D87211F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3" w15:restartNumberingAfterBreak="0">
    <w:nsid w:val="770F4AA9"/>
    <w:multiLevelType w:val="hybridMultilevel"/>
    <w:tmpl w:val="06E601E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4" w15:restartNumberingAfterBreak="0">
    <w:nsid w:val="78633858"/>
    <w:multiLevelType w:val="hybridMultilevel"/>
    <w:tmpl w:val="850A730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20"/>
  </w:num>
  <w:num w:numId="2">
    <w:abstractNumId w:val="43"/>
  </w:num>
  <w:num w:numId="3">
    <w:abstractNumId w:val="1"/>
  </w:num>
  <w:num w:numId="4">
    <w:abstractNumId w:val="8"/>
  </w:num>
  <w:num w:numId="5">
    <w:abstractNumId w:val="44"/>
  </w:num>
  <w:num w:numId="6">
    <w:abstractNumId w:val="30"/>
  </w:num>
  <w:num w:numId="7">
    <w:abstractNumId w:val="25"/>
  </w:num>
  <w:num w:numId="8">
    <w:abstractNumId w:val="9"/>
  </w:num>
  <w:num w:numId="9">
    <w:abstractNumId w:val="41"/>
  </w:num>
  <w:num w:numId="10">
    <w:abstractNumId w:val="10"/>
  </w:num>
  <w:num w:numId="11">
    <w:abstractNumId w:val="40"/>
  </w:num>
  <w:num w:numId="12">
    <w:abstractNumId w:val="23"/>
  </w:num>
  <w:num w:numId="13">
    <w:abstractNumId w:val="21"/>
  </w:num>
  <w:num w:numId="14">
    <w:abstractNumId w:val="5"/>
  </w:num>
  <w:num w:numId="15">
    <w:abstractNumId w:val="15"/>
  </w:num>
  <w:num w:numId="16">
    <w:abstractNumId w:val="16"/>
  </w:num>
  <w:num w:numId="17">
    <w:abstractNumId w:val="14"/>
  </w:num>
  <w:num w:numId="18">
    <w:abstractNumId w:val="13"/>
  </w:num>
  <w:num w:numId="19">
    <w:abstractNumId w:val="0"/>
  </w:num>
  <w:num w:numId="20">
    <w:abstractNumId w:val="4"/>
  </w:num>
  <w:num w:numId="21">
    <w:abstractNumId w:val="37"/>
  </w:num>
  <w:num w:numId="22">
    <w:abstractNumId w:val="38"/>
  </w:num>
  <w:num w:numId="23">
    <w:abstractNumId w:val="26"/>
  </w:num>
  <w:num w:numId="24">
    <w:abstractNumId w:val="19"/>
  </w:num>
  <w:num w:numId="25">
    <w:abstractNumId w:val="22"/>
  </w:num>
  <w:num w:numId="26">
    <w:abstractNumId w:val="42"/>
  </w:num>
  <w:num w:numId="27">
    <w:abstractNumId w:val="11"/>
  </w:num>
  <w:num w:numId="28">
    <w:abstractNumId w:val="28"/>
  </w:num>
  <w:num w:numId="29">
    <w:abstractNumId w:val="39"/>
  </w:num>
  <w:num w:numId="30">
    <w:abstractNumId w:val="2"/>
  </w:num>
  <w:num w:numId="31">
    <w:abstractNumId w:val="33"/>
  </w:num>
  <w:num w:numId="32">
    <w:abstractNumId w:val="35"/>
  </w:num>
  <w:num w:numId="33">
    <w:abstractNumId w:val="18"/>
  </w:num>
  <w:num w:numId="34">
    <w:abstractNumId w:val="17"/>
  </w:num>
  <w:num w:numId="35">
    <w:abstractNumId w:val="27"/>
  </w:num>
  <w:num w:numId="36">
    <w:abstractNumId w:val="24"/>
  </w:num>
  <w:num w:numId="37">
    <w:abstractNumId w:val="36"/>
  </w:num>
  <w:num w:numId="38">
    <w:abstractNumId w:val="31"/>
  </w:num>
  <w:num w:numId="39">
    <w:abstractNumId w:val="7"/>
  </w:num>
  <w:num w:numId="40">
    <w:abstractNumId w:val="34"/>
  </w:num>
  <w:num w:numId="41">
    <w:abstractNumId w:val="6"/>
  </w:num>
  <w:num w:numId="42">
    <w:abstractNumId w:val="3"/>
  </w:num>
  <w:num w:numId="43">
    <w:abstractNumId w:val="29"/>
  </w:num>
  <w:num w:numId="44">
    <w:abstractNumId w:val="32"/>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8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A9C"/>
    <w:rsid w:val="000005F8"/>
    <w:rsid w:val="000010C6"/>
    <w:rsid w:val="00003922"/>
    <w:rsid w:val="000060D1"/>
    <w:rsid w:val="00006D9B"/>
    <w:rsid w:val="000072E4"/>
    <w:rsid w:val="00010FC2"/>
    <w:rsid w:val="0001141E"/>
    <w:rsid w:val="0001455A"/>
    <w:rsid w:val="0001465C"/>
    <w:rsid w:val="000157D6"/>
    <w:rsid w:val="00015F95"/>
    <w:rsid w:val="000242CD"/>
    <w:rsid w:val="0002488D"/>
    <w:rsid w:val="00030494"/>
    <w:rsid w:val="000330E4"/>
    <w:rsid w:val="00034217"/>
    <w:rsid w:val="00035FA2"/>
    <w:rsid w:val="00037017"/>
    <w:rsid w:val="00037238"/>
    <w:rsid w:val="00037AB6"/>
    <w:rsid w:val="00042C35"/>
    <w:rsid w:val="0004725F"/>
    <w:rsid w:val="00051BEF"/>
    <w:rsid w:val="00055490"/>
    <w:rsid w:val="000619D0"/>
    <w:rsid w:val="00063618"/>
    <w:rsid w:val="00065D64"/>
    <w:rsid w:val="00066578"/>
    <w:rsid w:val="000668F6"/>
    <w:rsid w:val="00067224"/>
    <w:rsid w:val="000745C4"/>
    <w:rsid w:val="00075ACD"/>
    <w:rsid w:val="00085658"/>
    <w:rsid w:val="000865D9"/>
    <w:rsid w:val="00092656"/>
    <w:rsid w:val="00093F94"/>
    <w:rsid w:val="000A27CD"/>
    <w:rsid w:val="000A48E2"/>
    <w:rsid w:val="000A7D7C"/>
    <w:rsid w:val="000B2D69"/>
    <w:rsid w:val="000B5432"/>
    <w:rsid w:val="000D004E"/>
    <w:rsid w:val="000D0235"/>
    <w:rsid w:val="000D267C"/>
    <w:rsid w:val="000D3502"/>
    <w:rsid w:val="000D549B"/>
    <w:rsid w:val="000D57FF"/>
    <w:rsid w:val="000D6461"/>
    <w:rsid w:val="000E0303"/>
    <w:rsid w:val="000E28AE"/>
    <w:rsid w:val="000E3174"/>
    <w:rsid w:val="000E5C35"/>
    <w:rsid w:val="000E5E0D"/>
    <w:rsid w:val="000F42C2"/>
    <w:rsid w:val="000F5A2B"/>
    <w:rsid w:val="000F6920"/>
    <w:rsid w:val="00101BD6"/>
    <w:rsid w:val="00101E4E"/>
    <w:rsid w:val="00103158"/>
    <w:rsid w:val="00104B10"/>
    <w:rsid w:val="00104B97"/>
    <w:rsid w:val="00104DB2"/>
    <w:rsid w:val="00106362"/>
    <w:rsid w:val="00111C46"/>
    <w:rsid w:val="00111E5C"/>
    <w:rsid w:val="001172F0"/>
    <w:rsid w:val="00120C6F"/>
    <w:rsid w:val="001214ED"/>
    <w:rsid w:val="001215AB"/>
    <w:rsid w:val="0012486B"/>
    <w:rsid w:val="00124B6F"/>
    <w:rsid w:val="0012500B"/>
    <w:rsid w:val="00127E4E"/>
    <w:rsid w:val="00135ACB"/>
    <w:rsid w:val="00135B73"/>
    <w:rsid w:val="0015000D"/>
    <w:rsid w:val="00153955"/>
    <w:rsid w:val="00160382"/>
    <w:rsid w:val="001603BC"/>
    <w:rsid w:val="00161700"/>
    <w:rsid w:val="00161861"/>
    <w:rsid w:val="00163F1C"/>
    <w:rsid w:val="0016537A"/>
    <w:rsid w:val="001703A5"/>
    <w:rsid w:val="00173059"/>
    <w:rsid w:val="00173413"/>
    <w:rsid w:val="001734B6"/>
    <w:rsid w:val="00174173"/>
    <w:rsid w:val="00174CEF"/>
    <w:rsid w:val="00182108"/>
    <w:rsid w:val="00182743"/>
    <w:rsid w:val="00185EAB"/>
    <w:rsid w:val="00193244"/>
    <w:rsid w:val="001949FE"/>
    <w:rsid w:val="001958FC"/>
    <w:rsid w:val="00196755"/>
    <w:rsid w:val="001A1FE9"/>
    <w:rsid w:val="001A28F7"/>
    <w:rsid w:val="001C102E"/>
    <w:rsid w:val="001C409E"/>
    <w:rsid w:val="001C4E3A"/>
    <w:rsid w:val="001D36A0"/>
    <w:rsid w:val="001D532D"/>
    <w:rsid w:val="001D57E3"/>
    <w:rsid w:val="001E1057"/>
    <w:rsid w:val="001E1B6F"/>
    <w:rsid w:val="001E4573"/>
    <w:rsid w:val="001E6627"/>
    <w:rsid w:val="001E7DAF"/>
    <w:rsid w:val="001F1860"/>
    <w:rsid w:val="001F1C7B"/>
    <w:rsid w:val="001F36C2"/>
    <w:rsid w:val="00200A5B"/>
    <w:rsid w:val="0020418E"/>
    <w:rsid w:val="00210A3A"/>
    <w:rsid w:val="002157F8"/>
    <w:rsid w:val="00220378"/>
    <w:rsid w:val="00232674"/>
    <w:rsid w:val="00232A9A"/>
    <w:rsid w:val="00233772"/>
    <w:rsid w:val="0023657B"/>
    <w:rsid w:val="00247697"/>
    <w:rsid w:val="0025082F"/>
    <w:rsid w:val="002522BA"/>
    <w:rsid w:val="00253ECE"/>
    <w:rsid w:val="002651CF"/>
    <w:rsid w:val="002703AC"/>
    <w:rsid w:val="002703B3"/>
    <w:rsid w:val="00275627"/>
    <w:rsid w:val="00277EBA"/>
    <w:rsid w:val="00281C6B"/>
    <w:rsid w:val="00281D43"/>
    <w:rsid w:val="002845A0"/>
    <w:rsid w:val="00284E95"/>
    <w:rsid w:val="00291F76"/>
    <w:rsid w:val="00296EC6"/>
    <w:rsid w:val="002A12EE"/>
    <w:rsid w:val="002A21E0"/>
    <w:rsid w:val="002A67EA"/>
    <w:rsid w:val="002B0039"/>
    <w:rsid w:val="002B04AF"/>
    <w:rsid w:val="002B0C6D"/>
    <w:rsid w:val="002B12FE"/>
    <w:rsid w:val="002B1691"/>
    <w:rsid w:val="002B3667"/>
    <w:rsid w:val="002B375E"/>
    <w:rsid w:val="002B6522"/>
    <w:rsid w:val="002B7034"/>
    <w:rsid w:val="002B7A59"/>
    <w:rsid w:val="002C779C"/>
    <w:rsid w:val="002D7B30"/>
    <w:rsid w:val="002E2BB8"/>
    <w:rsid w:val="002E2C57"/>
    <w:rsid w:val="002E325E"/>
    <w:rsid w:val="002E3E32"/>
    <w:rsid w:val="002E49B5"/>
    <w:rsid w:val="002E559D"/>
    <w:rsid w:val="002F0B0A"/>
    <w:rsid w:val="002F0EE6"/>
    <w:rsid w:val="00300D7B"/>
    <w:rsid w:val="00301A37"/>
    <w:rsid w:val="00302221"/>
    <w:rsid w:val="0030676F"/>
    <w:rsid w:val="00313A86"/>
    <w:rsid w:val="003220A2"/>
    <w:rsid w:val="00324990"/>
    <w:rsid w:val="00325F60"/>
    <w:rsid w:val="00334471"/>
    <w:rsid w:val="003412A2"/>
    <w:rsid w:val="003452F2"/>
    <w:rsid w:val="00346903"/>
    <w:rsid w:val="003506B8"/>
    <w:rsid w:val="00353884"/>
    <w:rsid w:val="00354DC9"/>
    <w:rsid w:val="003558EE"/>
    <w:rsid w:val="00361125"/>
    <w:rsid w:val="00365EA4"/>
    <w:rsid w:val="00367464"/>
    <w:rsid w:val="00384209"/>
    <w:rsid w:val="00386641"/>
    <w:rsid w:val="00390829"/>
    <w:rsid w:val="00395955"/>
    <w:rsid w:val="00395C7A"/>
    <w:rsid w:val="00397C49"/>
    <w:rsid w:val="003A3CB5"/>
    <w:rsid w:val="003A6235"/>
    <w:rsid w:val="003A6936"/>
    <w:rsid w:val="003B1A9D"/>
    <w:rsid w:val="003B3296"/>
    <w:rsid w:val="003B40AF"/>
    <w:rsid w:val="003B47FF"/>
    <w:rsid w:val="003B7199"/>
    <w:rsid w:val="003C01AB"/>
    <w:rsid w:val="003C0B44"/>
    <w:rsid w:val="003D15EE"/>
    <w:rsid w:val="003D2813"/>
    <w:rsid w:val="003D40F8"/>
    <w:rsid w:val="003D440E"/>
    <w:rsid w:val="003D5D55"/>
    <w:rsid w:val="003D74C1"/>
    <w:rsid w:val="003D7B86"/>
    <w:rsid w:val="003E1AB2"/>
    <w:rsid w:val="003E2513"/>
    <w:rsid w:val="003E4A06"/>
    <w:rsid w:val="003F028C"/>
    <w:rsid w:val="003F7308"/>
    <w:rsid w:val="00401C75"/>
    <w:rsid w:val="00403502"/>
    <w:rsid w:val="0040354A"/>
    <w:rsid w:val="00404085"/>
    <w:rsid w:val="004061FC"/>
    <w:rsid w:val="00407B36"/>
    <w:rsid w:val="004110FC"/>
    <w:rsid w:val="00412917"/>
    <w:rsid w:val="00414208"/>
    <w:rsid w:val="00414615"/>
    <w:rsid w:val="004230D9"/>
    <w:rsid w:val="00424DB6"/>
    <w:rsid w:val="00424ED0"/>
    <w:rsid w:val="00431505"/>
    <w:rsid w:val="00435067"/>
    <w:rsid w:val="00436CDF"/>
    <w:rsid w:val="004371CD"/>
    <w:rsid w:val="004405B0"/>
    <w:rsid w:val="0044175B"/>
    <w:rsid w:val="0044671B"/>
    <w:rsid w:val="00446C27"/>
    <w:rsid w:val="00451DA7"/>
    <w:rsid w:val="00454692"/>
    <w:rsid w:val="004575D2"/>
    <w:rsid w:val="00457A1B"/>
    <w:rsid w:val="00465D95"/>
    <w:rsid w:val="00471170"/>
    <w:rsid w:val="004720E5"/>
    <w:rsid w:val="004762FB"/>
    <w:rsid w:val="00476ABD"/>
    <w:rsid w:val="004829D8"/>
    <w:rsid w:val="004833EE"/>
    <w:rsid w:val="0048394E"/>
    <w:rsid w:val="00485B1E"/>
    <w:rsid w:val="00491D15"/>
    <w:rsid w:val="004974EA"/>
    <w:rsid w:val="00497F6C"/>
    <w:rsid w:val="004A222F"/>
    <w:rsid w:val="004A25E2"/>
    <w:rsid w:val="004B0A46"/>
    <w:rsid w:val="004B1716"/>
    <w:rsid w:val="004B1764"/>
    <w:rsid w:val="004C1CE9"/>
    <w:rsid w:val="004C3151"/>
    <w:rsid w:val="004C61D1"/>
    <w:rsid w:val="004D0217"/>
    <w:rsid w:val="004D2844"/>
    <w:rsid w:val="004E2C8C"/>
    <w:rsid w:val="004E3210"/>
    <w:rsid w:val="004E5D45"/>
    <w:rsid w:val="004E6B46"/>
    <w:rsid w:val="004F29AC"/>
    <w:rsid w:val="004F3E86"/>
    <w:rsid w:val="0050357A"/>
    <w:rsid w:val="00503B51"/>
    <w:rsid w:val="00506395"/>
    <w:rsid w:val="00523475"/>
    <w:rsid w:val="00523942"/>
    <w:rsid w:val="0052397A"/>
    <w:rsid w:val="00525060"/>
    <w:rsid w:val="00531F39"/>
    <w:rsid w:val="005342D6"/>
    <w:rsid w:val="0053581C"/>
    <w:rsid w:val="00535F65"/>
    <w:rsid w:val="0054116D"/>
    <w:rsid w:val="0054129B"/>
    <w:rsid w:val="0054432E"/>
    <w:rsid w:val="00551CDB"/>
    <w:rsid w:val="00555AF1"/>
    <w:rsid w:val="00560202"/>
    <w:rsid w:val="00562832"/>
    <w:rsid w:val="00565033"/>
    <w:rsid w:val="0056554F"/>
    <w:rsid w:val="00570E41"/>
    <w:rsid w:val="00570E51"/>
    <w:rsid w:val="00580C4A"/>
    <w:rsid w:val="00587117"/>
    <w:rsid w:val="00590665"/>
    <w:rsid w:val="00593D4A"/>
    <w:rsid w:val="0059470E"/>
    <w:rsid w:val="005957AD"/>
    <w:rsid w:val="00595CB7"/>
    <w:rsid w:val="00595D5B"/>
    <w:rsid w:val="005B3109"/>
    <w:rsid w:val="005B47DF"/>
    <w:rsid w:val="005B56DD"/>
    <w:rsid w:val="005B7AC9"/>
    <w:rsid w:val="005C10D3"/>
    <w:rsid w:val="005C38E9"/>
    <w:rsid w:val="005C4631"/>
    <w:rsid w:val="005D25AD"/>
    <w:rsid w:val="005D7110"/>
    <w:rsid w:val="005E4BB8"/>
    <w:rsid w:val="005F1B89"/>
    <w:rsid w:val="005F60F9"/>
    <w:rsid w:val="00600CDE"/>
    <w:rsid w:val="00607436"/>
    <w:rsid w:val="00610D91"/>
    <w:rsid w:val="0061206C"/>
    <w:rsid w:val="0061399D"/>
    <w:rsid w:val="00617B45"/>
    <w:rsid w:val="006239E3"/>
    <w:rsid w:val="00624AF6"/>
    <w:rsid w:val="00630EA1"/>
    <w:rsid w:val="00633729"/>
    <w:rsid w:val="0063409D"/>
    <w:rsid w:val="00635EB8"/>
    <w:rsid w:val="00636D5A"/>
    <w:rsid w:val="00637DBC"/>
    <w:rsid w:val="006428B2"/>
    <w:rsid w:val="00653326"/>
    <w:rsid w:val="00654D95"/>
    <w:rsid w:val="00666FAB"/>
    <w:rsid w:val="006718FF"/>
    <w:rsid w:val="00672A32"/>
    <w:rsid w:val="00676543"/>
    <w:rsid w:val="00676A08"/>
    <w:rsid w:val="0068093C"/>
    <w:rsid w:val="006827FC"/>
    <w:rsid w:val="00683D78"/>
    <w:rsid w:val="006910FB"/>
    <w:rsid w:val="0069479B"/>
    <w:rsid w:val="00694F9C"/>
    <w:rsid w:val="0069635C"/>
    <w:rsid w:val="006963B8"/>
    <w:rsid w:val="00696E75"/>
    <w:rsid w:val="006A110A"/>
    <w:rsid w:val="006A58A1"/>
    <w:rsid w:val="006A5DFD"/>
    <w:rsid w:val="006A65C3"/>
    <w:rsid w:val="006B049D"/>
    <w:rsid w:val="006B04F5"/>
    <w:rsid w:val="006C21C5"/>
    <w:rsid w:val="006C3A52"/>
    <w:rsid w:val="006C7037"/>
    <w:rsid w:val="006D2FDC"/>
    <w:rsid w:val="006D4705"/>
    <w:rsid w:val="006D62E3"/>
    <w:rsid w:val="006E05F0"/>
    <w:rsid w:val="006E4787"/>
    <w:rsid w:val="006E6A82"/>
    <w:rsid w:val="006F2277"/>
    <w:rsid w:val="006F2606"/>
    <w:rsid w:val="006F27E9"/>
    <w:rsid w:val="006F372D"/>
    <w:rsid w:val="006F733D"/>
    <w:rsid w:val="006F74C1"/>
    <w:rsid w:val="0070238F"/>
    <w:rsid w:val="00702C37"/>
    <w:rsid w:val="00704BFE"/>
    <w:rsid w:val="00707B62"/>
    <w:rsid w:val="0071542A"/>
    <w:rsid w:val="00716263"/>
    <w:rsid w:val="007179B2"/>
    <w:rsid w:val="00726369"/>
    <w:rsid w:val="00736821"/>
    <w:rsid w:val="00752009"/>
    <w:rsid w:val="0075221B"/>
    <w:rsid w:val="00752ABE"/>
    <w:rsid w:val="00752F73"/>
    <w:rsid w:val="007530CE"/>
    <w:rsid w:val="007576D7"/>
    <w:rsid w:val="0076324D"/>
    <w:rsid w:val="00763CDE"/>
    <w:rsid w:val="00765184"/>
    <w:rsid w:val="00765AB8"/>
    <w:rsid w:val="00766533"/>
    <w:rsid w:val="00783529"/>
    <w:rsid w:val="007855C5"/>
    <w:rsid w:val="00785EB6"/>
    <w:rsid w:val="007936B0"/>
    <w:rsid w:val="00793A69"/>
    <w:rsid w:val="00796E03"/>
    <w:rsid w:val="007A2C42"/>
    <w:rsid w:val="007A34E3"/>
    <w:rsid w:val="007A4D76"/>
    <w:rsid w:val="007B1822"/>
    <w:rsid w:val="007B2312"/>
    <w:rsid w:val="007B5BFC"/>
    <w:rsid w:val="007C01B2"/>
    <w:rsid w:val="007C1E29"/>
    <w:rsid w:val="007C6904"/>
    <w:rsid w:val="007C6F3B"/>
    <w:rsid w:val="007D233E"/>
    <w:rsid w:val="007D2EE6"/>
    <w:rsid w:val="007D5130"/>
    <w:rsid w:val="007E6352"/>
    <w:rsid w:val="007F0193"/>
    <w:rsid w:val="007F4CD6"/>
    <w:rsid w:val="00800215"/>
    <w:rsid w:val="008039FD"/>
    <w:rsid w:val="008110A0"/>
    <w:rsid w:val="0081157E"/>
    <w:rsid w:val="008218ED"/>
    <w:rsid w:val="00830237"/>
    <w:rsid w:val="00832BC4"/>
    <w:rsid w:val="008439CA"/>
    <w:rsid w:val="00843F17"/>
    <w:rsid w:val="00844123"/>
    <w:rsid w:val="008542B4"/>
    <w:rsid w:val="0086437F"/>
    <w:rsid w:val="008716C9"/>
    <w:rsid w:val="00874A54"/>
    <w:rsid w:val="00874DF3"/>
    <w:rsid w:val="00877BF1"/>
    <w:rsid w:val="008868C7"/>
    <w:rsid w:val="0089050D"/>
    <w:rsid w:val="00892842"/>
    <w:rsid w:val="0089632C"/>
    <w:rsid w:val="00897180"/>
    <w:rsid w:val="008A0BCB"/>
    <w:rsid w:val="008A121A"/>
    <w:rsid w:val="008A6BA2"/>
    <w:rsid w:val="008B3C65"/>
    <w:rsid w:val="008C5375"/>
    <w:rsid w:val="008D1FBB"/>
    <w:rsid w:val="008D2CCD"/>
    <w:rsid w:val="008D3B48"/>
    <w:rsid w:val="008D3E13"/>
    <w:rsid w:val="008D4FB7"/>
    <w:rsid w:val="008E1408"/>
    <w:rsid w:val="008E746D"/>
    <w:rsid w:val="008F23FA"/>
    <w:rsid w:val="008F326F"/>
    <w:rsid w:val="0090214D"/>
    <w:rsid w:val="00904D6B"/>
    <w:rsid w:val="00911AE3"/>
    <w:rsid w:val="00912532"/>
    <w:rsid w:val="00913FCB"/>
    <w:rsid w:val="00914E5A"/>
    <w:rsid w:val="00916166"/>
    <w:rsid w:val="00924BF6"/>
    <w:rsid w:val="00925A24"/>
    <w:rsid w:val="0092613F"/>
    <w:rsid w:val="00927BC7"/>
    <w:rsid w:val="00930B51"/>
    <w:rsid w:val="00933981"/>
    <w:rsid w:val="00943FCE"/>
    <w:rsid w:val="009507DF"/>
    <w:rsid w:val="00952D22"/>
    <w:rsid w:val="00956C09"/>
    <w:rsid w:val="00957E69"/>
    <w:rsid w:val="00962D7E"/>
    <w:rsid w:val="009647DC"/>
    <w:rsid w:val="00966020"/>
    <w:rsid w:val="00973344"/>
    <w:rsid w:val="009742A0"/>
    <w:rsid w:val="00975C80"/>
    <w:rsid w:val="009816D8"/>
    <w:rsid w:val="00990007"/>
    <w:rsid w:val="00994F7E"/>
    <w:rsid w:val="009A412E"/>
    <w:rsid w:val="009B1900"/>
    <w:rsid w:val="009B23BA"/>
    <w:rsid w:val="009B6D12"/>
    <w:rsid w:val="009C1FBF"/>
    <w:rsid w:val="009D3B2B"/>
    <w:rsid w:val="009D4C67"/>
    <w:rsid w:val="009D5248"/>
    <w:rsid w:val="009E3E9B"/>
    <w:rsid w:val="009E4035"/>
    <w:rsid w:val="009E42DB"/>
    <w:rsid w:val="009E46DE"/>
    <w:rsid w:val="009F0097"/>
    <w:rsid w:val="009F18BA"/>
    <w:rsid w:val="009F2CBB"/>
    <w:rsid w:val="009F3FAD"/>
    <w:rsid w:val="009F6436"/>
    <w:rsid w:val="009F67E2"/>
    <w:rsid w:val="00A0467C"/>
    <w:rsid w:val="00A04A4D"/>
    <w:rsid w:val="00A15031"/>
    <w:rsid w:val="00A15DC9"/>
    <w:rsid w:val="00A16F07"/>
    <w:rsid w:val="00A20D38"/>
    <w:rsid w:val="00A233C3"/>
    <w:rsid w:val="00A23826"/>
    <w:rsid w:val="00A35ABF"/>
    <w:rsid w:val="00A37829"/>
    <w:rsid w:val="00A4151D"/>
    <w:rsid w:val="00A4483E"/>
    <w:rsid w:val="00A54973"/>
    <w:rsid w:val="00A553FC"/>
    <w:rsid w:val="00A5591F"/>
    <w:rsid w:val="00A575BA"/>
    <w:rsid w:val="00A57B88"/>
    <w:rsid w:val="00A70FC3"/>
    <w:rsid w:val="00A72401"/>
    <w:rsid w:val="00A7469F"/>
    <w:rsid w:val="00A768F4"/>
    <w:rsid w:val="00A779C3"/>
    <w:rsid w:val="00A8160B"/>
    <w:rsid w:val="00A819CF"/>
    <w:rsid w:val="00A84316"/>
    <w:rsid w:val="00A85B1A"/>
    <w:rsid w:val="00A92AC8"/>
    <w:rsid w:val="00A94D27"/>
    <w:rsid w:val="00A951D7"/>
    <w:rsid w:val="00AA28D3"/>
    <w:rsid w:val="00AA4766"/>
    <w:rsid w:val="00AA6164"/>
    <w:rsid w:val="00AB0EEA"/>
    <w:rsid w:val="00AB10E4"/>
    <w:rsid w:val="00AB468B"/>
    <w:rsid w:val="00AC44C4"/>
    <w:rsid w:val="00AD73A6"/>
    <w:rsid w:val="00AE0031"/>
    <w:rsid w:val="00AF55EA"/>
    <w:rsid w:val="00AF5F90"/>
    <w:rsid w:val="00AF6617"/>
    <w:rsid w:val="00B070B2"/>
    <w:rsid w:val="00B07BD0"/>
    <w:rsid w:val="00B101C8"/>
    <w:rsid w:val="00B10236"/>
    <w:rsid w:val="00B12F80"/>
    <w:rsid w:val="00B169B9"/>
    <w:rsid w:val="00B213A1"/>
    <w:rsid w:val="00B23450"/>
    <w:rsid w:val="00B264F7"/>
    <w:rsid w:val="00B303DC"/>
    <w:rsid w:val="00B31A91"/>
    <w:rsid w:val="00B37A87"/>
    <w:rsid w:val="00B416CE"/>
    <w:rsid w:val="00B41963"/>
    <w:rsid w:val="00B4318D"/>
    <w:rsid w:val="00B431A0"/>
    <w:rsid w:val="00B44DAF"/>
    <w:rsid w:val="00B45684"/>
    <w:rsid w:val="00B478AE"/>
    <w:rsid w:val="00B66AFB"/>
    <w:rsid w:val="00B7022D"/>
    <w:rsid w:val="00B76B77"/>
    <w:rsid w:val="00B8071A"/>
    <w:rsid w:val="00B82B9F"/>
    <w:rsid w:val="00B84DED"/>
    <w:rsid w:val="00B869D9"/>
    <w:rsid w:val="00B9322E"/>
    <w:rsid w:val="00B939CE"/>
    <w:rsid w:val="00B93B06"/>
    <w:rsid w:val="00B93D1B"/>
    <w:rsid w:val="00B9506E"/>
    <w:rsid w:val="00BA00DE"/>
    <w:rsid w:val="00BB27D0"/>
    <w:rsid w:val="00BD1068"/>
    <w:rsid w:val="00BD13D9"/>
    <w:rsid w:val="00BD3247"/>
    <w:rsid w:val="00BE0DFB"/>
    <w:rsid w:val="00BE4FBE"/>
    <w:rsid w:val="00BE778A"/>
    <w:rsid w:val="00BE7C93"/>
    <w:rsid w:val="00BF4C13"/>
    <w:rsid w:val="00C02416"/>
    <w:rsid w:val="00C105D7"/>
    <w:rsid w:val="00C106FE"/>
    <w:rsid w:val="00C12B8B"/>
    <w:rsid w:val="00C12D92"/>
    <w:rsid w:val="00C14380"/>
    <w:rsid w:val="00C15A9C"/>
    <w:rsid w:val="00C166DB"/>
    <w:rsid w:val="00C17B35"/>
    <w:rsid w:val="00C218AE"/>
    <w:rsid w:val="00C21B6E"/>
    <w:rsid w:val="00C303CC"/>
    <w:rsid w:val="00C30AE2"/>
    <w:rsid w:val="00C30FF9"/>
    <w:rsid w:val="00C34A69"/>
    <w:rsid w:val="00C35652"/>
    <w:rsid w:val="00C4384F"/>
    <w:rsid w:val="00C5246F"/>
    <w:rsid w:val="00C567C0"/>
    <w:rsid w:val="00C60853"/>
    <w:rsid w:val="00C6145F"/>
    <w:rsid w:val="00C641D2"/>
    <w:rsid w:val="00C65979"/>
    <w:rsid w:val="00C74461"/>
    <w:rsid w:val="00C74AC7"/>
    <w:rsid w:val="00C8022A"/>
    <w:rsid w:val="00C873CA"/>
    <w:rsid w:val="00C91FF3"/>
    <w:rsid w:val="00C94279"/>
    <w:rsid w:val="00C94709"/>
    <w:rsid w:val="00C96A6D"/>
    <w:rsid w:val="00CA11CC"/>
    <w:rsid w:val="00CA2089"/>
    <w:rsid w:val="00CA4B4C"/>
    <w:rsid w:val="00CA6F70"/>
    <w:rsid w:val="00CC0A8D"/>
    <w:rsid w:val="00CC3EDB"/>
    <w:rsid w:val="00CC42E4"/>
    <w:rsid w:val="00CC4814"/>
    <w:rsid w:val="00CC72C4"/>
    <w:rsid w:val="00CC7982"/>
    <w:rsid w:val="00CD02C8"/>
    <w:rsid w:val="00CD089F"/>
    <w:rsid w:val="00CD0C44"/>
    <w:rsid w:val="00CD3F65"/>
    <w:rsid w:val="00CD4D2C"/>
    <w:rsid w:val="00CE3E1A"/>
    <w:rsid w:val="00CE424E"/>
    <w:rsid w:val="00CE4E6A"/>
    <w:rsid w:val="00CF2116"/>
    <w:rsid w:val="00CF261A"/>
    <w:rsid w:val="00CF2C07"/>
    <w:rsid w:val="00CF42A1"/>
    <w:rsid w:val="00D01193"/>
    <w:rsid w:val="00D05101"/>
    <w:rsid w:val="00D066EE"/>
    <w:rsid w:val="00D07279"/>
    <w:rsid w:val="00D11A77"/>
    <w:rsid w:val="00D147FD"/>
    <w:rsid w:val="00D155FE"/>
    <w:rsid w:val="00D20014"/>
    <w:rsid w:val="00D20C64"/>
    <w:rsid w:val="00D26A0D"/>
    <w:rsid w:val="00D27216"/>
    <w:rsid w:val="00D3766D"/>
    <w:rsid w:val="00D37C97"/>
    <w:rsid w:val="00D41741"/>
    <w:rsid w:val="00D428AB"/>
    <w:rsid w:val="00D43648"/>
    <w:rsid w:val="00D43B43"/>
    <w:rsid w:val="00D46612"/>
    <w:rsid w:val="00D5093C"/>
    <w:rsid w:val="00D51C9A"/>
    <w:rsid w:val="00D522D9"/>
    <w:rsid w:val="00D52430"/>
    <w:rsid w:val="00D5276F"/>
    <w:rsid w:val="00D540F2"/>
    <w:rsid w:val="00D57229"/>
    <w:rsid w:val="00D61C90"/>
    <w:rsid w:val="00D63278"/>
    <w:rsid w:val="00D641FE"/>
    <w:rsid w:val="00D671A2"/>
    <w:rsid w:val="00D705A8"/>
    <w:rsid w:val="00D73381"/>
    <w:rsid w:val="00D74036"/>
    <w:rsid w:val="00D74C11"/>
    <w:rsid w:val="00D75716"/>
    <w:rsid w:val="00D75C91"/>
    <w:rsid w:val="00D806A9"/>
    <w:rsid w:val="00D81925"/>
    <w:rsid w:val="00D822D8"/>
    <w:rsid w:val="00D91036"/>
    <w:rsid w:val="00D9301A"/>
    <w:rsid w:val="00D93604"/>
    <w:rsid w:val="00DA053F"/>
    <w:rsid w:val="00DA0D3F"/>
    <w:rsid w:val="00DA360F"/>
    <w:rsid w:val="00DA40D7"/>
    <w:rsid w:val="00DB0841"/>
    <w:rsid w:val="00DB3166"/>
    <w:rsid w:val="00DB7067"/>
    <w:rsid w:val="00DB716F"/>
    <w:rsid w:val="00DC0C7F"/>
    <w:rsid w:val="00DC0E07"/>
    <w:rsid w:val="00DC2A45"/>
    <w:rsid w:val="00DC3839"/>
    <w:rsid w:val="00DC64F2"/>
    <w:rsid w:val="00DD0155"/>
    <w:rsid w:val="00DD4C31"/>
    <w:rsid w:val="00DD6262"/>
    <w:rsid w:val="00DE3E99"/>
    <w:rsid w:val="00DE3ECA"/>
    <w:rsid w:val="00DE4639"/>
    <w:rsid w:val="00DE62E0"/>
    <w:rsid w:val="00DE6C25"/>
    <w:rsid w:val="00DF3C47"/>
    <w:rsid w:val="00E009FD"/>
    <w:rsid w:val="00E01A56"/>
    <w:rsid w:val="00E07435"/>
    <w:rsid w:val="00E11852"/>
    <w:rsid w:val="00E1293E"/>
    <w:rsid w:val="00E23CAF"/>
    <w:rsid w:val="00E32A1F"/>
    <w:rsid w:val="00E33DBE"/>
    <w:rsid w:val="00E42CAF"/>
    <w:rsid w:val="00E54BF2"/>
    <w:rsid w:val="00E6155B"/>
    <w:rsid w:val="00E617B0"/>
    <w:rsid w:val="00E61C1C"/>
    <w:rsid w:val="00E84A25"/>
    <w:rsid w:val="00E8603C"/>
    <w:rsid w:val="00E87BC8"/>
    <w:rsid w:val="00E914C5"/>
    <w:rsid w:val="00EB4C5E"/>
    <w:rsid w:val="00EB568D"/>
    <w:rsid w:val="00EC7112"/>
    <w:rsid w:val="00ED28E5"/>
    <w:rsid w:val="00ED3250"/>
    <w:rsid w:val="00ED36AE"/>
    <w:rsid w:val="00EE25C6"/>
    <w:rsid w:val="00EE520E"/>
    <w:rsid w:val="00EF0E43"/>
    <w:rsid w:val="00EF3098"/>
    <w:rsid w:val="00F0266B"/>
    <w:rsid w:val="00F0267B"/>
    <w:rsid w:val="00F05DF5"/>
    <w:rsid w:val="00F10986"/>
    <w:rsid w:val="00F115BD"/>
    <w:rsid w:val="00F13CD8"/>
    <w:rsid w:val="00F13EDF"/>
    <w:rsid w:val="00F16603"/>
    <w:rsid w:val="00F177F6"/>
    <w:rsid w:val="00F229E6"/>
    <w:rsid w:val="00F246FD"/>
    <w:rsid w:val="00F330BD"/>
    <w:rsid w:val="00F33F29"/>
    <w:rsid w:val="00F340F8"/>
    <w:rsid w:val="00F41B9A"/>
    <w:rsid w:val="00F44991"/>
    <w:rsid w:val="00F6016E"/>
    <w:rsid w:val="00F64FD3"/>
    <w:rsid w:val="00F72688"/>
    <w:rsid w:val="00F73AEE"/>
    <w:rsid w:val="00F75990"/>
    <w:rsid w:val="00F7619F"/>
    <w:rsid w:val="00F81023"/>
    <w:rsid w:val="00F81B04"/>
    <w:rsid w:val="00F81C4C"/>
    <w:rsid w:val="00F91E36"/>
    <w:rsid w:val="00F93AB3"/>
    <w:rsid w:val="00FA0492"/>
    <w:rsid w:val="00FA2F57"/>
    <w:rsid w:val="00FA6037"/>
    <w:rsid w:val="00FB1AA7"/>
    <w:rsid w:val="00FC453A"/>
    <w:rsid w:val="00FC6140"/>
    <w:rsid w:val="00FD10D9"/>
    <w:rsid w:val="00FD10DD"/>
    <w:rsid w:val="00FD3B29"/>
    <w:rsid w:val="00FE0F89"/>
    <w:rsid w:val="00FF1601"/>
    <w:rsid w:val="00FF249D"/>
    <w:rsid w:val="00FF52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95FB3BC"/>
  <w15:docId w15:val="{ECB891CC-8CC8-49B0-AD6A-55187E52E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0EE6"/>
    <w:rPr>
      <w:rFonts w:ascii="Arial" w:hAnsi="Arial"/>
    </w:rPr>
  </w:style>
  <w:style w:type="paragraph" w:styleId="Heading1">
    <w:name w:val="heading 1"/>
    <w:basedOn w:val="Normal"/>
    <w:next w:val="Normal"/>
    <w:link w:val="Heading1Char"/>
    <w:autoRedefine/>
    <w:uiPriority w:val="9"/>
    <w:qFormat/>
    <w:rsid w:val="00161861"/>
    <w:pPr>
      <w:keepNext/>
      <w:keepLines/>
      <w:spacing w:before="240" w:after="240" w:line="264" w:lineRule="auto"/>
      <w:jc w:val="both"/>
      <w:outlineLvl w:val="0"/>
    </w:pPr>
    <w:rPr>
      <w:rFonts w:eastAsiaTheme="majorEastAsia" w:cstheme="majorBidi"/>
      <w:b/>
      <w:bCs/>
      <w:color w:val="007A7C"/>
      <w:sz w:val="36"/>
      <w:szCs w:val="36"/>
    </w:rPr>
  </w:style>
  <w:style w:type="paragraph" w:styleId="Heading2">
    <w:name w:val="heading 2"/>
    <w:basedOn w:val="Normal"/>
    <w:next w:val="Normal"/>
    <w:link w:val="Heading2Char"/>
    <w:autoRedefine/>
    <w:uiPriority w:val="9"/>
    <w:unhideWhenUsed/>
    <w:qFormat/>
    <w:rsid w:val="00161861"/>
    <w:pPr>
      <w:keepNext/>
      <w:keepLines/>
      <w:spacing w:before="240" w:after="240" w:line="264" w:lineRule="auto"/>
      <w:jc w:val="both"/>
      <w:outlineLvl w:val="1"/>
    </w:pPr>
    <w:rPr>
      <w:rFonts w:eastAsiaTheme="majorEastAsia" w:cstheme="majorBidi"/>
      <w:bCs/>
      <w:color w:val="007A7C"/>
      <w:sz w:val="28"/>
      <w:szCs w:val="26"/>
    </w:rPr>
  </w:style>
  <w:style w:type="paragraph" w:styleId="Heading3">
    <w:name w:val="heading 3"/>
    <w:basedOn w:val="Normal"/>
    <w:next w:val="Normal"/>
    <w:link w:val="Heading3Char"/>
    <w:autoRedefine/>
    <w:uiPriority w:val="9"/>
    <w:unhideWhenUsed/>
    <w:qFormat/>
    <w:rsid w:val="00161861"/>
    <w:pPr>
      <w:keepNext/>
      <w:keepLines/>
      <w:spacing w:before="300" w:after="120" w:line="240" w:lineRule="auto"/>
      <w:jc w:val="both"/>
      <w:outlineLvl w:val="2"/>
    </w:pPr>
    <w:rPr>
      <w:rFonts w:eastAsiaTheme="majorEastAsia" w:cstheme="majorBidi"/>
      <w:bCs/>
      <w:i/>
      <w:color w:val="007A7C"/>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60D1"/>
    <w:pPr>
      <w:numPr>
        <w:numId w:val="1"/>
      </w:numPr>
      <w:spacing w:after="120" w:line="240" w:lineRule="auto"/>
      <w:ind w:left="709" w:hanging="567"/>
    </w:pPr>
    <w:rPr>
      <w:sz w:val="20"/>
    </w:rPr>
  </w:style>
  <w:style w:type="character" w:styleId="CommentReference">
    <w:name w:val="annotation reference"/>
    <w:basedOn w:val="DefaultParagraphFont"/>
    <w:uiPriority w:val="99"/>
    <w:semiHidden/>
    <w:unhideWhenUsed/>
    <w:rsid w:val="007B1822"/>
    <w:rPr>
      <w:sz w:val="16"/>
      <w:szCs w:val="16"/>
    </w:rPr>
  </w:style>
  <w:style w:type="paragraph" w:styleId="CommentText">
    <w:name w:val="annotation text"/>
    <w:basedOn w:val="Normal"/>
    <w:link w:val="CommentTextChar"/>
    <w:uiPriority w:val="99"/>
    <w:unhideWhenUsed/>
    <w:rsid w:val="007B1822"/>
    <w:pPr>
      <w:spacing w:line="240" w:lineRule="auto"/>
    </w:pPr>
    <w:rPr>
      <w:sz w:val="20"/>
      <w:szCs w:val="20"/>
    </w:rPr>
  </w:style>
  <w:style w:type="character" w:customStyle="1" w:styleId="CommentTextChar">
    <w:name w:val="Comment Text Char"/>
    <w:basedOn w:val="DefaultParagraphFont"/>
    <w:link w:val="CommentText"/>
    <w:uiPriority w:val="99"/>
    <w:rsid w:val="007B1822"/>
    <w:rPr>
      <w:sz w:val="20"/>
      <w:szCs w:val="20"/>
    </w:rPr>
  </w:style>
  <w:style w:type="paragraph" w:styleId="CommentSubject">
    <w:name w:val="annotation subject"/>
    <w:basedOn w:val="CommentText"/>
    <w:next w:val="CommentText"/>
    <w:link w:val="CommentSubjectChar"/>
    <w:uiPriority w:val="99"/>
    <w:semiHidden/>
    <w:unhideWhenUsed/>
    <w:rsid w:val="007B1822"/>
    <w:rPr>
      <w:b/>
      <w:bCs/>
    </w:rPr>
  </w:style>
  <w:style w:type="character" w:customStyle="1" w:styleId="CommentSubjectChar">
    <w:name w:val="Comment Subject Char"/>
    <w:basedOn w:val="CommentTextChar"/>
    <w:link w:val="CommentSubject"/>
    <w:uiPriority w:val="99"/>
    <w:semiHidden/>
    <w:rsid w:val="007B1822"/>
    <w:rPr>
      <w:b/>
      <w:bCs/>
      <w:sz w:val="20"/>
      <w:szCs w:val="20"/>
    </w:rPr>
  </w:style>
  <w:style w:type="paragraph" w:styleId="BalloonText">
    <w:name w:val="Balloon Text"/>
    <w:basedOn w:val="Normal"/>
    <w:link w:val="BalloonTextChar"/>
    <w:uiPriority w:val="99"/>
    <w:semiHidden/>
    <w:unhideWhenUsed/>
    <w:rsid w:val="007B18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1822"/>
    <w:rPr>
      <w:rFonts w:ascii="Tahoma" w:hAnsi="Tahoma" w:cs="Tahoma"/>
      <w:sz w:val="16"/>
      <w:szCs w:val="16"/>
    </w:rPr>
  </w:style>
  <w:style w:type="paragraph" w:styleId="FootnoteText">
    <w:name w:val="footnote text"/>
    <w:basedOn w:val="Normal"/>
    <w:link w:val="FootnoteTextChar"/>
    <w:uiPriority w:val="99"/>
    <w:semiHidden/>
    <w:unhideWhenUsed/>
    <w:rsid w:val="006963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63B8"/>
    <w:rPr>
      <w:sz w:val="20"/>
      <w:szCs w:val="20"/>
    </w:rPr>
  </w:style>
  <w:style w:type="character" w:styleId="FootnoteReference">
    <w:name w:val="footnote reference"/>
    <w:basedOn w:val="DefaultParagraphFont"/>
    <w:uiPriority w:val="99"/>
    <w:semiHidden/>
    <w:unhideWhenUsed/>
    <w:rsid w:val="006963B8"/>
    <w:rPr>
      <w:vertAlign w:val="superscript"/>
    </w:rPr>
  </w:style>
  <w:style w:type="character" w:customStyle="1" w:styleId="Heading1Char">
    <w:name w:val="Heading 1 Char"/>
    <w:basedOn w:val="DefaultParagraphFont"/>
    <w:link w:val="Heading1"/>
    <w:uiPriority w:val="9"/>
    <w:rsid w:val="00161861"/>
    <w:rPr>
      <w:rFonts w:ascii="Arial" w:eastAsiaTheme="majorEastAsia" w:hAnsi="Arial" w:cstheme="majorBidi"/>
      <w:b/>
      <w:bCs/>
      <w:color w:val="007A7C"/>
      <w:sz w:val="36"/>
      <w:szCs w:val="36"/>
    </w:rPr>
  </w:style>
  <w:style w:type="character" w:customStyle="1" w:styleId="Heading2Char">
    <w:name w:val="Heading 2 Char"/>
    <w:basedOn w:val="DefaultParagraphFont"/>
    <w:link w:val="Heading2"/>
    <w:uiPriority w:val="9"/>
    <w:rsid w:val="00161861"/>
    <w:rPr>
      <w:rFonts w:ascii="Arial" w:eastAsiaTheme="majorEastAsia" w:hAnsi="Arial" w:cstheme="majorBidi"/>
      <w:bCs/>
      <w:color w:val="007A7C"/>
      <w:sz w:val="28"/>
      <w:szCs w:val="26"/>
    </w:rPr>
  </w:style>
  <w:style w:type="character" w:customStyle="1" w:styleId="Heading3Char">
    <w:name w:val="Heading 3 Char"/>
    <w:basedOn w:val="DefaultParagraphFont"/>
    <w:link w:val="Heading3"/>
    <w:uiPriority w:val="9"/>
    <w:rsid w:val="00161861"/>
    <w:rPr>
      <w:rFonts w:ascii="Arial" w:eastAsiaTheme="majorEastAsia" w:hAnsi="Arial" w:cstheme="majorBidi"/>
      <w:bCs/>
      <w:i/>
      <w:color w:val="007A7C"/>
      <w:sz w:val="24"/>
    </w:rPr>
  </w:style>
  <w:style w:type="paragraph" w:styleId="Title">
    <w:name w:val="Title"/>
    <w:basedOn w:val="Normal"/>
    <w:next w:val="Normal"/>
    <w:link w:val="TitleChar"/>
    <w:uiPriority w:val="10"/>
    <w:qFormat/>
    <w:rsid w:val="00161861"/>
    <w:pPr>
      <w:pBdr>
        <w:bottom w:val="single" w:sz="8" w:space="4" w:color="4F81BD" w:themeColor="accent1"/>
      </w:pBdr>
      <w:spacing w:after="300" w:line="240" w:lineRule="auto"/>
      <w:contextualSpacing/>
    </w:pPr>
    <w:rPr>
      <w:rFonts w:eastAsiaTheme="majorEastAsia" w:cstheme="majorBidi"/>
      <w:color w:val="007A7C"/>
      <w:spacing w:val="5"/>
      <w:kern w:val="28"/>
      <w:sz w:val="44"/>
      <w:szCs w:val="52"/>
    </w:rPr>
  </w:style>
  <w:style w:type="character" w:customStyle="1" w:styleId="TitleChar">
    <w:name w:val="Title Char"/>
    <w:basedOn w:val="DefaultParagraphFont"/>
    <w:link w:val="Title"/>
    <w:uiPriority w:val="10"/>
    <w:rsid w:val="00161861"/>
    <w:rPr>
      <w:rFonts w:ascii="Arial" w:eastAsiaTheme="majorEastAsia" w:hAnsi="Arial" w:cstheme="majorBidi"/>
      <w:color w:val="007A7C"/>
      <w:spacing w:val="5"/>
      <w:kern w:val="28"/>
      <w:sz w:val="44"/>
      <w:szCs w:val="52"/>
    </w:rPr>
  </w:style>
  <w:style w:type="paragraph" w:styleId="Header">
    <w:name w:val="header"/>
    <w:basedOn w:val="Normal"/>
    <w:link w:val="HeaderChar"/>
    <w:uiPriority w:val="99"/>
    <w:unhideWhenUsed/>
    <w:rsid w:val="001617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1700"/>
  </w:style>
  <w:style w:type="paragraph" w:styleId="Footer">
    <w:name w:val="footer"/>
    <w:basedOn w:val="Normal"/>
    <w:link w:val="FooterChar"/>
    <w:uiPriority w:val="99"/>
    <w:unhideWhenUsed/>
    <w:rsid w:val="001617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1700"/>
  </w:style>
  <w:style w:type="character" w:styleId="Hyperlink">
    <w:name w:val="Hyperlink"/>
    <w:basedOn w:val="DefaultParagraphFont"/>
    <w:uiPriority w:val="99"/>
    <w:unhideWhenUsed/>
    <w:rsid w:val="00247697"/>
    <w:rPr>
      <w:color w:val="0000FF" w:themeColor="hyperlink"/>
      <w:u w:val="single"/>
    </w:rPr>
  </w:style>
  <w:style w:type="paragraph" w:styleId="TOC1">
    <w:name w:val="toc 1"/>
    <w:basedOn w:val="Normal"/>
    <w:next w:val="Normal"/>
    <w:autoRedefine/>
    <w:uiPriority w:val="39"/>
    <w:unhideWhenUsed/>
    <w:rsid w:val="00281D43"/>
    <w:pPr>
      <w:spacing w:before="120" w:after="120"/>
    </w:pPr>
    <w:rPr>
      <w:b/>
      <w:bCs/>
      <w:caps/>
      <w:sz w:val="20"/>
      <w:szCs w:val="20"/>
    </w:rPr>
  </w:style>
  <w:style w:type="paragraph" w:styleId="TOC2">
    <w:name w:val="toc 2"/>
    <w:basedOn w:val="Normal"/>
    <w:next w:val="Normal"/>
    <w:autoRedefine/>
    <w:uiPriority w:val="39"/>
    <w:unhideWhenUsed/>
    <w:rsid w:val="00281D43"/>
    <w:pPr>
      <w:spacing w:after="0"/>
      <w:ind w:left="220"/>
    </w:pPr>
    <w:rPr>
      <w:smallCaps/>
      <w:sz w:val="20"/>
      <w:szCs w:val="20"/>
    </w:rPr>
  </w:style>
  <w:style w:type="paragraph" w:styleId="TOC3">
    <w:name w:val="toc 3"/>
    <w:basedOn w:val="Normal"/>
    <w:next w:val="Normal"/>
    <w:autoRedefine/>
    <w:uiPriority w:val="39"/>
    <w:unhideWhenUsed/>
    <w:rsid w:val="00281D43"/>
    <w:pPr>
      <w:spacing w:after="0"/>
      <w:ind w:left="440"/>
    </w:pPr>
    <w:rPr>
      <w:i/>
      <w:iCs/>
      <w:sz w:val="20"/>
      <w:szCs w:val="20"/>
    </w:rPr>
  </w:style>
  <w:style w:type="paragraph" w:styleId="TOC4">
    <w:name w:val="toc 4"/>
    <w:basedOn w:val="Normal"/>
    <w:next w:val="Normal"/>
    <w:autoRedefine/>
    <w:uiPriority w:val="39"/>
    <w:unhideWhenUsed/>
    <w:rsid w:val="00281D43"/>
    <w:pPr>
      <w:spacing w:after="0"/>
      <w:ind w:left="660"/>
    </w:pPr>
    <w:rPr>
      <w:sz w:val="18"/>
      <w:szCs w:val="18"/>
    </w:rPr>
  </w:style>
  <w:style w:type="paragraph" w:styleId="TOC5">
    <w:name w:val="toc 5"/>
    <w:basedOn w:val="Normal"/>
    <w:next w:val="Normal"/>
    <w:autoRedefine/>
    <w:uiPriority w:val="39"/>
    <w:unhideWhenUsed/>
    <w:rsid w:val="00281D43"/>
    <w:pPr>
      <w:spacing w:after="0"/>
      <w:ind w:left="880"/>
    </w:pPr>
    <w:rPr>
      <w:sz w:val="18"/>
      <w:szCs w:val="18"/>
    </w:rPr>
  </w:style>
  <w:style w:type="paragraph" w:styleId="TOC6">
    <w:name w:val="toc 6"/>
    <w:basedOn w:val="Normal"/>
    <w:next w:val="Normal"/>
    <w:autoRedefine/>
    <w:uiPriority w:val="39"/>
    <w:unhideWhenUsed/>
    <w:rsid w:val="00281D43"/>
    <w:pPr>
      <w:spacing w:after="0"/>
      <w:ind w:left="1100"/>
    </w:pPr>
    <w:rPr>
      <w:sz w:val="18"/>
      <w:szCs w:val="18"/>
    </w:rPr>
  </w:style>
  <w:style w:type="paragraph" w:styleId="TOC7">
    <w:name w:val="toc 7"/>
    <w:basedOn w:val="Normal"/>
    <w:next w:val="Normal"/>
    <w:autoRedefine/>
    <w:uiPriority w:val="39"/>
    <w:unhideWhenUsed/>
    <w:rsid w:val="00281D43"/>
    <w:pPr>
      <w:spacing w:after="0"/>
      <w:ind w:left="1320"/>
    </w:pPr>
    <w:rPr>
      <w:sz w:val="18"/>
      <w:szCs w:val="18"/>
    </w:rPr>
  </w:style>
  <w:style w:type="paragraph" w:styleId="TOC8">
    <w:name w:val="toc 8"/>
    <w:basedOn w:val="Normal"/>
    <w:next w:val="Normal"/>
    <w:autoRedefine/>
    <w:uiPriority w:val="39"/>
    <w:unhideWhenUsed/>
    <w:rsid w:val="00281D43"/>
    <w:pPr>
      <w:spacing w:after="0"/>
      <w:ind w:left="1540"/>
    </w:pPr>
    <w:rPr>
      <w:sz w:val="18"/>
      <w:szCs w:val="18"/>
    </w:rPr>
  </w:style>
  <w:style w:type="paragraph" w:styleId="TOC9">
    <w:name w:val="toc 9"/>
    <w:basedOn w:val="Normal"/>
    <w:next w:val="Normal"/>
    <w:autoRedefine/>
    <w:uiPriority w:val="39"/>
    <w:unhideWhenUsed/>
    <w:rsid w:val="00281D43"/>
    <w:pPr>
      <w:spacing w:after="0"/>
      <w:ind w:left="1760"/>
    </w:pPr>
    <w:rPr>
      <w:sz w:val="18"/>
      <w:szCs w:val="18"/>
    </w:rPr>
  </w:style>
  <w:style w:type="paragraph" w:styleId="Revision">
    <w:name w:val="Revision"/>
    <w:hidden/>
    <w:uiPriority w:val="99"/>
    <w:semiHidden/>
    <w:rsid w:val="00431505"/>
    <w:pPr>
      <w:spacing w:after="0" w:line="240" w:lineRule="auto"/>
    </w:pPr>
  </w:style>
  <w:style w:type="paragraph" w:styleId="EndnoteText">
    <w:name w:val="endnote text"/>
    <w:basedOn w:val="Normal"/>
    <w:link w:val="EndnoteTextChar"/>
    <w:uiPriority w:val="99"/>
    <w:semiHidden/>
    <w:unhideWhenUsed/>
    <w:rsid w:val="000E5E0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E5E0D"/>
    <w:rPr>
      <w:sz w:val="20"/>
      <w:szCs w:val="20"/>
    </w:rPr>
  </w:style>
  <w:style w:type="character" w:styleId="EndnoteReference">
    <w:name w:val="endnote reference"/>
    <w:basedOn w:val="DefaultParagraphFont"/>
    <w:uiPriority w:val="99"/>
    <w:semiHidden/>
    <w:unhideWhenUsed/>
    <w:rsid w:val="000E5E0D"/>
    <w:rPr>
      <w:vertAlign w:val="superscript"/>
    </w:rPr>
  </w:style>
  <w:style w:type="paragraph" w:styleId="Quote">
    <w:name w:val="Quote"/>
    <w:basedOn w:val="Normal"/>
    <w:next w:val="Normal"/>
    <w:link w:val="QuoteChar"/>
    <w:autoRedefine/>
    <w:uiPriority w:val="29"/>
    <w:qFormat/>
    <w:rsid w:val="00B66AFB"/>
    <w:pPr>
      <w:spacing w:before="200" w:after="160" w:line="240" w:lineRule="auto"/>
      <w:ind w:left="1440" w:right="862"/>
    </w:pPr>
    <w:rPr>
      <w:i/>
      <w:iCs/>
      <w:color w:val="404040" w:themeColor="text1" w:themeTint="BF"/>
      <w:sz w:val="20"/>
    </w:rPr>
  </w:style>
  <w:style w:type="character" w:customStyle="1" w:styleId="QuoteChar">
    <w:name w:val="Quote Char"/>
    <w:basedOn w:val="DefaultParagraphFont"/>
    <w:link w:val="Quote"/>
    <w:uiPriority w:val="29"/>
    <w:rsid w:val="00B66AFB"/>
    <w:rPr>
      <w:rFonts w:ascii="Verdana" w:hAnsi="Verdana"/>
      <w:i/>
      <w:iCs/>
      <w:color w:val="404040" w:themeColor="text1" w:themeTint="BF"/>
      <w:sz w:val="20"/>
    </w:rPr>
  </w:style>
  <w:style w:type="character" w:styleId="UnresolvedMention">
    <w:name w:val="Unresolved Mention"/>
    <w:basedOn w:val="DefaultParagraphFont"/>
    <w:uiPriority w:val="99"/>
    <w:semiHidden/>
    <w:unhideWhenUsed/>
    <w:rsid w:val="00424ED0"/>
    <w:rPr>
      <w:color w:val="605E5C"/>
      <w:shd w:val="clear" w:color="auto" w:fill="E1DFDD"/>
    </w:rPr>
  </w:style>
  <w:style w:type="paragraph" w:styleId="TOCHeading">
    <w:name w:val="TOC Heading"/>
    <w:basedOn w:val="Heading1"/>
    <w:next w:val="Normal"/>
    <w:uiPriority w:val="39"/>
    <w:unhideWhenUsed/>
    <w:qFormat/>
    <w:rsid w:val="00636D5A"/>
    <w:pPr>
      <w:spacing w:after="0" w:line="259" w:lineRule="auto"/>
      <w:outlineLvl w:val="9"/>
    </w:pPr>
    <w:rPr>
      <w:rFonts w:asciiTheme="majorHAnsi" w:hAnsiTheme="majorHAnsi"/>
      <w:b w:val="0"/>
      <w:bCs w:val="0"/>
      <w:sz w:val="32"/>
      <w:szCs w:val="32"/>
      <w:lang w:val="en-US"/>
    </w:rPr>
  </w:style>
  <w:style w:type="paragraph" w:styleId="NoSpacing">
    <w:name w:val="No Spacing"/>
    <w:uiPriority w:val="1"/>
    <w:qFormat/>
    <w:rsid w:val="004405B0"/>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2.health.vic.gov.au/mental-health/practice-and-service-quality/medical-treatment-planning-decisions-a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A7116-C66A-4434-AEF4-EC881825D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724</TotalTime>
  <Pages>19</Pages>
  <Words>5654</Words>
  <Characters>32232</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Victorian Government</Company>
  <LinksUpToDate>false</LinksUpToDate>
  <CharactersWithSpaces>37811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Giles</dc:creator>
  <cp:lastModifiedBy>Kristin Giles (DHHS)</cp:lastModifiedBy>
  <cp:revision>38</cp:revision>
  <cp:lastPrinted>2019-05-23T05:38:00Z</cp:lastPrinted>
  <dcterms:created xsi:type="dcterms:W3CDTF">2019-05-13T00:32:00Z</dcterms:created>
  <dcterms:modified xsi:type="dcterms:W3CDTF">2019-06-06T07:02:00Z</dcterms:modified>
</cp:coreProperties>
</file>