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136C" w:rsidRPr="00A3496F" w:rsidRDefault="006417B4" w:rsidP="00BE2A05">
      <w:pPr>
        <w:pStyle w:val="MHTHeading1"/>
      </w:pPr>
      <w:bookmarkStart w:id="0" w:name="_GoBack"/>
      <w:bookmarkEnd w:id="0"/>
      <w:r w:rsidRPr="00BE2A05">
        <w:rPr>
          <w:lang w:eastAsia="en-AU"/>
        </w:rPr>
        <w:drawing>
          <wp:anchor distT="0" distB="0" distL="114300" distR="114300" simplePos="0" relativeHeight="251660287" behindDoc="1" locked="0" layoutInCell="1" allowOverlap="1" wp14:anchorId="7D4F9A4C" wp14:editId="71DF4EFE">
            <wp:simplePos x="0" y="0"/>
            <wp:positionH relativeFrom="page">
              <wp:posOffset>5175885</wp:posOffset>
            </wp:positionH>
            <wp:positionV relativeFrom="page">
              <wp:posOffset>198755</wp:posOffset>
            </wp:positionV>
            <wp:extent cx="2044700" cy="92837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HT logo.png"/>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2044700" cy="928370"/>
                    </a:xfrm>
                    <a:prstGeom prst="rect">
                      <a:avLst/>
                    </a:prstGeom>
                  </pic:spPr>
                </pic:pic>
              </a:graphicData>
            </a:graphic>
            <wp14:sizeRelH relativeFrom="page">
              <wp14:pctWidth>0</wp14:pctWidth>
            </wp14:sizeRelH>
            <wp14:sizeRelV relativeFrom="page">
              <wp14:pctHeight>0</wp14:pctHeight>
            </wp14:sizeRelV>
          </wp:anchor>
        </w:drawing>
      </w:r>
      <w:r w:rsidR="00083EC8">
        <w:br/>
        <w:t>RECORDING HEARINGS</w:t>
      </w:r>
    </w:p>
    <w:p w:rsidR="00614C77" w:rsidRPr="008D1A45" w:rsidRDefault="00083EC8" w:rsidP="00614C77">
      <w:pPr>
        <w:pStyle w:val="MHTheadertext"/>
        <w:pBdr>
          <w:bottom w:val="single" w:sz="4" w:space="1" w:color="008C95"/>
        </w:pBdr>
        <w:spacing w:after="240"/>
        <w:rPr>
          <w:smallCaps/>
          <w:sz w:val="24"/>
          <w:szCs w:val="24"/>
        </w:rPr>
      </w:pPr>
      <w:r w:rsidRPr="008D1A45">
        <w:rPr>
          <w:smallCaps/>
          <w:sz w:val="24"/>
          <w:szCs w:val="24"/>
        </w:rPr>
        <w:t>MENTAL HEA</w:t>
      </w:r>
      <w:r w:rsidR="00031226">
        <w:rPr>
          <w:smallCaps/>
          <w:sz w:val="24"/>
          <w:szCs w:val="24"/>
        </w:rPr>
        <w:t>LTH TRIBUNAL POLICY ON RECORDING TRIBUNAL</w:t>
      </w:r>
      <w:r w:rsidRPr="008D1A45">
        <w:rPr>
          <w:smallCaps/>
          <w:sz w:val="24"/>
          <w:szCs w:val="24"/>
        </w:rPr>
        <w:t xml:space="preserve"> HEARINGS</w:t>
      </w:r>
    </w:p>
    <w:p w:rsidR="00004A0A" w:rsidRPr="00E573B8" w:rsidRDefault="00AF6843" w:rsidP="004C71F3">
      <w:pPr>
        <w:pStyle w:val="MHTSubheading1"/>
      </w:pPr>
      <w:r w:rsidRPr="00E573B8">
        <w:t>Purpose</w:t>
      </w:r>
      <w:r w:rsidR="006554F0" w:rsidRPr="00E573B8">
        <w:t xml:space="preserve"> </w:t>
      </w:r>
    </w:p>
    <w:p w:rsidR="004161C2" w:rsidRPr="00E573B8" w:rsidRDefault="00AF6843" w:rsidP="004C71F3">
      <w:pPr>
        <w:pStyle w:val="MHTBodyText"/>
        <w:rPr>
          <w:b/>
        </w:rPr>
      </w:pPr>
      <w:r w:rsidRPr="00E573B8">
        <w:t>This policy sets out the approach of the Mental Health Tribunal (the Tribunal) to recording hearings</w:t>
      </w:r>
      <w:r w:rsidR="00E940E5">
        <w:t xml:space="preserve">, including </w:t>
      </w:r>
      <w:r w:rsidR="0098284C">
        <w:t xml:space="preserve">hearings </w:t>
      </w:r>
      <w:r w:rsidR="00E940E5">
        <w:t xml:space="preserve">where </w:t>
      </w:r>
      <w:r w:rsidR="00B660AF" w:rsidRPr="00E573B8">
        <w:t xml:space="preserve">security </w:t>
      </w:r>
      <w:r w:rsidR="00E940E5">
        <w:t xml:space="preserve">personnel </w:t>
      </w:r>
      <w:r w:rsidR="006554F0" w:rsidRPr="00E573B8">
        <w:t>who are equipped with audio and visual recording devices</w:t>
      </w:r>
      <w:r w:rsidR="00E940E5">
        <w:t xml:space="preserve"> are in attendance</w:t>
      </w:r>
      <w:r w:rsidR="006554F0" w:rsidRPr="00E573B8">
        <w:t>.</w:t>
      </w:r>
    </w:p>
    <w:p w:rsidR="009445E3" w:rsidRPr="004C71F3" w:rsidRDefault="00AF6843" w:rsidP="004C71F3">
      <w:pPr>
        <w:pStyle w:val="MHTSubheading1"/>
      </w:pPr>
      <w:r w:rsidRPr="004C71F3">
        <w:t>Background</w:t>
      </w:r>
    </w:p>
    <w:p w:rsidR="001014CF" w:rsidRPr="00E573B8" w:rsidRDefault="00AF6843" w:rsidP="004C71F3">
      <w:pPr>
        <w:pStyle w:val="MHTBodyText"/>
      </w:pPr>
      <w:r w:rsidRPr="00E573B8">
        <w:t xml:space="preserve">It has been a long-standing policy of the Tribunal </w:t>
      </w:r>
      <w:r w:rsidR="00031226">
        <w:t>not to allow</w:t>
      </w:r>
      <w:r w:rsidRPr="00E573B8">
        <w:t xml:space="preserve"> audio or audio-visual recording of its hearings. This policy is based </w:t>
      </w:r>
      <w:r w:rsidR="0024687F" w:rsidRPr="00E573B8">
        <w:t>on</w:t>
      </w:r>
      <w:r w:rsidR="004F5D32">
        <w:t xml:space="preserve"> the secrecy provisions in the </w:t>
      </w:r>
      <w:r w:rsidR="001014CF" w:rsidRPr="00E573B8">
        <w:rPr>
          <w:i/>
        </w:rPr>
        <w:t>Mental Health Act 2014</w:t>
      </w:r>
      <w:r w:rsidR="001014CF" w:rsidRPr="00E573B8">
        <w:t xml:space="preserve"> (the Act) </w:t>
      </w:r>
      <w:r w:rsidR="004F5D32">
        <w:t>which apply to the Tribunal’</w:t>
      </w:r>
      <w:r w:rsidR="004C71F3">
        <w:t>s</w:t>
      </w:r>
      <w:r w:rsidR="001014CF" w:rsidRPr="00E573B8">
        <w:t xml:space="preserve"> proceedings as well </w:t>
      </w:r>
      <w:r w:rsidR="004F5D32" w:rsidRPr="00E573B8">
        <w:t>as</w:t>
      </w:r>
      <w:r w:rsidR="004F5D32">
        <w:t xml:space="preserve"> the particular statutory framework in which the Tribunal operates. </w:t>
      </w:r>
    </w:p>
    <w:p w:rsidR="006554F0" w:rsidRPr="00E573B8" w:rsidRDefault="006554F0" w:rsidP="006554F0">
      <w:pPr>
        <w:pStyle w:val="MHTSubheading2"/>
        <w:rPr>
          <w:szCs w:val="22"/>
        </w:rPr>
      </w:pPr>
      <w:r w:rsidRPr="00E573B8">
        <w:rPr>
          <w:szCs w:val="22"/>
        </w:rPr>
        <w:t>Privacy obligations</w:t>
      </w:r>
    </w:p>
    <w:p w:rsidR="0024687F" w:rsidRPr="00E573B8" w:rsidRDefault="0024687F" w:rsidP="004C71F3">
      <w:pPr>
        <w:pStyle w:val="MHTBodyText"/>
      </w:pPr>
      <w:r w:rsidRPr="00E573B8">
        <w:t>Given the sensitive and highly personal nature of the issues discussed in Tribunal hearings, the Act contains a number of provisions to protect privacy</w:t>
      </w:r>
      <w:r w:rsidR="006F773C" w:rsidRPr="00E573B8">
        <w:t>. Current and former Tribunal m</w:t>
      </w:r>
      <w:r w:rsidRPr="00E573B8">
        <w:t>embers and staff have extensive privacy obligations set out in section 175; hearings are closed to the public unless the Tribunal orders otherwise (section 193); and details that identify a patient can only be published with the written consent of the President (section 194).</w:t>
      </w:r>
    </w:p>
    <w:p w:rsidR="006554F0" w:rsidRPr="00E573B8" w:rsidRDefault="004F5D32" w:rsidP="00B24B0D">
      <w:pPr>
        <w:pStyle w:val="MHTSubheading2"/>
      </w:pPr>
      <w:r>
        <w:t>Statutory framework</w:t>
      </w:r>
    </w:p>
    <w:p w:rsidR="006554F0" w:rsidRPr="00E573B8" w:rsidRDefault="0024687F" w:rsidP="004C71F3">
      <w:pPr>
        <w:pStyle w:val="MHTBodyText"/>
      </w:pPr>
      <w:r w:rsidRPr="00E573B8">
        <w:t xml:space="preserve">At the same time, the Act contains a range of provisions to ensure the Tribunal is </w:t>
      </w:r>
      <w:r w:rsidR="006F773C" w:rsidRPr="00E573B8">
        <w:t>accountable for its decisions. For example, p</w:t>
      </w:r>
      <w:r w:rsidRPr="00E573B8">
        <w:t>arties to a hearing can make a written request for a state</w:t>
      </w:r>
      <w:r w:rsidR="00715ECE" w:rsidRPr="00E573B8">
        <w:t>ment of reasons for a</w:t>
      </w:r>
      <w:r w:rsidRPr="00E573B8">
        <w:t xml:space="preserve"> </w:t>
      </w:r>
      <w:r w:rsidR="006F773C" w:rsidRPr="00E573B8">
        <w:t>Tribunal decision (section 198)</w:t>
      </w:r>
      <w:r w:rsidRPr="00E573B8">
        <w:t xml:space="preserve"> </w:t>
      </w:r>
      <w:r w:rsidR="00715ECE" w:rsidRPr="00E573B8">
        <w:t xml:space="preserve">and can </w:t>
      </w:r>
      <w:r w:rsidRPr="00E573B8">
        <w:t xml:space="preserve">apply to the Victorian Civil and Administrative Tribunal (VCAT) for a review of a Tribunal decision (section 191). </w:t>
      </w:r>
    </w:p>
    <w:p w:rsidR="00AF6843" w:rsidRPr="00E573B8" w:rsidRDefault="006F773C" w:rsidP="004C71F3">
      <w:pPr>
        <w:pStyle w:val="MHTBodyText"/>
      </w:pPr>
      <w:r w:rsidRPr="00E573B8">
        <w:t xml:space="preserve">It is relevant to note that </w:t>
      </w:r>
      <w:r w:rsidR="006554F0" w:rsidRPr="00E573B8">
        <w:t xml:space="preserve">VCAT </w:t>
      </w:r>
      <w:r w:rsidR="007F309E">
        <w:t xml:space="preserve">reviews </w:t>
      </w:r>
      <w:r w:rsidR="006554F0" w:rsidRPr="00E573B8">
        <w:t>are ‘de novo.’ This means that VCAT is not limited to considering the evidence provided at the Tribunal hearing but rather hears all the evidence afresh, including any new evidence available at</w:t>
      </w:r>
      <w:r w:rsidR="00715ECE" w:rsidRPr="00E573B8">
        <w:t xml:space="preserve"> the time of the </w:t>
      </w:r>
      <w:r w:rsidR="007F309E">
        <w:t xml:space="preserve">VCAT </w:t>
      </w:r>
      <w:r w:rsidR="00715ECE" w:rsidRPr="00E573B8">
        <w:t>hearing</w:t>
      </w:r>
      <w:r w:rsidR="006554F0" w:rsidRPr="00E573B8">
        <w:t>.</w:t>
      </w:r>
    </w:p>
    <w:p w:rsidR="00C2136C" w:rsidRPr="00E573B8" w:rsidRDefault="00B660AF" w:rsidP="00B24B0D">
      <w:pPr>
        <w:pStyle w:val="MHTSubheading1"/>
      </w:pPr>
      <w:r w:rsidRPr="00E573B8">
        <w:t xml:space="preserve">Hearings where security </w:t>
      </w:r>
      <w:r w:rsidR="00E940E5">
        <w:t>personnel</w:t>
      </w:r>
      <w:r w:rsidR="006554F0" w:rsidRPr="00E573B8">
        <w:t xml:space="preserve"> are in attendance</w:t>
      </w:r>
    </w:p>
    <w:p w:rsidR="006F773C" w:rsidRPr="00E573B8" w:rsidRDefault="00B660AF" w:rsidP="004C71F3">
      <w:pPr>
        <w:pStyle w:val="MHTBodyText"/>
      </w:pPr>
      <w:r w:rsidRPr="00E573B8">
        <w:t xml:space="preserve">Occasionally security </w:t>
      </w:r>
      <w:r w:rsidR="00E940E5">
        <w:t>personnel</w:t>
      </w:r>
      <w:r w:rsidR="004F1E02" w:rsidRPr="00E573B8">
        <w:t xml:space="preserve"> attending hearings are equipped with audio and visual recording devices. In such cases, the Tribunal will adopt a balanced approach that accommodates the various interests and concerns arising in these situations. </w:t>
      </w:r>
    </w:p>
    <w:p w:rsidR="004161C2" w:rsidRPr="00E573B8" w:rsidRDefault="006F773C" w:rsidP="004C71F3">
      <w:pPr>
        <w:pStyle w:val="MHTBodyText"/>
      </w:pPr>
      <w:r w:rsidRPr="00E573B8">
        <w:lastRenderedPageBreak/>
        <w:t xml:space="preserve">Importantly, this policy reflects that </w:t>
      </w:r>
      <w:r w:rsidR="00521FC1">
        <w:t xml:space="preserve">if a </w:t>
      </w:r>
      <w:r w:rsidRPr="00E573B8">
        <w:t xml:space="preserve">security incident </w:t>
      </w:r>
      <w:r w:rsidR="00521FC1">
        <w:t xml:space="preserve">occurs during a hearing, the </w:t>
      </w:r>
      <w:r w:rsidRPr="00E573B8">
        <w:t xml:space="preserve">hearing will effectively have been </w:t>
      </w:r>
      <w:r w:rsidR="00521FC1">
        <w:t xml:space="preserve">interrupted or </w:t>
      </w:r>
      <w:r w:rsidRPr="00E573B8">
        <w:t>stood</w:t>
      </w:r>
      <w:r w:rsidR="00715ECE" w:rsidRPr="00E573B8">
        <w:t xml:space="preserve"> down meaning that anything</w:t>
      </w:r>
      <w:r w:rsidRPr="00E573B8">
        <w:t xml:space="preserve"> recorded is an interaction between securi</w:t>
      </w:r>
      <w:r w:rsidR="00B660AF" w:rsidRPr="00E573B8">
        <w:t>ty</w:t>
      </w:r>
      <w:r w:rsidR="00E940E5">
        <w:t xml:space="preserve"> personnel</w:t>
      </w:r>
      <w:r w:rsidRPr="00E573B8">
        <w:t xml:space="preserve"> and the individual</w:t>
      </w:r>
      <w:r w:rsidR="00E940E5">
        <w:t>/s involved</w:t>
      </w:r>
      <w:r w:rsidRPr="00E573B8">
        <w:t>.</w:t>
      </w:r>
    </w:p>
    <w:p w:rsidR="004F1E02" w:rsidRPr="00E573B8" w:rsidRDefault="004F1E02" w:rsidP="004C71F3">
      <w:pPr>
        <w:pStyle w:val="MHTBodyText"/>
      </w:pPr>
      <w:r w:rsidRPr="00E573B8">
        <w:t>In summary, in these situations:</w:t>
      </w:r>
    </w:p>
    <w:p w:rsidR="004161C2" w:rsidRPr="00E573B8" w:rsidRDefault="00083EC8" w:rsidP="004C71F3">
      <w:pPr>
        <w:pStyle w:val="MHTBodyText"/>
        <w:ind w:left="720" w:hanging="720"/>
      </w:pPr>
      <w:r w:rsidRPr="00E573B8">
        <w:t></w:t>
      </w:r>
      <w:r w:rsidRPr="00E573B8">
        <w:tab/>
      </w:r>
      <w:r w:rsidR="00715ECE" w:rsidRPr="00E573B8">
        <w:t xml:space="preserve">Security personnel </w:t>
      </w:r>
      <w:r w:rsidR="00E940E5">
        <w:t>cannot record hearings</w:t>
      </w:r>
      <w:r w:rsidR="00715ECE" w:rsidRPr="00E573B8">
        <w:t xml:space="preserve">. </w:t>
      </w:r>
      <w:r w:rsidR="004F1E02" w:rsidRPr="00E573B8">
        <w:t xml:space="preserve">This means </w:t>
      </w:r>
      <w:r w:rsidR="00715ECE" w:rsidRPr="00E573B8">
        <w:t xml:space="preserve">they must switch off </w:t>
      </w:r>
      <w:r w:rsidR="004F1E02" w:rsidRPr="00E573B8">
        <w:t>any audio an</w:t>
      </w:r>
      <w:r w:rsidR="00715ECE" w:rsidRPr="00E573B8">
        <w:t>d / or visual recording devices</w:t>
      </w:r>
      <w:r w:rsidR="00E940E5">
        <w:t xml:space="preserve"> if present in the hearing room</w:t>
      </w:r>
      <w:r w:rsidR="00715ECE" w:rsidRPr="00E573B8">
        <w:t>.</w:t>
      </w:r>
      <w:r w:rsidR="00E940E5">
        <w:t xml:space="preserve">  S</w:t>
      </w:r>
      <w:r w:rsidR="004F1E02" w:rsidRPr="00E573B8">
        <w:t xml:space="preserve">ecurity </w:t>
      </w:r>
      <w:r w:rsidR="00E940E5">
        <w:t>personnel</w:t>
      </w:r>
      <w:r w:rsidR="004F1E02" w:rsidRPr="00E573B8">
        <w:t xml:space="preserve"> outside the hearing room </w:t>
      </w:r>
      <w:r w:rsidR="00E940E5">
        <w:t>can have</w:t>
      </w:r>
      <w:r w:rsidR="004F1E02" w:rsidRPr="00E573B8">
        <w:t xml:space="preserve"> their recording devices switched on. </w:t>
      </w:r>
    </w:p>
    <w:p w:rsidR="004161C2" w:rsidRPr="00E573B8" w:rsidRDefault="00083EC8" w:rsidP="004C71F3">
      <w:pPr>
        <w:pStyle w:val="MHTBodyText"/>
        <w:ind w:left="720" w:hanging="720"/>
      </w:pPr>
      <w:r w:rsidRPr="00E573B8">
        <w:t></w:t>
      </w:r>
      <w:r w:rsidRPr="00E573B8">
        <w:tab/>
      </w:r>
      <w:r w:rsidR="004F1E02" w:rsidRPr="00E573B8">
        <w:t xml:space="preserve">If a security incident occurs, </w:t>
      </w:r>
      <w:r w:rsidR="00715ECE" w:rsidRPr="00E573B8">
        <w:t xml:space="preserve">security personnel who are in the room may activate their </w:t>
      </w:r>
      <w:r w:rsidR="004F1E02" w:rsidRPr="00E573B8">
        <w:t>recording device</w:t>
      </w:r>
      <w:r w:rsidR="00715ECE" w:rsidRPr="00E573B8">
        <w:t>s</w:t>
      </w:r>
      <w:r w:rsidR="004F1E02" w:rsidRPr="00E573B8">
        <w:t xml:space="preserve"> and </w:t>
      </w:r>
      <w:r w:rsidR="00E940E5">
        <w:t xml:space="preserve">any additional </w:t>
      </w:r>
      <w:r w:rsidR="004F1E02" w:rsidRPr="00E573B8">
        <w:t xml:space="preserve">security </w:t>
      </w:r>
      <w:r w:rsidR="00E940E5">
        <w:t>personnel entering</w:t>
      </w:r>
      <w:r w:rsidR="004F1E02" w:rsidRPr="00E573B8">
        <w:t xml:space="preserve"> the room </w:t>
      </w:r>
      <w:r w:rsidR="00E940E5">
        <w:t xml:space="preserve">may do so </w:t>
      </w:r>
      <w:r w:rsidR="004F1E02" w:rsidRPr="00E573B8">
        <w:t>with their devices switched on.</w:t>
      </w:r>
    </w:p>
    <w:p w:rsidR="00083EC8" w:rsidRPr="00E573B8" w:rsidRDefault="004161C2" w:rsidP="004C71F3">
      <w:pPr>
        <w:pStyle w:val="MHTBodyText"/>
      </w:pPr>
      <w:r w:rsidRPr="00E573B8">
        <w:t></w:t>
      </w:r>
      <w:r w:rsidRPr="00E573B8">
        <w:tab/>
      </w:r>
      <w:r w:rsidR="004F1E02" w:rsidRPr="00E573B8">
        <w:t>If a hearing can be resumed any recording devices must be switched off.</w:t>
      </w:r>
    </w:p>
    <w:p w:rsidR="004161C2" w:rsidRPr="00E573B8" w:rsidRDefault="00083EC8" w:rsidP="00B24B0D">
      <w:pPr>
        <w:pStyle w:val="MHTSubheading1"/>
      </w:pPr>
      <w:r w:rsidRPr="00E573B8">
        <w:t>Queries</w:t>
      </w:r>
    </w:p>
    <w:p w:rsidR="00014CD6" w:rsidRPr="00E573B8" w:rsidRDefault="006F773C" w:rsidP="004C71F3">
      <w:pPr>
        <w:pStyle w:val="MHTBodyText"/>
      </w:pPr>
      <w:r w:rsidRPr="00E573B8">
        <w:t>If you have any questions regarding</w:t>
      </w:r>
      <w:r w:rsidR="00031226">
        <w:t xml:space="preserve"> the Tribunal’s this policy</w:t>
      </w:r>
      <w:r w:rsidRPr="00E573B8">
        <w:t xml:space="preserve">, please contact the Tribunal’s legal team by emailing </w:t>
      </w:r>
      <w:hyperlink r:id="rId7" w:history="1">
        <w:r w:rsidRPr="00E573B8">
          <w:rPr>
            <w:rStyle w:val="Hyperlink"/>
            <w:rFonts w:ascii="Swis721 Lt BT" w:hAnsi="Swis721 Lt BT"/>
          </w:rPr>
          <w:t>legal@mht.vic.gov.au</w:t>
        </w:r>
      </w:hyperlink>
      <w:r w:rsidRPr="00E573B8">
        <w:t xml:space="preserve"> or calling 9032 3200.</w:t>
      </w:r>
    </w:p>
    <w:sectPr w:rsidR="00014CD6" w:rsidRPr="00E573B8" w:rsidSect="003238D2">
      <w:footerReference w:type="default" r:id="rId8"/>
      <w:type w:val="continuous"/>
      <w:pgSz w:w="11906" w:h="16838"/>
      <w:pgMar w:top="1135" w:right="1134" w:bottom="1843" w:left="1134" w:header="1081" w:footer="3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61C2" w:rsidRDefault="004161C2" w:rsidP="00396C22">
      <w:pPr>
        <w:spacing w:after="0" w:line="240" w:lineRule="auto"/>
      </w:pPr>
      <w:r>
        <w:separator/>
      </w:r>
    </w:p>
  </w:endnote>
  <w:endnote w:type="continuationSeparator" w:id="0">
    <w:p w:rsidR="004161C2" w:rsidRDefault="004161C2" w:rsidP="00396C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embedRegular r:id="rId1" w:fontKey="{947EDC35-AC54-4D90-AC56-1DE124CC2DEB}"/>
    <w:embedBold r:id="rId2" w:fontKey="{7CFDB0E9-5758-4CE2-81EB-39BD9E136C71}"/>
    <w:embedItalic r:id="rId3" w:fontKey="{E29C7998-C3E1-4D4B-9330-E176C877209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embedRegular r:id="rId4" w:fontKey="{9C63FD09-D61E-4070-A824-6F32EAA93B2C}"/>
    <w:embedBold r:id="rId5" w:fontKey="{9B63CBCE-0804-4FC3-95EB-F621486D0746}"/>
    <w:embedItalic r:id="rId6" w:fontKey="{7E78A483-7C61-4E4C-9EF9-726055E505FF}"/>
  </w:font>
  <w:font w:name="Tahoma">
    <w:panose1 w:val="020B0604030504040204"/>
    <w:charset w:val="00"/>
    <w:family w:val="swiss"/>
    <w:pitch w:val="variable"/>
    <w:sig w:usb0="E1002EFF" w:usb1="C000605B" w:usb2="00000029" w:usb3="00000000" w:csb0="000101FF" w:csb1="00000000"/>
    <w:embedRegular r:id="rId7" w:fontKey="{8812B124-2C9B-4416-A19A-AAD5694488D5}"/>
  </w:font>
  <w:font w:name="Swis721 Lt BT">
    <w:altName w:val="Trebuchet MS"/>
    <w:panose1 w:val="020B0403020202020204"/>
    <w:charset w:val="00"/>
    <w:family w:val="swiss"/>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embedRegular r:id="rId8" w:fontKey="{85B0E408-4B0C-40AB-A428-E68C27C5F0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17B4" w:rsidRDefault="006417B4">
    <w:pPr>
      <w:pStyle w:val="Footer"/>
    </w:pPr>
    <w:r>
      <w:rPr>
        <w:noProof/>
        <w:lang w:eastAsia="en-AU"/>
      </w:rPr>
      <mc:AlternateContent>
        <mc:Choice Requires="wps">
          <w:drawing>
            <wp:anchor distT="0" distB="0" distL="114300" distR="114300" simplePos="0" relativeHeight="251659264" behindDoc="0" locked="0" layoutInCell="1" allowOverlap="1" wp14:anchorId="110CAB3E" wp14:editId="2E121C07">
              <wp:simplePos x="0" y="0"/>
              <wp:positionH relativeFrom="column">
                <wp:posOffset>3688577</wp:posOffset>
              </wp:positionH>
              <wp:positionV relativeFrom="paragraph">
                <wp:posOffset>-258003</wp:posOffset>
              </wp:positionV>
              <wp:extent cx="2374265" cy="256032"/>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56032"/>
                      </a:xfrm>
                      <a:prstGeom prst="rect">
                        <a:avLst/>
                      </a:prstGeom>
                      <a:solidFill>
                        <a:srgbClr val="FFFFFF"/>
                      </a:solidFill>
                      <a:ln w="9525">
                        <a:noFill/>
                        <a:miter lim="800000"/>
                        <a:headEnd/>
                        <a:tailEnd/>
                      </a:ln>
                    </wps:spPr>
                    <wps:txbx>
                      <w:txbxContent>
                        <w:p w:rsidR="006417B4" w:rsidRPr="004C71F3" w:rsidRDefault="006417B4" w:rsidP="006417B4">
                          <w:pPr>
                            <w:jc w:val="right"/>
                            <w:rPr>
                              <w:rFonts w:ascii="Verdana" w:hAnsi="Verdana"/>
                              <w:color w:val="008C95"/>
                              <w:sz w:val="16"/>
                              <w:szCs w:val="16"/>
                            </w:rPr>
                          </w:pPr>
                          <w:r w:rsidRPr="004C71F3">
                            <w:rPr>
                              <w:rFonts w:ascii="Verdana" w:hAnsi="Verdana"/>
                              <w:color w:val="008C95"/>
                              <w:sz w:val="16"/>
                              <w:szCs w:val="16"/>
                            </w:rPr>
                            <w:t xml:space="preserve">Last Updated: </w:t>
                          </w:r>
                          <w:r w:rsidR="00E573B8" w:rsidRPr="004C71F3">
                            <w:rPr>
                              <w:rFonts w:ascii="Verdana" w:hAnsi="Verdana"/>
                              <w:color w:val="008C95"/>
                              <w:sz w:val="16"/>
                              <w:szCs w:val="16"/>
                            </w:rPr>
                            <w:t>February 2018</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10CAB3E" id="_x0000_t202" coordsize="21600,21600" o:spt="202" path="m,l,21600r21600,l21600,xe">
              <v:stroke joinstyle="miter"/>
              <v:path gradientshapeok="t" o:connecttype="rect"/>
            </v:shapetype>
            <v:shape id="Text Box 2" o:spid="_x0000_s1026" type="#_x0000_t202" style="position:absolute;margin-left:290.45pt;margin-top:-20.3pt;width:186.95pt;height:20.1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" stroked="f">
              <v:textbox>
                <w:txbxContent>
                  <w:p w:rsidR="006417B4" w:rsidRPr="004C71F3" w:rsidRDefault="006417B4" w:rsidP="006417B4">
                    <w:pPr>
                      <w:jc w:val="right"/>
                      <w:rPr>
                        <w:rFonts w:ascii="Verdana" w:hAnsi="Verdana"/>
                        <w:color w:val="008C95"/>
                        <w:sz w:val="16"/>
                        <w:szCs w:val="16"/>
                      </w:rPr>
                    </w:pPr>
                    <w:r w:rsidRPr="004C71F3">
                      <w:rPr>
                        <w:rFonts w:ascii="Verdana" w:hAnsi="Verdana"/>
                        <w:color w:val="008C95"/>
                        <w:sz w:val="16"/>
                        <w:szCs w:val="16"/>
                      </w:rPr>
                      <w:t xml:space="preserve">Last Updated: </w:t>
                    </w:r>
                    <w:r w:rsidR="00E573B8" w:rsidRPr="004C71F3">
                      <w:rPr>
                        <w:rFonts w:ascii="Verdana" w:hAnsi="Verdana"/>
                        <w:color w:val="008C95"/>
                        <w:sz w:val="16"/>
                        <w:szCs w:val="16"/>
                      </w:rPr>
                      <w:t>February 2018</w:t>
                    </w:r>
                  </w:p>
                </w:txbxContent>
              </v:textbox>
            </v:shape>
          </w:pict>
        </mc:Fallback>
      </mc:AlternateContent>
    </w:r>
    <w:r w:rsidR="007A2F8A">
      <w:rPr>
        <w:noProof/>
        <w:lang w:eastAsia="en-AU"/>
      </w:rPr>
      <w:drawing>
        <wp:inline distT="0" distB="0" distL="0" distR="0">
          <wp:extent cx="6103620" cy="772160"/>
          <wp:effectExtent l="0" t="0" r="0" b="8890"/>
          <wp:docPr id="1" name="Picture 1" descr="FooterMonoVicGov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MonoVicGov20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3620" cy="7721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61C2" w:rsidRDefault="004161C2" w:rsidP="00396C22">
      <w:pPr>
        <w:spacing w:after="0" w:line="240" w:lineRule="auto"/>
      </w:pPr>
      <w:r>
        <w:separator/>
      </w:r>
    </w:p>
  </w:footnote>
  <w:footnote w:type="continuationSeparator" w:id="0">
    <w:p w:rsidR="004161C2" w:rsidRDefault="004161C2" w:rsidP="00396C2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attachedTemplate r:id="rId1"/>
  <w:defaultTabStop w:val="720"/>
  <w:characterSpacingControl w:val="doNotCompress"/>
  <w:hdrShapeDefaults>
    <o:shapedefaults v:ext="edit" spidmax="3277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1C2"/>
    <w:rsid w:val="00004A0A"/>
    <w:rsid w:val="00014CD6"/>
    <w:rsid w:val="00031226"/>
    <w:rsid w:val="000331C6"/>
    <w:rsid w:val="00083EC8"/>
    <w:rsid w:val="000E5389"/>
    <w:rsid w:val="001014CF"/>
    <w:rsid w:val="00193E5E"/>
    <w:rsid w:val="00194AE6"/>
    <w:rsid w:val="001B3E54"/>
    <w:rsid w:val="0024687F"/>
    <w:rsid w:val="00247007"/>
    <w:rsid w:val="003238D2"/>
    <w:rsid w:val="00396C22"/>
    <w:rsid w:val="003D1E18"/>
    <w:rsid w:val="004161C2"/>
    <w:rsid w:val="004C71F3"/>
    <w:rsid w:val="004F1E02"/>
    <w:rsid w:val="004F5D32"/>
    <w:rsid w:val="00521FC1"/>
    <w:rsid w:val="00602318"/>
    <w:rsid w:val="00614C77"/>
    <w:rsid w:val="006417B4"/>
    <w:rsid w:val="006554F0"/>
    <w:rsid w:val="006D34B6"/>
    <w:rsid w:val="006F773C"/>
    <w:rsid w:val="007015A6"/>
    <w:rsid w:val="00715ECE"/>
    <w:rsid w:val="007A2F8A"/>
    <w:rsid w:val="007E1D62"/>
    <w:rsid w:val="007F309E"/>
    <w:rsid w:val="0080638E"/>
    <w:rsid w:val="008648FD"/>
    <w:rsid w:val="008D1A45"/>
    <w:rsid w:val="008D51AC"/>
    <w:rsid w:val="009445E3"/>
    <w:rsid w:val="0098284C"/>
    <w:rsid w:val="009D5D96"/>
    <w:rsid w:val="009D7E83"/>
    <w:rsid w:val="00A3496F"/>
    <w:rsid w:val="00A861D3"/>
    <w:rsid w:val="00AF6843"/>
    <w:rsid w:val="00B24B0D"/>
    <w:rsid w:val="00B660AF"/>
    <w:rsid w:val="00B66962"/>
    <w:rsid w:val="00BE2A05"/>
    <w:rsid w:val="00C2136C"/>
    <w:rsid w:val="00C75980"/>
    <w:rsid w:val="00DA0FD5"/>
    <w:rsid w:val="00DA7B4D"/>
    <w:rsid w:val="00DB792A"/>
    <w:rsid w:val="00E569FD"/>
    <w:rsid w:val="00E573B8"/>
    <w:rsid w:val="00E90D39"/>
    <w:rsid w:val="00E940E5"/>
    <w:rsid w:val="00EE48D8"/>
    <w:rsid w:val="00F7070D"/>
    <w:rsid w:val="00FB6E56"/>
    <w:rsid w:val="00FF1C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15:docId w15:val="{90FD5657-5C61-4882-9EF1-E56BE53E9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HTHeading1">
    <w:name w:val="MHT Heading 1"/>
    <w:basedOn w:val="Normal"/>
    <w:link w:val="MHTHeading1Char"/>
    <w:qFormat/>
    <w:rsid w:val="004C71F3"/>
    <w:rPr>
      <w:rFonts w:ascii="Verdana" w:hAnsi="Verdana"/>
      <w:b/>
      <w:noProof/>
      <w:color w:val="008C95"/>
      <w:sz w:val="32"/>
      <w:szCs w:val="32"/>
    </w:rPr>
  </w:style>
  <w:style w:type="paragraph" w:customStyle="1" w:styleId="MHTheadertext">
    <w:name w:val="MHT header text"/>
    <w:basedOn w:val="Normal"/>
    <w:link w:val="MHTheadertextChar"/>
    <w:qFormat/>
    <w:rsid w:val="004C71F3"/>
    <w:pPr>
      <w:spacing w:after="0"/>
    </w:pPr>
    <w:rPr>
      <w:rFonts w:ascii="Verdana" w:hAnsi="Verdana" w:cstheme="minorHAnsi"/>
      <w:color w:val="008C95"/>
      <w:sz w:val="20"/>
      <w:szCs w:val="20"/>
    </w:rPr>
  </w:style>
  <w:style w:type="character" w:customStyle="1" w:styleId="MHTHeading1Char">
    <w:name w:val="MHT Heading 1 Char"/>
    <w:basedOn w:val="DefaultParagraphFont"/>
    <w:link w:val="MHTHeading1"/>
    <w:rsid w:val="004C71F3"/>
    <w:rPr>
      <w:rFonts w:ascii="Verdana" w:hAnsi="Verdana"/>
      <w:b/>
      <w:noProof/>
      <w:color w:val="008C95"/>
      <w:sz w:val="32"/>
      <w:szCs w:val="32"/>
    </w:rPr>
  </w:style>
  <w:style w:type="paragraph" w:customStyle="1" w:styleId="MHTSubheading1">
    <w:name w:val="MHT Subheading 1"/>
    <w:basedOn w:val="Normal"/>
    <w:link w:val="MHTSubheading1Char"/>
    <w:autoRedefine/>
    <w:qFormat/>
    <w:rsid w:val="004C71F3"/>
    <w:pPr>
      <w:spacing w:before="240" w:after="0"/>
    </w:pPr>
    <w:rPr>
      <w:rFonts w:ascii="Verdana" w:hAnsi="Verdana"/>
      <w:b/>
      <w:color w:val="008C95"/>
      <w:sz w:val="24"/>
    </w:rPr>
  </w:style>
  <w:style w:type="character" w:customStyle="1" w:styleId="MHTheadertextChar">
    <w:name w:val="MHT header text Char"/>
    <w:basedOn w:val="DefaultParagraphFont"/>
    <w:link w:val="MHTheadertext"/>
    <w:rsid w:val="004C71F3"/>
    <w:rPr>
      <w:rFonts w:ascii="Verdana" w:hAnsi="Verdana" w:cstheme="minorHAnsi"/>
      <w:color w:val="008C95"/>
      <w:sz w:val="20"/>
      <w:szCs w:val="20"/>
    </w:rPr>
  </w:style>
  <w:style w:type="paragraph" w:customStyle="1" w:styleId="MHTBodyText">
    <w:name w:val="MHT Body Text"/>
    <w:basedOn w:val="Normal"/>
    <w:link w:val="MHTBodyTextChar"/>
    <w:autoRedefine/>
    <w:qFormat/>
    <w:rsid w:val="004C71F3"/>
    <w:pPr>
      <w:spacing w:before="240"/>
    </w:pPr>
    <w:rPr>
      <w:rFonts w:ascii="Verdana" w:hAnsi="Verdana"/>
      <w:szCs w:val="17"/>
    </w:rPr>
  </w:style>
  <w:style w:type="character" w:customStyle="1" w:styleId="MHTSubheading1Char">
    <w:name w:val="MHT Subheading 1 Char"/>
    <w:basedOn w:val="DefaultParagraphFont"/>
    <w:link w:val="MHTSubheading1"/>
    <w:rsid w:val="004C71F3"/>
    <w:rPr>
      <w:rFonts w:ascii="Verdana" w:hAnsi="Verdana"/>
      <w:b/>
      <w:color w:val="008C95"/>
      <w:sz w:val="24"/>
    </w:rPr>
  </w:style>
  <w:style w:type="paragraph" w:customStyle="1" w:styleId="MHTSubheading2">
    <w:name w:val="MHT Subheading 2"/>
    <w:basedOn w:val="Normal"/>
    <w:link w:val="MHTSubheading2Char"/>
    <w:qFormat/>
    <w:rsid w:val="004C71F3"/>
    <w:pPr>
      <w:spacing w:before="240"/>
    </w:pPr>
    <w:rPr>
      <w:rFonts w:ascii="Verdana" w:hAnsi="Verdana"/>
      <w:color w:val="008C95"/>
      <w:szCs w:val="18"/>
    </w:rPr>
  </w:style>
  <w:style w:type="character" w:customStyle="1" w:styleId="MHTBodyTextChar">
    <w:name w:val="MHT Body Text Char"/>
    <w:basedOn w:val="DefaultParagraphFont"/>
    <w:link w:val="MHTBodyText"/>
    <w:rsid w:val="004C71F3"/>
    <w:rPr>
      <w:rFonts w:ascii="Verdana" w:hAnsi="Verdana"/>
      <w:szCs w:val="17"/>
    </w:rPr>
  </w:style>
  <w:style w:type="paragraph" w:styleId="BalloonText">
    <w:name w:val="Balloon Text"/>
    <w:basedOn w:val="Normal"/>
    <w:link w:val="BalloonTextChar"/>
    <w:uiPriority w:val="99"/>
    <w:semiHidden/>
    <w:unhideWhenUsed/>
    <w:locked/>
    <w:rsid w:val="00A3496F"/>
    <w:pPr>
      <w:spacing w:after="0" w:line="240" w:lineRule="auto"/>
    </w:pPr>
    <w:rPr>
      <w:rFonts w:ascii="Tahoma" w:hAnsi="Tahoma" w:cs="Tahoma"/>
      <w:sz w:val="16"/>
      <w:szCs w:val="16"/>
    </w:rPr>
  </w:style>
  <w:style w:type="character" w:customStyle="1" w:styleId="MHTSubheading2Char">
    <w:name w:val="MHT Subheading 2 Char"/>
    <w:basedOn w:val="DefaultParagraphFont"/>
    <w:link w:val="MHTSubheading2"/>
    <w:rsid w:val="004C71F3"/>
    <w:rPr>
      <w:rFonts w:ascii="Verdana" w:hAnsi="Verdana"/>
      <w:color w:val="008C95"/>
      <w:szCs w:val="18"/>
    </w:rPr>
  </w:style>
  <w:style w:type="character" w:customStyle="1" w:styleId="BalloonTextChar">
    <w:name w:val="Balloon Text Char"/>
    <w:basedOn w:val="DefaultParagraphFont"/>
    <w:link w:val="BalloonText"/>
    <w:uiPriority w:val="99"/>
    <w:semiHidden/>
    <w:rsid w:val="00A3496F"/>
    <w:rPr>
      <w:rFonts w:ascii="Tahoma" w:hAnsi="Tahoma" w:cs="Tahoma"/>
      <w:sz w:val="16"/>
      <w:szCs w:val="16"/>
    </w:rPr>
  </w:style>
  <w:style w:type="paragraph" w:styleId="Header">
    <w:name w:val="header"/>
    <w:basedOn w:val="Normal"/>
    <w:link w:val="HeaderChar"/>
    <w:uiPriority w:val="99"/>
    <w:unhideWhenUsed/>
    <w:locked/>
    <w:rsid w:val="00396C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6C22"/>
  </w:style>
  <w:style w:type="paragraph" w:styleId="Footer">
    <w:name w:val="footer"/>
    <w:basedOn w:val="Normal"/>
    <w:link w:val="FooterChar"/>
    <w:uiPriority w:val="99"/>
    <w:unhideWhenUsed/>
    <w:locked/>
    <w:rsid w:val="00396C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6C22"/>
  </w:style>
  <w:style w:type="character" w:styleId="Hyperlink">
    <w:name w:val="Hyperlink"/>
    <w:basedOn w:val="DefaultParagraphFont"/>
    <w:uiPriority w:val="99"/>
    <w:unhideWhenUsed/>
    <w:locked/>
    <w:rsid w:val="006417B4"/>
    <w:rPr>
      <w:color w:val="0000FF" w:themeColor="hyperlink"/>
      <w:u w:val="single"/>
    </w:rPr>
  </w:style>
  <w:style w:type="character" w:styleId="CommentReference">
    <w:name w:val="annotation reference"/>
    <w:basedOn w:val="DefaultParagraphFont"/>
    <w:uiPriority w:val="99"/>
    <w:semiHidden/>
    <w:unhideWhenUsed/>
    <w:locked/>
    <w:rsid w:val="00031226"/>
    <w:rPr>
      <w:sz w:val="16"/>
      <w:szCs w:val="16"/>
    </w:rPr>
  </w:style>
  <w:style w:type="paragraph" w:styleId="CommentText">
    <w:name w:val="annotation text"/>
    <w:basedOn w:val="Normal"/>
    <w:link w:val="CommentTextChar"/>
    <w:uiPriority w:val="99"/>
    <w:semiHidden/>
    <w:unhideWhenUsed/>
    <w:locked/>
    <w:rsid w:val="00031226"/>
    <w:pPr>
      <w:spacing w:line="240" w:lineRule="auto"/>
    </w:pPr>
    <w:rPr>
      <w:sz w:val="20"/>
      <w:szCs w:val="20"/>
    </w:rPr>
  </w:style>
  <w:style w:type="character" w:customStyle="1" w:styleId="CommentTextChar">
    <w:name w:val="Comment Text Char"/>
    <w:basedOn w:val="DefaultParagraphFont"/>
    <w:link w:val="CommentText"/>
    <w:uiPriority w:val="99"/>
    <w:semiHidden/>
    <w:rsid w:val="00031226"/>
    <w:rPr>
      <w:sz w:val="20"/>
      <w:szCs w:val="20"/>
    </w:rPr>
  </w:style>
  <w:style w:type="paragraph" w:styleId="CommentSubject">
    <w:name w:val="annotation subject"/>
    <w:basedOn w:val="CommentText"/>
    <w:next w:val="CommentText"/>
    <w:link w:val="CommentSubjectChar"/>
    <w:uiPriority w:val="99"/>
    <w:semiHidden/>
    <w:unhideWhenUsed/>
    <w:locked/>
    <w:rsid w:val="00031226"/>
    <w:rPr>
      <w:b/>
      <w:bCs/>
    </w:rPr>
  </w:style>
  <w:style w:type="character" w:customStyle="1" w:styleId="CommentSubjectChar">
    <w:name w:val="Comment Subject Char"/>
    <w:basedOn w:val="CommentTextChar"/>
    <w:link w:val="CommentSubject"/>
    <w:uiPriority w:val="99"/>
    <w:semiHidden/>
    <w:rsid w:val="0003122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legal@mht.vic.gov.a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znic0202\LOCALS~1\Temp\notesD4BEBA\MHTInfoSheet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MHTInfoSheetTemplate.dotx</Template>
  <TotalTime>1</TotalTime>
  <Pages>2</Pages>
  <Words>462</Words>
  <Characters>2640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Human Services</Company>
  <LinksUpToDate>false</LinksUpToDate>
  <CharactersWithSpaces>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Zashalla Nicholson</dc:creator>
  <cp:lastModifiedBy>Evan McGregor (DHHS)</cp:lastModifiedBy>
  <cp:revision>2</cp:revision>
  <cp:lastPrinted>2018-02-13T04:57:00Z</cp:lastPrinted>
  <dcterms:created xsi:type="dcterms:W3CDTF">2019-03-29T03:21:00Z</dcterms:created>
  <dcterms:modified xsi:type="dcterms:W3CDTF">2019-03-29T03:21:00Z</dcterms:modified>
</cp:coreProperties>
</file>