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136C" w:rsidRPr="004F0F06" w:rsidRDefault="006417B4" w:rsidP="00BE2A05">
      <w:pPr>
        <w:pStyle w:val="MHTHeading1"/>
        <w:rPr>
          <w:rFonts w:ascii="Arial" w:hAnsi="Arial" w:cs="Arial"/>
        </w:rPr>
      </w:pPr>
      <w:r w:rsidRPr="004F0F06">
        <w:rPr>
          <w:rFonts w:ascii="Arial" w:hAnsi="Arial" w:cs="Arial"/>
          <w:lang w:eastAsia="en-AU"/>
        </w:rPr>
        <w:drawing>
          <wp:anchor distT="0" distB="0" distL="114300" distR="114300" simplePos="0" relativeHeight="251660287" behindDoc="1" locked="0" layoutInCell="1" allowOverlap="1" wp14:anchorId="7D4F9A4C" wp14:editId="71DF4EFE">
            <wp:simplePos x="0" y="0"/>
            <wp:positionH relativeFrom="page">
              <wp:posOffset>5175885</wp:posOffset>
            </wp:positionH>
            <wp:positionV relativeFrom="page">
              <wp:posOffset>198755</wp:posOffset>
            </wp:positionV>
            <wp:extent cx="2044700" cy="9283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T logo.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2044700" cy="928370"/>
                    </a:xfrm>
                    <a:prstGeom prst="rect">
                      <a:avLst/>
                    </a:prstGeom>
                  </pic:spPr>
                </pic:pic>
              </a:graphicData>
            </a:graphic>
            <wp14:sizeRelH relativeFrom="page">
              <wp14:pctWidth>0</wp14:pctWidth>
            </wp14:sizeRelH>
            <wp14:sizeRelV relativeFrom="page">
              <wp14:pctHeight>0</wp14:pctHeight>
            </wp14:sizeRelV>
          </wp:anchor>
        </w:drawing>
      </w:r>
      <w:r w:rsidR="004161C2" w:rsidRPr="004F0F06">
        <w:rPr>
          <w:rFonts w:ascii="Arial" w:hAnsi="Arial" w:cs="Arial"/>
        </w:rPr>
        <w:br/>
        <w:t xml:space="preserve">Complex Case Management Procedure </w:t>
      </w:r>
    </w:p>
    <w:p w:rsidR="00614C77" w:rsidRPr="004F0F06" w:rsidRDefault="00E90D39" w:rsidP="00614C77">
      <w:pPr>
        <w:pStyle w:val="MHTheadertext"/>
        <w:pBdr>
          <w:bottom w:val="single" w:sz="4" w:space="1" w:color="008C95"/>
        </w:pBdr>
        <w:spacing w:after="240"/>
        <w:rPr>
          <w:rFonts w:ascii="Arial" w:hAnsi="Arial" w:cs="Arial"/>
          <w:smallCaps/>
          <w:sz w:val="22"/>
          <w:szCs w:val="22"/>
        </w:rPr>
      </w:pPr>
      <w:r w:rsidRPr="004F0F06">
        <w:rPr>
          <w:rFonts w:ascii="Arial" w:hAnsi="Arial" w:cs="Arial"/>
          <w:smallCaps/>
          <w:sz w:val="22"/>
          <w:szCs w:val="22"/>
        </w:rPr>
        <w:t xml:space="preserve">a guide for patients, </w:t>
      </w:r>
      <w:proofErr w:type="spellStart"/>
      <w:r w:rsidRPr="004F0F06">
        <w:rPr>
          <w:rFonts w:ascii="Arial" w:hAnsi="Arial" w:cs="Arial"/>
          <w:smallCaps/>
          <w:sz w:val="22"/>
          <w:szCs w:val="22"/>
        </w:rPr>
        <w:t>dmhs</w:t>
      </w:r>
      <w:proofErr w:type="spellEnd"/>
      <w:r w:rsidRPr="004F0F06">
        <w:rPr>
          <w:rFonts w:ascii="Arial" w:hAnsi="Arial" w:cs="Arial"/>
          <w:smallCaps/>
          <w:sz w:val="22"/>
          <w:szCs w:val="22"/>
        </w:rPr>
        <w:t xml:space="preserve"> and legal representatives on complex cases</w:t>
      </w:r>
    </w:p>
    <w:p w:rsidR="00004A0A" w:rsidRPr="004F0F06" w:rsidRDefault="004161C2" w:rsidP="00BE2A05">
      <w:pPr>
        <w:pStyle w:val="MHTSubheading1"/>
        <w:rPr>
          <w:rFonts w:ascii="Arial" w:hAnsi="Arial" w:cs="Arial"/>
          <w:sz w:val="22"/>
          <w:szCs w:val="22"/>
        </w:rPr>
      </w:pPr>
      <w:r w:rsidRPr="004F0F06">
        <w:rPr>
          <w:rFonts w:ascii="Arial" w:hAnsi="Arial" w:cs="Arial"/>
          <w:sz w:val="22"/>
          <w:szCs w:val="22"/>
        </w:rPr>
        <w:t>Purpose</w:t>
      </w:r>
    </w:p>
    <w:p w:rsidR="004161C2" w:rsidRPr="004F0F06" w:rsidRDefault="004161C2" w:rsidP="004161C2">
      <w:pPr>
        <w:pStyle w:val="MHTSubheading1"/>
        <w:rPr>
          <w:rFonts w:ascii="Arial" w:hAnsi="Arial" w:cs="Arial"/>
          <w:b w:val="0"/>
          <w:color w:val="auto"/>
          <w:sz w:val="22"/>
          <w:szCs w:val="22"/>
        </w:rPr>
      </w:pPr>
      <w:r w:rsidRPr="004F0F06">
        <w:rPr>
          <w:rFonts w:ascii="Arial" w:hAnsi="Arial" w:cs="Arial"/>
          <w:b w:val="0"/>
          <w:color w:val="auto"/>
          <w:sz w:val="22"/>
          <w:szCs w:val="22"/>
        </w:rPr>
        <w:t xml:space="preserve">To establish a procedure for the timely identification and management of complex cases; and to ensure that hearings proceed within legislative timeframes. </w:t>
      </w:r>
    </w:p>
    <w:p w:rsidR="004161C2" w:rsidRPr="004F0F06" w:rsidRDefault="004161C2" w:rsidP="004161C2">
      <w:pPr>
        <w:pStyle w:val="MHTSubheading1"/>
        <w:rPr>
          <w:rFonts w:ascii="Arial" w:hAnsi="Arial" w:cs="Arial"/>
          <w:sz w:val="22"/>
          <w:szCs w:val="22"/>
        </w:rPr>
      </w:pPr>
      <w:r w:rsidRPr="004F0F06">
        <w:rPr>
          <w:rFonts w:ascii="Arial" w:hAnsi="Arial" w:cs="Arial"/>
          <w:sz w:val="22"/>
          <w:szCs w:val="22"/>
        </w:rPr>
        <w:t>Background</w:t>
      </w:r>
    </w:p>
    <w:p w:rsidR="004161C2" w:rsidRPr="004F0F06" w:rsidRDefault="004161C2" w:rsidP="004161C2">
      <w:pPr>
        <w:pStyle w:val="MHTSubheading2"/>
        <w:rPr>
          <w:rFonts w:ascii="Arial" w:hAnsi="Arial" w:cs="Arial"/>
          <w:color w:val="auto"/>
          <w:sz w:val="22"/>
          <w:szCs w:val="22"/>
        </w:rPr>
      </w:pPr>
      <w:r w:rsidRPr="004F0F06">
        <w:rPr>
          <w:rFonts w:ascii="Arial" w:hAnsi="Arial" w:cs="Arial"/>
          <w:color w:val="auto"/>
          <w:sz w:val="22"/>
          <w:szCs w:val="22"/>
        </w:rPr>
        <w:t xml:space="preserve">The time allocated for a standard MHT hearing is up to 1 hour. This covers preparation, conduct and finalisation of the hearing.  Where a hearing is expected to take longer than 1 hour due to the complexity of the legal or clinical issues involved, or some other matter, the Registry is to be advised of the nature of the complexity, expected length of hearing and any relevant case management issues. </w:t>
      </w:r>
    </w:p>
    <w:p w:rsidR="004161C2" w:rsidRPr="004F0F06" w:rsidRDefault="004161C2" w:rsidP="004161C2">
      <w:pPr>
        <w:pStyle w:val="MHTSubheading2"/>
        <w:rPr>
          <w:rFonts w:ascii="Arial" w:hAnsi="Arial" w:cs="Arial"/>
          <w:color w:val="auto"/>
          <w:sz w:val="22"/>
          <w:szCs w:val="22"/>
        </w:rPr>
      </w:pPr>
      <w:r w:rsidRPr="004F0F06">
        <w:rPr>
          <w:rFonts w:ascii="Arial" w:hAnsi="Arial" w:cs="Arial"/>
          <w:color w:val="auto"/>
          <w:sz w:val="22"/>
          <w:szCs w:val="22"/>
        </w:rPr>
        <w:t xml:space="preserve">Where the Registry is advised of a complex case in accordance with this procedure consideration will be given to allowing extra hearing time or alternatively to arrange a special fixture, depending on the urgency of the application. </w:t>
      </w:r>
    </w:p>
    <w:p w:rsidR="00C2136C" w:rsidRPr="004F0F06" w:rsidRDefault="004161C2" w:rsidP="004161C2">
      <w:pPr>
        <w:pStyle w:val="MHTSubheading2"/>
        <w:rPr>
          <w:rFonts w:ascii="Arial" w:hAnsi="Arial" w:cs="Arial"/>
          <w:b/>
          <w:sz w:val="22"/>
          <w:szCs w:val="22"/>
        </w:rPr>
      </w:pPr>
      <w:r w:rsidRPr="004F0F06">
        <w:rPr>
          <w:rFonts w:ascii="Arial" w:hAnsi="Arial" w:cs="Arial"/>
          <w:b/>
          <w:sz w:val="22"/>
          <w:szCs w:val="22"/>
        </w:rPr>
        <w:t>What complex case advice to provide to the Registry</w:t>
      </w:r>
    </w:p>
    <w:p w:rsidR="004161C2" w:rsidRPr="004F0F06" w:rsidRDefault="004161C2" w:rsidP="004161C2">
      <w:pPr>
        <w:pStyle w:val="MHTSubheading2"/>
        <w:rPr>
          <w:rFonts w:ascii="Arial" w:hAnsi="Arial" w:cs="Arial"/>
          <w:color w:val="auto"/>
          <w:sz w:val="22"/>
          <w:szCs w:val="22"/>
        </w:rPr>
      </w:pPr>
      <w:r w:rsidRPr="004F0F06">
        <w:rPr>
          <w:rFonts w:ascii="Arial" w:hAnsi="Arial" w:cs="Arial"/>
          <w:color w:val="auto"/>
          <w:sz w:val="22"/>
          <w:szCs w:val="22"/>
        </w:rPr>
        <w:t xml:space="preserve">Where a patient, patient representative or the treating service believes that a case is complex and will require longer than the time allocated to a standard hearing, they are to provide the Principal Registrar with the following information: </w:t>
      </w:r>
    </w:p>
    <w:p w:rsidR="004161C2" w:rsidRPr="004F0F06" w:rsidRDefault="004161C2" w:rsidP="004F0F06">
      <w:pPr>
        <w:pStyle w:val="MHTSubheading2"/>
        <w:numPr>
          <w:ilvl w:val="0"/>
          <w:numId w:val="1"/>
        </w:numPr>
        <w:spacing w:before="160" w:after="160"/>
        <w:rPr>
          <w:rFonts w:ascii="Arial" w:hAnsi="Arial" w:cs="Arial"/>
          <w:color w:val="auto"/>
          <w:sz w:val="22"/>
          <w:szCs w:val="22"/>
        </w:rPr>
      </w:pPr>
      <w:r w:rsidRPr="004F0F06">
        <w:rPr>
          <w:rFonts w:ascii="Arial" w:hAnsi="Arial" w:cs="Arial"/>
          <w:color w:val="auto"/>
          <w:sz w:val="22"/>
          <w:szCs w:val="22"/>
        </w:rPr>
        <w:t>A written outline of the relevant issues;</w:t>
      </w:r>
    </w:p>
    <w:p w:rsidR="004161C2" w:rsidRPr="004F0F06" w:rsidRDefault="004161C2" w:rsidP="004F0F06">
      <w:pPr>
        <w:pStyle w:val="MHTSubheading2"/>
        <w:numPr>
          <w:ilvl w:val="0"/>
          <w:numId w:val="1"/>
        </w:numPr>
        <w:spacing w:before="160" w:after="160"/>
        <w:rPr>
          <w:rFonts w:ascii="Arial" w:hAnsi="Arial" w:cs="Arial"/>
          <w:color w:val="auto"/>
          <w:sz w:val="22"/>
          <w:szCs w:val="22"/>
        </w:rPr>
      </w:pPr>
      <w:r w:rsidRPr="004F0F06">
        <w:rPr>
          <w:rFonts w:ascii="Arial" w:hAnsi="Arial" w:cs="Arial"/>
          <w:color w:val="auto"/>
          <w:sz w:val="22"/>
          <w:szCs w:val="22"/>
        </w:rPr>
        <w:t xml:space="preserve">If the complexity relates to legal issues that will be raised by a legal representative of the patient, that representative must provide written submissions </w:t>
      </w:r>
      <w:proofErr w:type="gramStart"/>
      <w:r w:rsidRPr="004F0F06">
        <w:rPr>
          <w:rFonts w:ascii="Arial" w:hAnsi="Arial" w:cs="Arial"/>
          <w:color w:val="auto"/>
          <w:sz w:val="22"/>
          <w:szCs w:val="22"/>
        </w:rPr>
        <w:t>outlining  the</w:t>
      </w:r>
      <w:proofErr w:type="gramEnd"/>
      <w:r w:rsidRPr="004F0F06">
        <w:rPr>
          <w:rFonts w:ascii="Arial" w:hAnsi="Arial" w:cs="Arial"/>
          <w:color w:val="auto"/>
          <w:sz w:val="22"/>
          <w:szCs w:val="22"/>
        </w:rPr>
        <w:t xml:space="preserve"> legal arguments that will be raised;</w:t>
      </w:r>
    </w:p>
    <w:p w:rsidR="004161C2" w:rsidRPr="004F0F06" w:rsidRDefault="004161C2" w:rsidP="004F0F06">
      <w:pPr>
        <w:pStyle w:val="MHTSubheading2"/>
        <w:numPr>
          <w:ilvl w:val="0"/>
          <w:numId w:val="1"/>
        </w:numPr>
        <w:spacing w:before="160" w:after="160"/>
        <w:rPr>
          <w:rFonts w:ascii="Arial" w:hAnsi="Arial" w:cs="Arial"/>
          <w:color w:val="auto"/>
          <w:sz w:val="22"/>
          <w:szCs w:val="22"/>
        </w:rPr>
      </w:pPr>
      <w:r w:rsidRPr="004F0F06">
        <w:rPr>
          <w:rFonts w:ascii="Arial" w:hAnsi="Arial" w:cs="Arial"/>
          <w:color w:val="auto"/>
          <w:sz w:val="22"/>
          <w:szCs w:val="22"/>
        </w:rPr>
        <w:t>Estimated length of time required for the hearing;</w:t>
      </w:r>
    </w:p>
    <w:p w:rsidR="004161C2" w:rsidRPr="004F0F06" w:rsidRDefault="006D34B6" w:rsidP="004F0F06">
      <w:pPr>
        <w:pStyle w:val="MHTSubheading2"/>
        <w:numPr>
          <w:ilvl w:val="0"/>
          <w:numId w:val="1"/>
        </w:numPr>
        <w:spacing w:before="160" w:after="160"/>
        <w:rPr>
          <w:rFonts w:ascii="Arial" w:hAnsi="Arial" w:cs="Arial"/>
          <w:color w:val="auto"/>
          <w:sz w:val="22"/>
          <w:szCs w:val="22"/>
        </w:rPr>
      </w:pPr>
      <w:r w:rsidRPr="004F0F06">
        <w:rPr>
          <w:rFonts w:ascii="Arial" w:hAnsi="Arial" w:cs="Arial"/>
          <w:color w:val="auto"/>
          <w:sz w:val="22"/>
          <w:szCs w:val="22"/>
        </w:rPr>
        <w:t xml:space="preserve">The names of all individuals </w:t>
      </w:r>
      <w:r w:rsidR="00F7070D" w:rsidRPr="004F0F06">
        <w:rPr>
          <w:rFonts w:ascii="Arial" w:hAnsi="Arial" w:cs="Arial"/>
          <w:color w:val="auto"/>
          <w:sz w:val="22"/>
          <w:szCs w:val="22"/>
        </w:rPr>
        <w:t xml:space="preserve">who </w:t>
      </w:r>
      <w:r w:rsidR="007015A6" w:rsidRPr="004F0F06">
        <w:rPr>
          <w:rFonts w:ascii="Arial" w:hAnsi="Arial" w:cs="Arial"/>
          <w:color w:val="auto"/>
          <w:sz w:val="22"/>
          <w:szCs w:val="22"/>
        </w:rPr>
        <w:t>intend</w:t>
      </w:r>
      <w:r w:rsidRPr="004F0F06">
        <w:rPr>
          <w:rFonts w:ascii="Arial" w:hAnsi="Arial" w:cs="Arial"/>
          <w:color w:val="auto"/>
          <w:sz w:val="22"/>
          <w:szCs w:val="22"/>
        </w:rPr>
        <w:t xml:space="preserve"> to attend the hearing and their relationship to the patient</w:t>
      </w:r>
      <w:r w:rsidR="004161C2" w:rsidRPr="004F0F06">
        <w:rPr>
          <w:rFonts w:ascii="Arial" w:hAnsi="Arial" w:cs="Arial"/>
          <w:color w:val="auto"/>
          <w:sz w:val="22"/>
          <w:szCs w:val="22"/>
        </w:rPr>
        <w:t>;</w:t>
      </w:r>
    </w:p>
    <w:p w:rsidR="004161C2" w:rsidRPr="004F0F06" w:rsidRDefault="004161C2" w:rsidP="004F0F06">
      <w:pPr>
        <w:pStyle w:val="MHTSubheading2"/>
        <w:numPr>
          <w:ilvl w:val="0"/>
          <w:numId w:val="1"/>
        </w:numPr>
        <w:spacing w:before="160" w:after="160"/>
        <w:rPr>
          <w:rFonts w:ascii="Arial" w:hAnsi="Arial" w:cs="Arial"/>
          <w:color w:val="auto"/>
          <w:sz w:val="22"/>
          <w:szCs w:val="22"/>
        </w:rPr>
      </w:pPr>
      <w:r w:rsidRPr="004F0F06">
        <w:rPr>
          <w:rFonts w:ascii="Arial" w:hAnsi="Arial" w:cs="Arial"/>
          <w:color w:val="auto"/>
          <w:sz w:val="22"/>
          <w:szCs w:val="22"/>
        </w:rPr>
        <w:t xml:space="preserve">If the matter is regarded as urgent, the reason for the urgency; </w:t>
      </w:r>
    </w:p>
    <w:p w:rsidR="004161C2" w:rsidRPr="004F0F06" w:rsidRDefault="004161C2" w:rsidP="004F0F06">
      <w:pPr>
        <w:pStyle w:val="MHTSubheading2"/>
        <w:numPr>
          <w:ilvl w:val="0"/>
          <w:numId w:val="1"/>
        </w:numPr>
        <w:spacing w:before="160" w:after="160"/>
        <w:rPr>
          <w:rFonts w:ascii="Arial" w:hAnsi="Arial" w:cs="Arial"/>
          <w:color w:val="auto"/>
          <w:sz w:val="22"/>
          <w:szCs w:val="22"/>
        </w:rPr>
      </w:pPr>
      <w:r w:rsidRPr="004F0F06">
        <w:rPr>
          <w:rFonts w:ascii="Arial" w:hAnsi="Arial" w:cs="Arial"/>
          <w:color w:val="auto"/>
          <w:sz w:val="22"/>
          <w:szCs w:val="22"/>
        </w:rPr>
        <w:t>Availability</w:t>
      </w:r>
      <w:r w:rsidR="00C75980" w:rsidRPr="004F0F06">
        <w:rPr>
          <w:rFonts w:ascii="Arial" w:hAnsi="Arial" w:cs="Arial"/>
          <w:color w:val="auto"/>
          <w:sz w:val="22"/>
          <w:szCs w:val="22"/>
        </w:rPr>
        <w:t xml:space="preserve"> dates</w:t>
      </w:r>
      <w:r w:rsidRPr="004F0F06">
        <w:rPr>
          <w:rFonts w:ascii="Arial" w:hAnsi="Arial" w:cs="Arial"/>
          <w:color w:val="auto"/>
          <w:sz w:val="22"/>
          <w:szCs w:val="22"/>
        </w:rPr>
        <w:t xml:space="preserve"> of hearing participants for a possible special fixture;</w:t>
      </w:r>
    </w:p>
    <w:p w:rsidR="004161C2" w:rsidRPr="004F0F06" w:rsidRDefault="004161C2" w:rsidP="004F0F06">
      <w:pPr>
        <w:pStyle w:val="MHTSubheading2"/>
        <w:numPr>
          <w:ilvl w:val="0"/>
          <w:numId w:val="1"/>
        </w:numPr>
        <w:spacing w:before="160" w:after="160"/>
        <w:rPr>
          <w:rFonts w:ascii="Arial" w:hAnsi="Arial" w:cs="Arial"/>
          <w:color w:val="auto"/>
          <w:sz w:val="22"/>
          <w:szCs w:val="22"/>
        </w:rPr>
      </w:pPr>
      <w:r w:rsidRPr="004F0F06">
        <w:rPr>
          <w:rFonts w:ascii="Arial" w:hAnsi="Arial" w:cs="Arial"/>
          <w:color w:val="auto"/>
          <w:sz w:val="22"/>
          <w:szCs w:val="22"/>
        </w:rPr>
        <w:t>Any other relevant information which would meaningfully inform the date that the matter will be listed and the amount of hearing time to be allocated.</w:t>
      </w:r>
    </w:p>
    <w:p w:rsidR="004F0F06" w:rsidRPr="004F0F06" w:rsidRDefault="004F0F06" w:rsidP="004F0F06">
      <w:pPr>
        <w:pStyle w:val="ListParagraph"/>
        <w:numPr>
          <w:ilvl w:val="0"/>
          <w:numId w:val="1"/>
        </w:numPr>
        <w:rPr>
          <w:rFonts w:ascii="Arial" w:hAnsi="Arial" w:cs="Arial"/>
          <w:b/>
          <w:color w:val="008C95"/>
        </w:rPr>
      </w:pPr>
      <w:r w:rsidRPr="004F0F06">
        <w:rPr>
          <w:rFonts w:ascii="Arial" w:hAnsi="Arial" w:cs="Arial"/>
          <w:b/>
        </w:rPr>
        <w:br w:type="page"/>
      </w:r>
    </w:p>
    <w:p w:rsidR="004161C2" w:rsidRPr="004F0F06" w:rsidRDefault="004161C2" w:rsidP="004161C2">
      <w:pPr>
        <w:pStyle w:val="MHTSubheading2"/>
        <w:rPr>
          <w:rFonts w:ascii="Arial" w:hAnsi="Arial" w:cs="Arial"/>
          <w:b/>
          <w:sz w:val="22"/>
          <w:szCs w:val="22"/>
        </w:rPr>
      </w:pPr>
      <w:r w:rsidRPr="004F0F06">
        <w:rPr>
          <w:rFonts w:ascii="Arial" w:hAnsi="Arial" w:cs="Arial"/>
          <w:b/>
          <w:sz w:val="22"/>
          <w:szCs w:val="22"/>
        </w:rPr>
        <w:lastRenderedPageBreak/>
        <w:t>When to provide complex case advice to the Registry</w:t>
      </w:r>
    </w:p>
    <w:p w:rsidR="004161C2" w:rsidRPr="004F0F06" w:rsidRDefault="004161C2" w:rsidP="004161C2">
      <w:pPr>
        <w:pStyle w:val="MHTSubheading2"/>
        <w:rPr>
          <w:rFonts w:ascii="Arial" w:hAnsi="Arial" w:cs="Arial"/>
          <w:color w:val="auto"/>
          <w:sz w:val="22"/>
          <w:szCs w:val="22"/>
        </w:rPr>
      </w:pPr>
      <w:r w:rsidRPr="004F0F06">
        <w:rPr>
          <w:rFonts w:ascii="Arial" w:hAnsi="Arial" w:cs="Arial"/>
          <w:color w:val="auto"/>
          <w:sz w:val="22"/>
          <w:szCs w:val="22"/>
        </w:rPr>
        <w:t>Where a case has already been listed for hearing, the above details should be provided as soon as practicable, preferably not less than five (5) working days before the sche</w:t>
      </w:r>
      <w:r w:rsidR="006417B4" w:rsidRPr="004F0F06">
        <w:rPr>
          <w:rFonts w:ascii="Arial" w:hAnsi="Arial" w:cs="Arial"/>
          <w:color w:val="auto"/>
          <w:sz w:val="22"/>
          <w:szCs w:val="22"/>
        </w:rPr>
        <w:t>duled hearing date. Where 5 day</w:t>
      </w:r>
      <w:r w:rsidRPr="004F0F06">
        <w:rPr>
          <w:rFonts w:ascii="Arial" w:hAnsi="Arial" w:cs="Arial"/>
          <w:color w:val="auto"/>
          <w:sz w:val="22"/>
          <w:szCs w:val="22"/>
        </w:rPr>
        <w:t>s</w:t>
      </w:r>
      <w:r w:rsidR="006417B4" w:rsidRPr="004F0F06">
        <w:rPr>
          <w:rFonts w:ascii="Arial" w:hAnsi="Arial" w:cs="Arial"/>
          <w:color w:val="auto"/>
          <w:sz w:val="22"/>
          <w:szCs w:val="22"/>
        </w:rPr>
        <w:t xml:space="preserve">’ notice cannot be provided, </w:t>
      </w:r>
      <w:r w:rsidRPr="004F0F06">
        <w:rPr>
          <w:rFonts w:ascii="Arial" w:hAnsi="Arial" w:cs="Arial"/>
          <w:color w:val="auto"/>
          <w:sz w:val="22"/>
          <w:szCs w:val="22"/>
        </w:rPr>
        <w:t>the Registry may not be able to allocate extra time on the scheduled hearing date.</w:t>
      </w:r>
    </w:p>
    <w:p w:rsidR="004161C2" w:rsidRPr="004F0F06" w:rsidRDefault="004161C2" w:rsidP="004161C2">
      <w:pPr>
        <w:pStyle w:val="MHTSubheading2"/>
        <w:rPr>
          <w:rFonts w:ascii="Arial" w:hAnsi="Arial" w:cs="Arial"/>
          <w:color w:val="auto"/>
          <w:sz w:val="22"/>
          <w:szCs w:val="22"/>
        </w:rPr>
      </w:pPr>
      <w:r w:rsidRPr="004F0F06">
        <w:rPr>
          <w:rFonts w:ascii="Arial" w:hAnsi="Arial" w:cs="Arial"/>
          <w:color w:val="auto"/>
          <w:sz w:val="22"/>
          <w:szCs w:val="22"/>
        </w:rPr>
        <w:t xml:space="preserve">Where a case has yet to be listed for hearing or has been adjourned by the Tribunal, advice is to be provided as soon as practicable and in accordance with any directions given by the Tribunal.  </w:t>
      </w:r>
    </w:p>
    <w:p w:rsidR="006417B4" w:rsidRPr="004F0F06" w:rsidRDefault="004161C2" w:rsidP="004161C2">
      <w:pPr>
        <w:pStyle w:val="MHTSubheading2"/>
        <w:rPr>
          <w:rFonts w:ascii="Arial" w:hAnsi="Arial" w:cs="Arial"/>
          <w:color w:val="auto"/>
          <w:sz w:val="22"/>
          <w:szCs w:val="22"/>
        </w:rPr>
      </w:pPr>
      <w:r w:rsidRPr="004F0F06">
        <w:rPr>
          <w:rFonts w:ascii="Arial" w:hAnsi="Arial" w:cs="Arial"/>
          <w:color w:val="auto"/>
          <w:sz w:val="22"/>
          <w:szCs w:val="22"/>
        </w:rPr>
        <w:t xml:space="preserve">If the relevant hearing involves an application for revocation or any other application by or on behalf of a patient, complex case advice should be provided at the time such application is filed, or as soon as practicable thereafter if this is </w:t>
      </w:r>
      <w:r w:rsidR="006417B4" w:rsidRPr="004F0F06">
        <w:rPr>
          <w:rFonts w:ascii="Arial" w:hAnsi="Arial" w:cs="Arial"/>
          <w:color w:val="auto"/>
          <w:sz w:val="22"/>
          <w:szCs w:val="22"/>
        </w:rPr>
        <w:t>not known at the time of filing.</w:t>
      </w:r>
    </w:p>
    <w:p w:rsidR="004161C2" w:rsidRPr="004F0F06" w:rsidRDefault="004161C2" w:rsidP="004161C2">
      <w:pPr>
        <w:pStyle w:val="MHTSubheading2"/>
        <w:rPr>
          <w:rFonts w:ascii="Arial" w:hAnsi="Arial" w:cs="Arial"/>
          <w:b/>
          <w:sz w:val="22"/>
          <w:szCs w:val="22"/>
        </w:rPr>
      </w:pPr>
      <w:r w:rsidRPr="004F0F06">
        <w:rPr>
          <w:rFonts w:ascii="Arial" w:hAnsi="Arial" w:cs="Arial"/>
          <w:b/>
          <w:sz w:val="22"/>
          <w:szCs w:val="22"/>
        </w:rPr>
        <w:t>How to provide complex case advice to the Registry</w:t>
      </w:r>
    </w:p>
    <w:p w:rsidR="00014CD6" w:rsidRPr="004F0F06" w:rsidRDefault="006417B4" w:rsidP="00004A0A">
      <w:pPr>
        <w:rPr>
          <w:rFonts w:ascii="Arial" w:hAnsi="Arial" w:cs="Arial"/>
        </w:rPr>
      </w:pPr>
      <w:r w:rsidRPr="004F0F06">
        <w:rPr>
          <w:rFonts w:ascii="Arial" w:hAnsi="Arial" w:cs="Arial"/>
        </w:rPr>
        <w:t xml:space="preserve">Any advice regarding complex cases should be provided to the Registry in writing by email to </w:t>
      </w:r>
      <w:hyperlink r:id="rId8" w:history="1">
        <w:r w:rsidR="00E90D39" w:rsidRPr="004F0F06">
          <w:rPr>
            <w:rStyle w:val="Hyperlink"/>
            <w:rFonts w:ascii="Arial" w:hAnsi="Arial" w:cs="Arial"/>
          </w:rPr>
          <w:t>mht@mht.vic.gov.au</w:t>
        </w:r>
      </w:hyperlink>
      <w:r w:rsidRPr="004F0F06">
        <w:rPr>
          <w:rFonts w:ascii="Arial" w:hAnsi="Arial" w:cs="Arial"/>
        </w:rPr>
        <w:t xml:space="preserve"> or by facsimile on (03) 9023 3223.</w:t>
      </w:r>
    </w:p>
    <w:sectPr w:rsidR="00014CD6" w:rsidRPr="004F0F06" w:rsidSect="003238D2">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5" w:right="1134" w:bottom="1843" w:left="1134" w:header="1081" w:footer="3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61C2" w:rsidRDefault="004161C2" w:rsidP="00396C22">
      <w:pPr>
        <w:spacing w:after="0" w:line="240" w:lineRule="auto"/>
      </w:pPr>
      <w:r>
        <w:separator/>
      </w:r>
    </w:p>
  </w:endnote>
  <w:endnote w:type="continuationSeparator" w:id="0">
    <w:p w:rsidR="004161C2" w:rsidRDefault="004161C2" w:rsidP="00396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CEBB18A-423C-4013-AE81-059E9B80850B}"/>
    <w:embedBold r:id="rId2" w:fontKey="{855326D1-2CAD-4C56-ACA9-99CD1138353C}"/>
  </w:font>
  <w:font w:name="Swis721 BT">
    <w:altName w:val="Segoe Script"/>
    <w:panose1 w:val="020B0504020202020204"/>
    <w:charset w:val="00"/>
    <w:family w:val="swiss"/>
    <w:pitch w:val="variable"/>
    <w:sig w:usb0="00000087" w:usb1="00000000" w:usb2="00000000" w:usb3="00000000" w:csb0="0000001B" w:csb1="00000000"/>
  </w:font>
  <w:font w:name="Swis721 Lt BT">
    <w:altName w:val="Trebuchet MS"/>
    <w:panose1 w:val="020B0403020202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3" w:fontKey="{1D0EEA05-7D5B-46E9-9B2C-4905721B699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26F130CF-8BF9-47E2-AF88-DA62485118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06" w:rsidRDefault="004F0F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17B4" w:rsidRDefault="006417B4">
    <w:pPr>
      <w:pStyle w:val="Footer"/>
    </w:pPr>
    <w:r>
      <w:rPr>
        <w:noProof/>
        <w:lang w:eastAsia="en-AU"/>
      </w:rPr>
      <mc:AlternateContent>
        <mc:Choice Requires="wps">
          <w:drawing>
            <wp:anchor distT="0" distB="0" distL="114300" distR="114300" simplePos="0" relativeHeight="251659264" behindDoc="0" locked="0" layoutInCell="1" allowOverlap="1" wp14:anchorId="110CAB3E" wp14:editId="2E121C07">
              <wp:simplePos x="0" y="0"/>
              <wp:positionH relativeFrom="column">
                <wp:posOffset>3688577</wp:posOffset>
              </wp:positionH>
              <wp:positionV relativeFrom="paragraph">
                <wp:posOffset>-258003</wp:posOffset>
              </wp:positionV>
              <wp:extent cx="2374265" cy="256032"/>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6032"/>
                      </a:xfrm>
                      <a:prstGeom prst="rect">
                        <a:avLst/>
                      </a:prstGeom>
                      <a:solidFill>
                        <a:srgbClr val="FFFFFF"/>
                      </a:solidFill>
                      <a:ln w="9525">
                        <a:noFill/>
                        <a:miter lim="800000"/>
                        <a:headEnd/>
                        <a:tailEnd/>
                      </a:ln>
                    </wps:spPr>
                    <wps:txbx>
                      <w:txbxContent>
                        <w:p w:rsidR="006417B4" w:rsidRPr="004F0F06" w:rsidRDefault="006417B4" w:rsidP="006417B4">
                          <w:pPr>
                            <w:jc w:val="right"/>
                            <w:rPr>
                              <w:rFonts w:ascii="Arial" w:hAnsi="Arial" w:cs="Arial"/>
                              <w:color w:val="008C95"/>
                              <w:sz w:val="16"/>
                              <w:szCs w:val="16"/>
                            </w:rPr>
                          </w:pPr>
                          <w:r w:rsidRPr="004F0F06">
                            <w:rPr>
                              <w:rFonts w:ascii="Arial" w:hAnsi="Arial" w:cs="Arial"/>
                              <w:color w:val="008C95"/>
                              <w:sz w:val="16"/>
                              <w:szCs w:val="16"/>
                            </w:rPr>
                            <w:t xml:space="preserve">Last Updated: </w:t>
                          </w:r>
                          <w:r w:rsidR="004F0F06">
                            <w:rPr>
                              <w:rFonts w:ascii="Arial" w:hAnsi="Arial" w:cs="Arial"/>
                              <w:color w:val="008C95"/>
                              <w:sz w:val="16"/>
                              <w:szCs w:val="16"/>
                            </w:rPr>
                            <w:t>8</w:t>
                          </w:r>
                          <w:r w:rsidRPr="004F0F06">
                            <w:rPr>
                              <w:rFonts w:ascii="Arial" w:hAnsi="Arial" w:cs="Arial"/>
                              <w:color w:val="008C95"/>
                              <w:sz w:val="16"/>
                              <w:szCs w:val="16"/>
                            </w:rPr>
                            <w:t xml:space="preserve"> </w:t>
                          </w:r>
                          <w:r w:rsidR="004F0F06">
                            <w:rPr>
                              <w:rFonts w:ascii="Arial" w:hAnsi="Arial" w:cs="Arial"/>
                              <w:color w:val="008C95"/>
                              <w:sz w:val="16"/>
                              <w:szCs w:val="16"/>
                            </w:rPr>
                            <w:t>July</w:t>
                          </w:r>
                          <w:bookmarkStart w:id="0" w:name="_GoBack"/>
                          <w:bookmarkEnd w:id="0"/>
                          <w:r w:rsidRPr="004F0F06">
                            <w:rPr>
                              <w:rFonts w:ascii="Arial" w:hAnsi="Arial" w:cs="Arial"/>
                              <w:color w:val="008C95"/>
                              <w:sz w:val="16"/>
                              <w:szCs w:val="16"/>
                            </w:rPr>
                            <w:t xml:space="preserve">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10CAB3E" id="_x0000_t202" coordsize="21600,21600" o:spt="202" path="m,l,21600r21600,l21600,xe">
              <v:stroke joinstyle="miter"/>
              <v:path gradientshapeok="t" o:connecttype="rect"/>
            </v:shapetype>
            <v:shape id="Text Box 2" o:spid="_x0000_s1026" type="#_x0000_t202" style="position:absolute;margin-left:290.45pt;margin-top:-20.3pt;width:186.95pt;height:20.1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" stroked="f">
              <v:textbox>
                <w:txbxContent>
                  <w:p w:rsidR="006417B4" w:rsidRPr="004F0F06" w:rsidRDefault="006417B4" w:rsidP="006417B4">
                    <w:pPr>
                      <w:jc w:val="right"/>
                      <w:rPr>
                        <w:rFonts w:ascii="Arial" w:hAnsi="Arial" w:cs="Arial"/>
                        <w:color w:val="008C95"/>
                        <w:sz w:val="16"/>
                        <w:szCs w:val="16"/>
                      </w:rPr>
                    </w:pPr>
                    <w:r w:rsidRPr="004F0F06">
                      <w:rPr>
                        <w:rFonts w:ascii="Arial" w:hAnsi="Arial" w:cs="Arial"/>
                        <w:color w:val="008C95"/>
                        <w:sz w:val="16"/>
                        <w:szCs w:val="16"/>
                      </w:rPr>
                      <w:t xml:space="preserve">Last Updated: </w:t>
                    </w:r>
                    <w:r w:rsidR="004F0F06">
                      <w:rPr>
                        <w:rFonts w:ascii="Arial" w:hAnsi="Arial" w:cs="Arial"/>
                        <w:color w:val="008C95"/>
                        <w:sz w:val="16"/>
                        <w:szCs w:val="16"/>
                      </w:rPr>
                      <w:t>8</w:t>
                    </w:r>
                    <w:r w:rsidRPr="004F0F06">
                      <w:rPr>
                        <w:rFonts w:ascii="Arial" w:hAnsi="Arial" w:cs="Arial"/>
                        <w:color w:val="008C95"/>
                        <w:sz w:val="16"/>
                        <w:szCs w:val="16"/>
                      </w:rPr>
                      <w:t xml:space="preserve"> </w:t>
                    </w:r>
                    <w:r w:rsidR="004F0F06">
                      <w:rPr>
                        <w:rFonts w:ascii="Arial" w:hAnsi="Arial" w:cs="Arial"/>
                        <w:color w:val="008C95"/>
                        <w:sz w:val="16"/>
                        <w:szCs w:val="16"/>
                      </w:rPr>
                      <w:t>July</w:t>
                    </w:r>
                    <w:bookmarkStart w:id="1" w:name="_GoBack"/>
                    <w:bookmarkEnd w:id="1"/>
                    <w:r w:rsidRPr="004F0F06">
                      <w:rPr>
                        <w:rFonts w:ascii="Arial" w:hAnsi="Arial" w:cs="Arial"/>
                        <w:color w:val="008C95"/>
                        <w:sz w:val="16"/>
                        <w:szCs w:val="16"/>
                      </w:rPr>
                      <w:t xml:space="preserve"> 2014</w:t>
                    </w:r>
                  </w:p>
                </w:txbxContent>
              </v:textbox>
            </v:shape>
          </w:pict>
        </mc:Fallback>
      </mc:AlternateContent>
    </w:r>
    <w:r w:rsidR="004F0F06">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5pt;height:61.05pt">
          <v:imagedata r:id="rId1" o:title="FooterMonoVicGov2016"/>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06" w:rsidRDefault="004F0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61C2" w:rsidRDefault="004161C2" w:rsidP="00396C22">
      <w:pPr>
        <w:spacing w:after="0" w:line="240" w:lineRule="auto"/>
      </w:pPr>
      <w:r>
        <w:separator/>
      </w:r>
    </w:p>
  </w:footnote>
  <w:footnote w:type="continuationSeparator" w:id="0">
    <w:p w:rsidR="004161C2" w:rsidRDefault="004161C2" w:rsidP="00396C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06" w:rsidRDefault="004F0F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06" w:rsidRDefault="004F0F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F06" w:rsidRDefault="004F0F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70EE0"/>
    <w:multiLevelType w:val="hybridMultilevel"/>
    <w:tmpl w:val="BCD0E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attachedTemplate r:id="rId1"/>
  <w:defaultTabStop w:val="720"/>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61C2"/>
    <w:rsid w:val="00004A0A"/>
    <w:rsid w:val="00014CD6"/>
    <w:rsid w:val="000331C6"/>
    <w:rsid w:val="00193E5E"/>
    <w:rsid w:val="00194AE6"/>
    <w:rsid w:val="001B3E54"/>
    <w:rsid w:val="00247007"/>
    <w:rsid w:val="003238D2"/>
    <w:rsid w:val="00396C22"/>
    <w:rsid w:val="003D1E18"/>
    <w:rsid w:val="004161C2"/>
    <w:rsid w:val="004F0F06"/>
    <w:rsid w:val="00614C77"/>
    <w:rsid w:val="006417B4"/>
    <w:rsid w:val="006D34B6"/>
    <w:rsid w:val="007015A6"/>
    <w:rsid w:val="0080638E"/>
    <w:rsid w:val="008648FD"/>
    <w:rsid w:val="008D51AC"/>
    <w:rsid w:val="009D5D96"/>
    <w:rsid w:val="00A3496F"/>
    <w:rsid w:val="00A861D3"/>
    <w:rsid w:val="00B66962"/>
    <w:rsid w:val="00BE2A05"/>
    <w:rsid w:val="00C2136C"/>
    <w:rsid w:val="00C75980"/>
    <w:rsid w:val="00DA0FD5"/>
    <w:rsid w:val="00DB792A"/>
    <w:rsid w:val="00E569FD"/>
    <w:rsid w:val="00E90D39"/>
    <w:rsid w:val="00F707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77B2CF4F"/>
  <w15:docId w15:val="{90FD5657-5C61-4882-9EF1-E56BE53E9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HTHeading1">
    <w:name w:val="MHT Heading 1"/>
    <w:basedOn w:val="Normal"/>
    <w:link w:val="MHTHeading1Char"/>
    <w:qFormat/>
    <w:rsid w:val="00BE2A05"/>
    <w:rPr>
      <w:rFonts w:ascii="Swis721 BT" w:hAnsi="Swis721 BT"/>
      <w:b/>
      <w:noProof/>
      <w:color w:val="008C95"/>
      <w:sz w:val="32"/>
      <w:szCs w:val="32"/>
    </w:rPr>
  </w:style>
  <w:style w:type="paragraph" w:customStyle="1" w:styleId="MHTheadertext">
    <w:name w:val="MHT header text"/>
    <w:basedOn w:val="Normal"/>
    <w:link w:val="MHTheadertextChar"/>
    <w:qFormat/>
    <w:rsid w:val="00BE2A05"/>
    <w:pPr>
      <w:spacing w:after="0"/>
    </w:pPr>
    <w:rPr>
      <w:rFonts w:ascii="Swis721 BT" w:hAnsi="Swis721 BT" w:cstheme="minorHAnsi"/>
      <w:color w:val="008C95"/>
      <w:sz w:val="20"/>
      <w:szCs w:val="20"/>
    </w:rPr>
  </w:style>
  <w:style w:type="character" w:customStyle="1" w:styleId="MHTHeading1Char">
    <w:name w:val="MHT Heading 1 Char"/>
    <w:basedOn w:val="DefaultParagraphFont"/>
    <w:link w:val="MHTHeading1"/>
    <w:rsid w:val="00BE2A05"/>
    <w:rPr>
      <w:rFonts w:ascii="Swis721 BT" w:hAnsi="Swis721 BT"/>
      <w:b/>
      <w:noProof/>
      <w:color w:val="008C95"/>
      <w:sz w:val="32"/>
      <w:szCs w:val="32"/>
    </w:rPr>
  </w:style>
  <w:style w:type="paragraph" w:customStyle="1" w:styleId="MHTSubheading1">
    <w:name w:val="MHT Subheading 1"/>
    <w:basedOn w:val="Normal"/>
    <w:link w:val="MHTSubheading1Char"/>
    <w:qFormat/>
    <w:rsid w:val="00BE2A05"/>
    <w:pPr>
      <w:spacing w:before="240"/>
    </w:pPr>
    <w:rPr>
      <w:rFonts w:ascii="Swis721 BT" w:hAnsi="Swis721 BT"/>
      <w:b/>
      <w:color w:val="008C95"/>
      <w:sz w:val="20"/>
      <w:szCs w:val="20"/>
    </w:rPr>
  </w:style>
  <w:style w:type="character" w:customStyle="1" w:styleId="MHTheadertextChar">
    <w:name w:val="MHT header text Char"/>
    <w:basedOn w:val="DefaultParagraphFont"/>
    <w:link w:val="MHTheadertext"/>
    <w:rsid w:val="00BE2A05"/>
    <w:rPr>
      <w:rFonts w:ascii="Swis721 BT" w:hAnsi="Swis721 BT" w:cstheme="minorHAnsi"/>
      <w:color w:val="008C95"/>
      <w:sz w:val="20"/>
      <w:szCs w:val="20"/>
    </w:rPr>
  </w:style>
  <w:style w:type="paragraph" w:customStyle="1" w:styleId="MHTBodyText">
    <w:name w:val="MHT Body Text"/>
    <w:basedOn w:val="Normal"/>
    <w:link w:val="MHTBodyTextChar"/>
    <w:qFormat/>
    <w:rsid w:val="00193E5E"/>
    <w:pPr>
      <w:spacing w:before="240"/>
    </w:pPr>
    <w:rPr>
      <w:rFonts w:ascii="Swis721 Lt BT" w:hAnsi="Swis721 Lt BT"/>
      <w:sz w:val="17"/>
      <w:szCs w:val="17"/>
    </w:rPr>
  </w:style>
  <w:style w:type="character" w:customStyle="1" w:styleId="MHTSubheading1Char">
    <w:name w:val="MHT Subheading 1 Char"/>
    <w:basedOn w:val="DefaultParagraphFont"/>
    <w:link w:val="MHTSubheading1"/>
    <w:rsid w:val="00BE2A05"/>
    <w:rPr>
      <w:rFonts w:ascii="Swis721 BT" w:hAnsi="Swis721 BT"/>
      <w:b/>
      <w:color w:val="008C95"/>
      <w:sz w:val="20"/>
      <w:szCs w:val="20"/>
    </w:rPr>
  </w:style>
  <w:style w:type="paragraph" w:customStyle="1" w:styleId="MHTSubheading2">
    <w:name w:val="MHT Subheading 2"/>
    <w:basedOn w:val="Normal"/>
    <w:link w:val="MHTSubheading2Char"/>
    <w:qFormat/>
    <w:rsid w:val="00BE2A05"/>
    <w:pPr>
      <w:spacing w:before="240"/>
    </w:pPr>
    <w:rPr>
      <w:rFonts w:ascii="Swis721 BT" w:hAnsi="Swis721 BT"/>
      <w:color w:val="008C95"/>
      <w:sz w:val="18"/>
      <w:szCs w:val="18"/>
    </w:rPr>
  </w:style>
  <w:style w:type="character" w:customStyle="1" w:styleId="MHTBodyTextChar">
    <w:name w:val="MHT Body Text Char"/>
    <w:basedOn w:val="DefaultParagraphFont"/>
    <w:link w:val="MHTBodyText"/>
    <w:rsid w:val="00193E5E"/>
    <w:rPr>
      <w:rFonts w:ascii="Swis721 Lt BT" w:hAnsi="Swis721 Lt BT"/>
      <w:sz w:val="17"/>
      <w:szCs w:val="17"/>
    </w:rPr>
  </w:style>
  <w:style w:type="paragraph" w:styleId="BalloonText">
    <w:name w:val="Balloon Text"/>
    <w:basedOn w:val="Normal"/>
    <w:link w:val="BalloonTextChar"/>
    <w:uiPriority w:val="99"/>
    <w:semiHidden/>
    <w:unhideWhenUsed/>
    <w:locked/>
    <w:rsid w:val="00A3496F"/>
    <w:pPr>
      <w:spacing w:after="0" w:line="240" w:lineRule="auto"/>
    </w:pPr>
    <w:rPr>
      <w:rFonts w:ascii="Tahoma" w:hAnsi="Tahoma" w:cs="Tahoma"/>
      <w:sz w:val="16"/>
      <w:szCs w:val="16"/>
    </w:rPr>
  </w:style>
  <w:style w:type="character" w:customStyle="1" w:styleId="MHTSubheading2Char">
    <w:name w:val="MHT Subheading 2 Char"/>
    <w:basedOn w:val="DefaultParagraphFont"/>
    <w:link w:val="MHTSubheading2"/>
    <w:rsid w:val="00BE2A05"/>
    <w:rPr>
      <w:rFonts w:ascii="Swis721 BT" w:hAnsi="Swis721 BT"/>
      <w:color w:val="008C95"/>
      <w:sz w:val="18"/>
      <w:szCs w:val="18"/>
    </w:rPr>
  </w:style>
  <w:style w:type="character" w:customStyle="1" w:styleId="BalloonTextChar">
    <w:name w:val="Balloon Text Char"/>
    <w:basedOn w:val="DefaultParagraphFont"/>
    <w:link w:val="BalloonText"/>
    <w:uiPriority w:val="99"/>
    <w:semiHidden/>
    <w:rsid w:val="00A3496F"/>
    <w:rPr>
      <w:rFonts w:ascii="Tahoma" w:hAnsi="Tahoma" w:cs="Tahoma"/>
      <w:sz w:val="16"/>
      <w:szCs w:val="16"/>
    </w:rPr>
  </w:style>
  <w:style w:type="paragraph" w:styleId="Header">
    <w:name w:val="header"/>
    <w:basedOn w:val="Normal"/>
    <w:link w:val="HeaderChar"/>
    <w:uiPriority w:val="99"/>
    <w:unhideWhenUsed/>
    <w:locked/>
    <w:rsid w:val="00396C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6C22"/>
  </w:style>
  <w:style w:type="paragraph" w:styleId="Footer">
    <w:name w:val="footer"/>
    <w:basedOn w:val="Normal"/>
    <w:link w:val="FooterChar"/>
    <w:uiPriority w:val="99"/>
    <w:unhideWhenUsed/>
    <w:locked/>
    <w:rsid w:val="00396C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6C22"/>
  </w:style>
  <w:style w:type="character" w:styleId="Hyperlink">
    <w:name w:val="Hyperlink"/>
    <w:basedOn w:val="DefaultParagraphFont"/>
    <w:uiPriority w:val="99"/>
    <w:unhideWhenUsed/>
    <w:locked/>
    <w:rsid w:val="006417B4"/>
    <w:rPr>
      <w:color w:val="0000FF" w:themeColor="hyperlink"/>
      <w:u w:val="single"/>
    </w:rPr>
  </w:style>
  <w:style w:type="paragraph" w:styleId="ListParagraph">
    <w:name w:val="List Paragraph"/>
    <w:basedOn w:val="Normal"/>
    <w:uiPriority w:val="34"/>
    <w:qFormat/>
    <w:locked/>
    <w:rsid w:val="004F0F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ht@mht.vic.gov.a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znic0202\LOCALS~1\Temp\notesD4BEBA\MHTInfoShee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MHTInfoSheetTemplate.dotx</Template>
  <TotalTime>21</TotalTime>
  <Pages>2</Pages>
  <Words>446</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Department of Human Services</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Zashalla Nicholson</dc:creator>
  <cp:keywords/>
  <dc:description/>
  <cp:lastModifiedBy>Evan McGregor (DHHS)</cp:lastModifiedBy>
  <cp:revision>13</cp:revision>
  <cp:lastPrinted>2014-05-15T03:35:00Z</cp:lastPrinted>
  <dcterms:created xsi:type="dcterms:W3CDTF">2014-06-02T05:20:00Z</dcterms:created>
  <dcterms:modified xsi:type="dcterms:W3CDTF">2019-03-29T01:12:00Z</dcterms:modified>
</cp:coreProperties>
</file>